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C3" w:rsidRPr="005D2C8F" w:rsidRDefault="005D2C8F" w:rsidP="00E24DC3">
      <w:pPr>
        <w:pStyle w:val="Testonormale"/>
        <w:spacing w:line="320" w:lineRule="exact"/>
        <w:jc w:val="both"/>
        <w:rPr>
          <w:b/>
          <w:lang w:val="en-US"/>
        </w:rPr>
      </w:pPr>
      <w:r>
        <w:rPr>
          <w:b/>
          <w:lang w:val="en-US"/>
        </w:rPr>
        <w:t>I</w:t>
      </w:r>
      <w:r w:rsidR="005A5E99">
        <w:rPr>
          <w:b/>
          <w:lang w:val="en-US"/>
        </w:rPr>
        <w:t>nformat</w:t>
      </w:r>
      <w:r w:rsidR="009275D5">
        <w:rPr>
          <w:b/>
          <w:lang w:val="en-US"/>
        </w:rPr>
        <w:t xml:space="preserve">ion on </w:t>
      </w:r>
      <w:bookmarkStart w:id="0" w:name="_GoBack"/>
      <w:bookmarkEnd w:id="0"/>
      <w:r w:rsidR="009275D5">
        <w:rPr>
          <w:b/>
          <w:lang w:val="en-US"/>
        </w:rPr>
        <w:t>salary levels</w:t>
      </w:r>
    </w:p>
    <w:p w:rsidR="00E24DC3" w:rsidRDefault="00E24DC3" w:rsidP="00E24DC3">
      <w:pPr>
        <w:pStyle w:val="Testonormale"/>
        <w:spacing w:line="320" w:lineRule="exact"/>
        <w:ind w:right="-1"/>
        <w:jc w:val="both"/>
        <w:rPr>
          <w:lang w:val="en-US"/>
        </w:rPr>
      </w:pPr>
      <w:r w:rsidRPr="009F7BDB">
        <w:rPr>
          <w:lang w:val="en-US"/>
        </w:rPr>
        <w:t xml:space="preserve">In its policy for local </w:t>
      </w:r>
      <w:proofErr w:type="gramStart"/>
      <w:r w:rsidRPr="009F7BDB">
        <w:rPr>
          <w:lang w:val="en-US"/>
        </w:rPr>
        <w:t>personnel</w:t>
      </w:r>
      <w:proofErr w:type="gramEnd"/>
      <w:r w:rsidRPr="009F7BDB">
        <w:rPr>
          <w:lang w:val="en-US"/>
        </w:rPr>
        <w:t xml:space="preserve"> Eni defines reference salary levels in terms of minimum/maximum ranges, in relation to the market data for each individual Country,</w:t>
      </w:r>
      <w:r>
        <w:rPr>
          <w:lang w:val="en-US"/>
        </w:rPr>
        <w:t xml:space="preserve"> </w:t>
      </w:r>
      <w:r w:rsidRPr="009F7BDB">
        <w:rPr>
          <w:lang w:val="en-US"/>
        </w:rPr>
        <w:t xml:space="preserve">monitored annually using international providers. </w:t>
      </w:r>
    </w:p>
    <w:p w:rsidR="00E24DC3" w:rsidRPr="009F7BDB" w:rsidRDefault="00E24DC3" w:rsidP="00E24DC3">
      <w:pPr>
        <w:pStyle w:val="Testonormale"/>
        <w:spacing w:line="320" w:lineRule="exact"/>
        <w:ind w:right="-1"/>
        <w:jc w:val="both"/>
        <w:rPr>
          <w:lang w:val="en-US"/>
        </w:rPr>
      </w:pPr>
      <w:r w:rsidRPr="009F7BDB">
        <w:rPr>
          <w:lang w:val="en-US"/>
        </w:rPr>
        <w:t xml:space="preserve">The comparison between the minimum levels defined in Eni policies and the minimum market levels supplied by providers (1st </w:t>
      </w:r>
      <w:proofErr w:type="spellStart"/>
      <w:r w:rsidRPr="009F7BDB">
        <w:rPr>
          <w:lang w:val="en-US"/>
        </w:rPr>
        <w:t>decile</w:t>
      </w:r>
      <w:proofErr w:type="spellEnd"/>
      <w:r w:rsidRPr="009F7BDB">
        <w:rPr>
          <w:lang w:val="en-US"/>
        </w:rPr>
        <w:t xml:space="preserve"> of </w:t>
      </w:r>
      <w:r>
        <w:rPr>
          <w:lang w:val="en-US"/>
        </w:rPr>
        <w:t>local pay levels) refers to the</w:t>
      </w:r>
      <w:r w:rsidRPr="009F7BDB">
        <w:rPr>
          <w:lang w:val="en-US"/>
        </w:rPr>
        <w:t xml:space="preserve"> section of the workfo</w:t>
      </w:r>
      <w:r>
        <w:rPr>
          <w:lang w:val="en-US"/>
        </w:rPr>
        <w:t xml:space="preserve">rce composed of middle managers, </w:t>
      </w:r>
      <w:r w:rsidRPr="009F7BDB">
        <w:rPr>
          <w:lang w:val="en-US"/>
        </w:rPr>
        <w:t>senior staff</w:t>
      </w:r>
      <w:r>
        <w:rPr>
          <w:lang w:val="en-US"/>
        </w:rPr>
        <w:t xml:space="preserve"> and employees (which accounts for around 80% of Eni’s population worldwide, with the exclusion of the managerial one)</w:t>
      </w:r>
      <w:r w:rsidRPr="009F7BDB">
        <w:rPr>
          <w:lang w:val="en-US"/>
        </w:rPr>
        <w:t>. The an</w:t>
      </w:r>
      <w:r>
        <w:rPr>
          <w:lang w:val="en-US"/>
        </w:rPr>
        <w:t>alysis carried out relates to 21</w:t>
      </w:r>
      <w:r w:rsidRPr="009F7BDB">
        <w:rPr>
          <w:lang w:val="en-US"/>
        </w:rPr>
        <w:t xml:space="preserve"> Countries chosen from those most representative in terms of business presence and strategic importance</w:t>
      </w:r>
      <w:r>
        <w:rPr>
          <w:lang w:val="en-US"/>
        </w:rPr>
        <w:t>, with quantitative and qualitative market data available from specific info providers (around 60% of the population analyzed)</w:t>
      </w:r>
      <w:r w:rsidRPr="009F7BDB">
        <w:rPr>
          <w:lang w:val="en-US"/>
        </w:rPr>
        <w:t xml:space="preserve">. </w:t>
      </w:r>
    </w:p>
    <w:p w:rsidR="00E24DC3" w:rsidRDefault="00E24DC3" w:rsidP="00E24DC3">
      <w:pPr>
        <w:pStyle w:val="Testonormale"/>
        <w:spacing w:line="320" w:lineRule="exact"/>
        <w:ind w:right="-1"/>
        <w:jc w:val="both"/>
        <w:rPr>
          <w:lang w:val="en-US"/>
        </w:rPr>
      </w:pPr>
      <w:r w:rsidRPr="009F7BDB">
        <w:rPr>
          <w:lang w:val="en-US"/>
        </w:rPr>
        <w:t>The results of the analysis show that on average the minimum levels defined in Eni’s policy are in line with or superior to the market minimums.</w:t>
      </w:r>
    </w:p>
    <w:tbl>
      <w:tblPr>
        <w:tblpPr w:leftFromText="141" w:rightFromText="141" w:vertAnchor="text" w:horzAnchor="margin" w:tblpY="417"/>
        <w:tblW w:w="10285" w:type="dxa"/>
        <w:tblLook w:val="04A0" w:firstRow="1" w:lastRow="0" w:firstColumn="1" w:lastColumn="0" w:noHBand="0" w:noVBand="1"/>
      </w:tblPr>
      <w:tblGrid>
        <w:gridCol w:w="4989"/>
        <w:gridCol w:w="282"/>
        <w:gridCol w:w="835"/>
        <w:gridCol w:w="835"/>
        <w:gridCol w:w="835"/>
        <w:gridCol w:w="835"/>
        <w:gridCol w:w="835"/>
        <w:gridCol w:w="839"/>
      </w:tblGrid>
      <w:tr w:rsidR="00E24DC3" w:rsidRPr="005D2C8F" w:rsidTr="00E24DC3">
        <w:trPr>
          <w:trHeight w:val="263"/>
        </w:trPr>
        <w:tc>
          <w:tcPr>
            <w:tcW w:w="10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E24DC3" w:rsidRPr="00754DD5" w:rsidRDefault="00E24DC3" w:rsidP="00E24DC3">
            <w:pPr>
              <w:rPr>
                <w:rFonts w:ascii="Verdana" w:hAnsi="Verdana" w:cs="Arial"/>
                <w:b/>
                <w:i/>
                <w:iCs/>
                <w:sz w:val="18"/>
                <w:szCs w:val="18"/>
                <w:lang w:val="en-US"/>
              </w:rPr>
            </w:pPr>
            <w:r w:rsidRPr="00754DD5">
              <w:rPr>
                <w:rFonts w:ascii="Verdana" w:hAnsi="Verdana" w:cs="Arial"/>
                <w:b/>
                <w:i/>
                <w:iCs/>
                <w:sz w:val="18"/>
                <w:szCs w:val="18"/>
                <w:lang w:val="en-US"/>
              </w:rPr>
              <w:t xml:space="preserve">Ratio between Eni minimum wage policy and market wage (1st </w:t>
            </w:r>
            <w:proofErr w:type="spellStart"/>
            <w:r w:rsidRPr="00754DD5">
              <w:rPr>
                <w:rFonts w:ascii="Verdana" w:hAnsi="Verdana" w:cs="Arial"/>
                <w:b/>
                <w:i/>
                <w:iCs/>
                <w:sz w:val="18"/>
                <w:szCs w:val="18"/>
                <w:lang w:val="en-US"/>
              </w:rPr>
              <w:t>decile</w:t>
            </w:r>
            <w:proofErr w:type="spellEnd"/>
            <w:r w:rsidRPr="00754DD5">
              <w:rPr>
                <w:rFonts w:ascii="Verdana" w:hAnsi="Verdana" w:cs="Arial"/>
                <w:b/>
                <w:i/>
                <w:iCs/>
                <w:sz w:val="18"/>
                <w:szCs w:val="18"/>
                <w:lang w:val="en-US"/>
              </w:rPr>
              <w:t>) – (middle manager – senior staff – employee)</w:t>
            </w:r>
          </w:p>
        </w:tc>
      </w:tr>
      <w:tr w:rsidR="00E24DC3" w:rsidRPr="005D2C8F" w:rsidTr="00E24DC3">
        <w:trPr>
          <w:trHeight w:val="247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DC3" w:rsidRPr="00350F46" w:rsidRDefault="00E24DC3" w:rsidP="00E24DC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DC3" w:rsidRPr="00350F46" w:rsidRDefault="00E24DC3" w:rsidP="00E24DC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DC3" w:rsidRPr="00350F46" w:rsidRDefault="00E24DC3" w:rsidP="00E24DC3">
            <w:pPr>
              <w:ind w:firstLineChars="100" w:firstLine="16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DC3" w:rsidRPr="00350F46" w:rsidRDefault="00E24DC3" w:rsidP="00E24DC3">
            <w:pPr>
              <w:ind w:firstLineChars="100" w:firstLine="16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DC3" w:rsidRPr="00350F46" w:rsidRDefault="00E24DC3" w:rsidP="00E24DC3">
            <w:pPr>
              <w:ind w:firstLineChars="100" w:firstLine="16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DC3" w:rsidRPr="00350F46" w:rsidRDefault="00E24DC3" w:rsidP="00E24DC3">
            <w:pPr>
              <w:ind w:firstLineChars="100" w:firstLine="16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DC3" w:rsidRPr="00350F46" w:rsidRDefault="00E24DC3" w:rsidP="00E24DC3">
            <w:pPr>
              <w:ind w:firstLineChars="100" w:firstLine="16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DC3" w:rsidRPr="00350F46" w:rsidRDefault="00E24DC3" w:rsidP="00E24DC3">
            <w:pPr>
              <w:ind w:firstLineChars="100" w:firstLine="16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E24DC3" w:rsidRPr="00A3304C" w:rsidTr="00E24DC3">
        <w:trPr>
          <w:trHeight w:val="263"/>
        </w:trPr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DC3" w:rsidRPr="00A3304C" w:rsidRDefault="00E24DC3" w:rsidP="00E24DC3">
            <w:pP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 w:rsidRPr="00A3304C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R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atio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DC3" w:rsidRPr="00A3304C" w:rsidRDefault="00E24DC3" w:rsidP="00E24DC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3304C">
              <w:rPr>
                <w:rFonts w:ascii="Verdana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DC3" w:rsidRPr="00A3304C" w:rsidRDefault="00E24DC3" w:rsidP="00E24DC3">
            <w:pPr>
              <w:ind w:firstLineChars="100" w:firstLine="161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Countries</w:t>
            </w:r>
          </w:p>
        </w:tc>
      </w:tr>
      <w:tr w:rsidR="00E24DC3" w:rsidRPr="005D2C8F" w:rsidTr="00E24DC3">
        <w:trPr>
          <w:trHeight w:val="401"/>
        </w:trPr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DC3" w:rsidRPr="00A476D7" w:rsidRDefault="00E24DC3" w:rsidP="00E24DC3">
            <w:pPr>
              <w:ind w:firstLineChars="100" w:firstLine="16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76D7">
              <w:rPr>
                <w:rFonts w:ascii="Verdana" w:hAnsi="Verdana" w:cs="Arial"/>
                <w:sz w:val="16"/>
                <w:szCs w:val="16"/>
                <w:lang w:val="en-US"/>
              </w:rPr>
              <w:t>100 - 115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DC3" w:rsidRPr="00A476D7" w:rsidRDefault="00E24DC3" w:rsidP="00E24DC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76D7">
              <w:rPr>
                <w:rFonts w:ascii="Verdana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DC3" w:rsidRPr="00754DD5" w:rsidRDefault="00E24DC3" w:rsidP="00E24DC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54DD5">
              <w:rPr>
                <w:rFonts w:ascii="Verdana" w:hAnsi="Verdana" w:cs="Arial"/>
                <w:sz w:val="16"/>
                <w:szCs w:val="16"/>
                <w:lang w:val="en-US"/>
              </w:rPr>
              <w:t>Italy, Belgium, France, Germany, Netherlands, Spa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in</w:t>
            </w:r>
          </w:p>
        </w:tc>
      </w:tr>
      <w:tr w:rsidR="00E24DC3" w:rsidRPr="00A476D7" w:rsidTr="00E24DC3">
        <w:trPr>
          <w:trHeight w:val="310"/>
        </w:trPr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DC3" w:rsidRPr="00A476D7" w:rsidRDefault="00E24DC3" w:rsidP="00E24DC3">
            <w:pPr>
              <w:ind w:firstLineChars="100" w:firstLine="16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76D7">
              <w:rPr>
                <w:rFonts w:ascii="Verdana" w:hAnsi="Verdana" w:cs="Arial"/>
                <w:sz w:val="16"/>
                <w:szCs w:val="16"/>
                <w:lang w:val="en-US"/>
              </w:rPr>
              <w:t>116 - 130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DC3" w:rsidRPr="00A476D7" w:rsidRDefault="00E24DC3" w:rsidP="00E24DC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76D7">
              <w:rPr>
                <w:rFonts w:ascii="Verdana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DC3" w:rsidRPr="00A476D7" w:rsidRDefault="00E24DC3" w:rsidP="00E24DC3">
            <w:pPr>
              <w:ind w:left="1" w:hanging="1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United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Kingdom</w:t>
            </w:r>
          </w:p>
        </w:tc>
      </w:tr>
      <w:tr w:rsidR="00E24DC3" w:rsidRPr="00A476D7" w:rsidTr="00E24DC3">
        <w:trPr>
          <w:trHeight w:val="310"/>
        </w:trPr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DC3" w:rsidRPr="00A476D7" w:rsidRDefault="00E24DC3" w:rsidP="00E24DC3">
            <w:pPr>
              <w:ind w:firstLineChars="100" w:firstLine="16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76D7">
              <w:rPr>
                <w:rFonts w:ascii="Verdana" w:hAnsi="Verdana" w:cs="Arial"/>
                <w:sz w:val="16"/>
                <w:szCs w:val="16"/>
                <w:lang w:val="en-US"/>
              </w:rPr>
              <w:t>131 - 150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DC3" w:rsidRPr="00A476D7" w:rsidRDefault="00E24DC3" w:rsidP="00E24DC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76D7">
              <w:rPr>
                <w:rFonts w:ascii="Verdana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DC3" w:rsidRPr="00A476D7" w:rsidRDefault="00E24DC3" w:rsidP="00E24DC3">
            <w:pPr>
              <w:rPr>
                <w:rFonts w:ascii="Verdana" w:hAnsi="Verdana" w:cs="Arial"/>
                <w:sz w:val="16"/>
                <w:szCs w:val="16"/>
              </w:rPr>
            </w:pPr>
            <w:r w:rsidRPr="00A476D7">
              <w:rPr>
                <w:rFonts w:ascii="Verdana" w:hAnsi="Verdana" w:cs="Arial"/>
                <w:sz w:val="16"/>
                <w:szCs w:val="16"/>
              </w:rPr>
              <w:t>Angola</w:t>
            </w:r>
            <w:r>
              <w:rPr>
                <w:rFonts w:ascii="Verdana" w:hAnsi="Verdana" w:cs="Arial"/>
                <w:sz w:val="16"/>
                <w:szCs w:val="16"/>
              </w:rPr>
              <w:t>, Libya</w:t>
            </w:r>
            <w:r w:rsidRPr="00A476D7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A476D7">
              <w:rPr>
                <w:rFonts w:ascii="Verdana" w:hAnsi="Verdana" w:cs="Arial"/>
                <w:sz w:val="16"/>
                <w:szCs w:val="16"/>
              </w:rPr>
              <w:t>Nor</w:t>
            </w:r>
            <w:r>
              <w:rPr>
                <w:rFonts w:ascii="Verdana" w:hAnsi="Verdana" w:cs="Arial"/>
                <w:sz w:val="16"/>
                <w:szCs w:val="16"/>
              </w:rPr>
              <w:t>way</w:t>
            </w:r>
            <w:proofErr w:type="spellEnd"/>
            <w:r w:rsidRPr="00A476D7">
              <w:rPr>
                <w:rFonts w:ascii="Verdana" w:hAnsi="Verdana" w:cs="Arial"/>
                <w:sz w:val="16"/>
                <w:szCs w:val="16"/>
              </w:rPr>
              <w:t xml:space="preserve">, Russia,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United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States</w:t>
            </w:r>
            <w:proofErr w:type="spellEnd"/>
            <w:r w:rsidRPr="00A476D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E24DC3" w:rsidRPr="00A476D7" w:rsidTr="00E24DC3">
        <w:trPr>
          <w:trHeight w:val="310"/>
        </w:trPr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DC3" w:rsidRPr="00A476D7" w:rsidRDefault="00E24DC3" w:rsidP="00E24DC3">
            <w:pPr>
              <w:ind w:firstLineChars="100" w:firstLine="16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76D7">
              <w:rPr>
                <w:rFonts w:ascii="Verdana" w:hAnsi="Verdana" w:cs="Arial"/>
                <w:sz w:val="16"/>
                <w:szCs w:val="16"/>
                <w:lang w:val="en-US"/>
              </w:rPr>
              <w:t>151 - 180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DC3" w:rsidRPr="00A476D7" w:rsidRDefault="00E24DC3" w:rsidP="00E24DC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76D7">
              <w:rPr>
                <w:rFonts w:ascii="Verdana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DC3" w:rsidRPr="00A476D7" w:rsidRDefault="00E24DC3" w:rsidP="00E24DC3">
            <w:pPr>
              <w:rPr>
                <w:rFonts w:ascii="Verdana" w:hAnsi="Verdana" w:cs="Arial"/>
                <w:sz w:val="16"/>
                <w:szCs w:val="16"/>
              </w:rPr>
            </w:pPr>
            <w:r w:rsidRPr="00A476D7">
              <w:rPr>
                <w:rFonts w:ascii="Verdana" w:hAnsi="Verdana" w:cs="Arial"/>
                <w:sz w:val="16"/>
                <w:szCs w:val="16"/>
              </w:rPr>
              <w:t>Australia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  <w:r w:rsidRPr="00A476D7">
              <w:rPr>
                <w:rFonts w:ascii="Verdana" w:hAnsi="Verdana" w:cs="Arial"/>
                <w:sz w:val="16"/>
                <w:szCs w:val="16"/>
              </w:rPr>
              <w:t xml:space="preserve"> Venezuela </w:t>
            </w:r>
          </w:p>
        </w:tc>
      </w:tr>
      <w:tr w:rsidR="00E24DC3" w:rsidRPr="00A476D7" w:rsidTr="00E24DC3">
        <w:trPr>
          <w:trHeight w:val="310"/>
        </w:trPr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DC3" w:rsidRPr="00A476D7" w:rsidRDefault="00E24DC3" w:rsidP="00E24DC3">
            <w:pPr>
              <w:ind w:firstLineChars="100" w:firstLine="16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76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476D7">
              <w:rPr>
                <w:rFonts w:ascii="Verdana" w:hAnsi="Verdana" w:cs="Arial"/>
                <w:sz w:val="16"/>
                <w:szCs w:val="16"/>
                <w:lang w:val="en-US"/>
              </w:rPr>
              <w:t>&gt; 180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DC3" w:rsidRPr="00A476D7" w:rsidRDefault="00E24DC3" w:rsidP="00E24DC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76D7">
              <w:rPr>
                <w:rFonts w:ascii="Verdana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DC3" w:rsidRPr="00A476D7" w:rsidRDefault="00E24DC3" w:rsidP="00E24DC3">
            <w:pPr>
              <w:rPr>
                <w:rFonts w:ascii="Verdana" w:hAnsi="Verdana" w:cs="Arial"/>
                <w:sz w:val="16"/>
                <w:szCs w:val="16"/>
              </w:rPr>
            </w:pPr>
            <w:r w:rsidRPr="00A476D7">
              <w:rPr>
                <w:rFonts w:ascii="Verdana" w:hAnsi="Verdana" w:cs="Arial"/>
                <w:sz w:val="16"/>
                <w:szCs w:val="16"/>
              </w:rPr>
              <w:t xml:space="preserve">Algeria, </w:t>
            </w:r>
            <w:r>
              <w:rPr>
                <w:rFonts w:ascii="Verdana" w:hAnsi="Verdana" w:cs="Arial"/>
                <w:sz w:val="16"/>
                <w:szCs w:val="16"/>
              </w:rPr>
              <w:t xml:space="preserve">China, </w:t>
            </w:r>
            <w:proofErr w:type="spellStart"/>
            <w:r w:rsidRPr="00A476D7">
              <w:rPr>
                <w:rFonts w:ascii="Verdana" w:hAnsi="Verdana" w:cs="Arial"/>
                <w:sz w:val="16"/>
                <w:szCs w:val="16"/>
              </w:rPr>
              <w:t>Eg</w:t>
            </w:r>
            <w:r>
              <w:rPr>
                <w:rFonts w:ascii="Verdana" w:hAnsi="Verdana" w:cs="Arial"/>
                <w:sz w:val="16"/>
                <w:szCs w:val="16"/>
              </w:rPr>
              <w:t>ypt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,</w:t>
            </w:r>
            <w:r w:rsidRPr="00A476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India, </w:t>
            </w:r>
            <w:r w:rsidRPr="00A476D7">
              <w:rPr>
                <w:rFonts w:ascii="Verdana" w:hAnsi="Verdana" w:cs="Arial"/>
                <w:sz w:val="16"/>
                <w:szCs w:val="16"/>
              </w:rPr>
              <w:t>Indonesia</w:t>
            </w:r>
            <w:r>
              <w:rPr>
                <w:rFonts w:ascii="Verdana" w:hAnsi="Verdana" w:cs="Arial"/>
                <w:sz w:val="16"/>
                <w:szCs w:val="16"/>
              </w:rPr>
              <w:t>, Kazakistan, Nigeria</w:t>
            </w:r>
          </w:p>
        </w:tc>
      </w:tr>
      <w:tr w:rsidR="00E24DC3" w:rsidRPr="00A476D7" w:rsidTr="00E24DC3">
        <w:trPr>
          <w:trHeight w:val="310"/>
        </w:trPr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24DC3" w:rsidRPr="001E493A" w:rsidRDefault="00E24DC3" w:rsidP="00E24DC3">
            <w:pPr>
              <w:ind w:firstLineChars="100" w:firstLine="161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177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E24DC3" w:rsidRPr="00A476D7" w:rsidRDefault="00E24DC3" w:rsidP="00E24DC3">
            <w:pPr>
              <w:rPr>
                <w:rFonts w:ascii="Verdana" w:hAnsi="Verdana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A476D7">
              <w:rPr>
                <w:rFonts w:ascii="Verdana" w:hAnsi="Verdana" w:cs="Arial"/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24DC3" w:rsidRPr="00A476D7" w:rsidRDefault="00E24DC3" w:rsidP="00E24DC3">
            <w:pPr>
              <w:ind w:leftChars="-10" w:left="4" w:hangingChars="16" w:hanging="26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 xml:space="preserve">Global </w:t>
            </w:r>
            <w:proofErr w:type="spellStart"/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average</w:t>
            </w:r>
            <w:proofErr w:type="spellEnd"/>
          </w:p>
        </w:tc>
      </w:tr>
    </w:tbl>
    <w:p w:rsidR="00863D10" w:rsidRPr="00E24DC3" w:rsidRDefault="0020340A">
      <w:pPr>
        <w:rPr>
          <w:lang w:val="en-US"/>
        </w:rPr>
      </w:pPr>
    </w:p>
    <w:sectPr w:rsidR="00863D10" w:rsidRPr="00E24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10606"/>
    <w:multiLevelType w:val="hybridMultilevel"/>
    <w:tmpl w:val="2BCCA46C"/>
    <w:lvl w:ilvl="0" w:tplc="F3CA534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C3"/>
    <w:rsid w:val="001F7C11"/>
    <w:rsid w:val="0020340A"/>
    <w:rsid w:val="00355606"/>
    <w:rsid w:val="005A5E99"/>
    <w:rsid w:val="005D2C8F"/>
    <w:rsid w:val="006629D4"/>
    <w:rsid w:val="006E42DD"/>
    <w:rsid w:val="009275D5"/>
    <w:rsid w:val="00A001A0"/>
    <w:rsid w:val="00E24DC3"/>
    <w:rsid w:val="00E82018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6842C-CACD-48CA-B274-7967A47B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4D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24DC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24DC3"/>
    <w:rPr>
      <w:rFonts w:ascii="Calibri" w:hAnsi="Calibri" w:cs="Consolas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E24D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4DC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4DC3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Iacovacci</dc:creator>
  <cp:keywords/>
  <dc:description/>
  <cp:lastModifiedBy>Vetta Pasquale</cp:lastModifiedBy>
  <cp:revision>4</cp:revision>
  <dcterms:created xsi:type="dcterms:W3CDTF">2016-12-02T09:51:00Z</dcterms:created>
  <dcterms:modified xsi:type="dcterms:W3CDTF">2016-12-02T14:37:00Z</dcterms:modified>
</cp:coreProperties>
</file>