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7EA6" w14:textId="452348E2" w:rsidR="006C2B3C" w:rsidRDefault="006C2B3C" w:rsidP="006C2B3C">
      <w:pPr>
        <w:spacing w:after="0" w:line="240" w:lineRule="auto"/>
        <w:rPr>
          <w:rFonts w:asciiTheme="minorBidi" w:hAnsiTheme="minorBidi"/>
          <w:b/>
          <w:bCs/>
          <w:sz w:val="21"/>
          <w:szCs w:val="21"/>
        </w:rPr>
      </w:pPr>
      <w:r>
        <w:rPr>
          <w:rFonts w:asciiTheme="minorBidi" w:hAnsiTheme="minorBidi"/>
          <w:b/>
          <w:bCs/>
          <w:sz w:val="21"/>
          <w:szCs w:val="21"/>
        </w:rPr>
        <w:t>HSBC</w:t>
      </w:r>
      <w:r w:rsidRPr="00E50934">
        <w:rPr>
          <w:rFonts w:asciiTheme="minorBidi" w:hAnsiTheme="minorBidi"/>
          <w:b/>
          <w:bCs/>
          <w:sz w:val="21"/>
          <w:szCs w:val="21"/>
        </w:rPr>
        <w:t xml:space="preserve"> response </w:t>
      </w:r>
    </w:p>
    <w:p w14:paraId="072082B2" w14:textId="77777777" w:rsidR="006C2B3C" w:rsidRPr="00E50934" w:rsidRDefault="006C2B3C" w:rsidP="006C2B3C">
      <w:pPr>
        <w:spacing w:after="0" w:line="240" w:lineRule="auto"/>
        <w:rPr>
          <w:rFonts w:asciiTheme="minorBidi" w:hAnsiTheme="minorBidi"/>
          <w:b/>
          <w:bCs/>
          <w:sz w:val="21"/>
          <w:szCs w:val="21"/>
        </w:rPr>
      </w:pPr>
    </w:p>
    <w:p w14:paraId="054298B8" w14:textId="77777777" w:rsidR="006C2B3C" w:rsidRDefault="006C2B3C" w:rsidP="006C2B3C">
      <w:pPr>
        <w:spacing w:after="0" w:line="240" w:lineRule="auto"/>
        <w:rPr>
          <w:rFonts w:asciiTheme="minorBidi" w:hAnsiTheme="minorBidi"/>
          <w:sz w:val="21"/>
          <w:szCs w:val="21"/>
        </w:rPr>
      </w:pPr>
      <w:r w:rsidRPr="00E50934">
        <w:rPr>
          <w:rFonts w:asciiTheme="minorBidi" w:hAnsiTheme="minorBidi"/>
          <w:sz w:val="21"/>
          <w:szCs w:val="21"/>
        </w:rPr>
        <w:t xml:space="preserve">9 July 2018 </w:t>
      </w:r>
    </w:p>
    <w:p w14:paraId="66E98B35" w14:textId="77777777" w:rsidR="006C2B3C" w:rsidRPr="00E50934" w:rsidRDefault="006C2B3C" w:rsidP="006C2B3C">
      <w:pPr>
        <w:spacing w:after="0" w:line="240" w:lineRule="auto"/>
        <w:rPr>
          <w:rFonts w:asciiTheme="minorBidi" w:hAnsiTheme="minorBidi"/>
          <w:sz w:val="21"/>
          <w:szCs w:val="21"/>
        </w:rPr>
      </w:pPr>
    </w:p>
    <w:p w14:paraId="288E4B38" w14:textId="6EE8AADB" w:rsidR="006C2B3C" w:rsidRDefault="006C2B3C" w:rsidP="006C2B3C">
      <w:pPr>
        <w:spacing w:after="0" w:line="240" w:lineRule="auto"/>
        <w:rPr>
          <w:rFonts w:asciiTheme="minorBidi" w:hAnsiTheme="minorBidi"/>
          <w:sz w:val="21"/>
          <w:szCs w:val="21"/>
        </w:rPr>
      </w:pPr>
      <w:r w:rsidRPr="00E50934">
        <w:rPr>
          <w:rFonts w:asciiTheme="minorBidi" w:hAnsiTheme="minorBidi"/>
          <w:sz w:val="21"/>
          <w:szCs w:val="21"/>
        </w:rPr>
        <w:t xml:space="preserve">Business &amp; Human Rights Resource Centre invited </w:t>
      </w:r>
      <w:r>
        <w:rPr>
          <w:rFonts w:asciiTheme="minorBidi" w:hAnsiTheme="minorBidi"/>
          <w:sz w:val="21"/>
          <w:szCs w:val="21"/>
        </w:rPr>
        <w:t>HSBC</w:t>
      </w:r>
      <w:r w:rsidRPr="00E50934">
        <w:rPr>
          <w:rFonts w:asciiTheme="minorBidi" w:hAnsiTheme="minorBidi"/>
          <w:sz w:val="21"/>
          <w:szCs w:val="21"/>
        </w:rPr>
        <w:t xml:space="preserve"> to respond to the following report: </w:t>
      </w:r>
    </w:p>
    <w:p w14:paraId="6EEF8E4A" w14:textId="77777777" w:rsidR="0091796E" w:rsidRPr="00E50934" w:rsidRDefault="0091796E" w:rsidP="006C2B3C">
      <w:pPr>
        <w:spacing w:after="0" w:line="240" w:lineRule="auto"/>
        <w:rPr>
          <w:rFonts w:asciiTheme="minorBidi" w:hAnsiTheme="minorBidi"/>
          <w:sz w:val="21"/>
          <w:szCs w:val="21"/>
        </w:rPr>
      </w:pPr>
    </w:p>
    <w:p w14:paraId="75E86A73" w14:textId="77777777" w:rsidR="006C2B3C" w:rsidRPr="00E50934" w:rsidRDefault="006C2B3C" w:rsidP="006C2B3C">
      <w:pPr>
        <w:spacing w:after="0" w:line="240" w:lineRule="auto"/>
        <w:ind w:left="720"/>
        <w:rPr>
          <w:rFonts w:asciiTheme="minorBidi" w:hAnsiTheme="minorBidi"/>
          <w:sz w:val="21"/>
          <w:szCs w:val="21"/>
        </w:rPr>
      </w:pPr>
      <w:r w:rsidRPr="00E50934">
        <w:rPr>
          <w:rFonts w:asciiTheme="minorBidi" w:hAnsiTheme="minorBidi"/>
          <w:sz w:val="21"/>
          <w:szCs w:val="21"/>
        </w:rPr>
        <w:t xml:space="preserve">• </w:t>
      </w:r>
      <w:r w:rsidRPr="00E50934">
        <w:rPr>
          <w:rFonts w:asciiTheme="minorBidi" w:eastAsia="Times New Roman" w:hAnsiTheme="minorBidi"/>
          <w:color w:val="212121"/>
          <w:sz w:val="21"/>
          <w:szCs w:val="21"/>
          <w:lang w:val="de-CH"/>
        </w:rPr>
        <w:t>"</w:t>
      </w:r>
      <w:r w:rsidRPr="00E50934">
        <w:rPr>
          <w:rFonts w:asciiTheme="minorBidi" w:eastAsia="Times New Roman" w:hAnsiTheme="minorBidi"/>
          <w:color w:val="212121"/>
          <w:sz w:val="21"/>
          <w:szCs w:val="21"/>
          <w:lang w:val="de-CH"/>
        </w:rPr>
        <w:fldChar w:fldCharType="begin"/>
      </w:r>
      <w:r w:rsidRPr="00E50934">
        <w:rPr>
          <w:rFonts w:asciiTheme="minorBidi" w:eastAsia="Times New Roman" w:hAnsiTheme="minorBidi"/>
          <w:color w:val="212121"/>
          <w:sz w:val="21"/>
          <w:szCs w:val="21"/>
          <w:lang w:val="de-CH"/>
        </w:rPr>
        <w:instrText xml:space="preserve"> HYPERLINK "http://www.facing-finance.org/files/2018/05/DP6_ONLINEXVERSION.pdf" </w:instrText>
      </w:r>
      <w:r w:rsidRPr="00E50934">
        <w:rPr>
          <w:rFonts w:asciiTheme="minorBidi" w:eastAsia="Times New Roman" w:hAnsiTheme="minorBidi"/>
          <w:color w:val="212121"/>
          <w:sz w:val="21"/>
          <w:szCs w:val="21"/>
          <w:lang w:val="de-CH"/>
        </w:rPr>
        <w:fldChar w:fldCharType="separate"/>
      </w:r>
      <w:r w:rsidRPr="00E50934">
        <w:rPr>
          <w:rStyle w:val="Hyperlink"/>
          <w:rFonts w:asciiTheme="minorBidi" w:eastAsia="Times New Roman" w:hAnsiTheme="minorBidi"/>
          <w:sz w:val="21"/>
          <w:szCs w:val="21"/>
          <w:lang w:val="de-CH"/>
        </w:rPr>
        <w:t>Dirty Profits 6: Mining and Extractive Companies, Promises and Progress</w:t>
      </w:r>
      <w:r w:rsidRPr="00E50934">
        <w:rPr>
          <w:rFonts w:asciiTheme="minorBidi" w:eastAsia="Times New Roman" w:hAnsiTheme="minorBidi"/>
          <w:color w:val="212121"/>
          <w:sz w:val="21"/>
          <w:szCs w:val="21"/>
          <w:lang w:val="de-CH"/>
        </w:rPr>
        <w:fldChar w:fldCharType="end"/>
      </w:r>
      <w:r w:rsidRPr="00E50934">
        <w:rPr>
          <w:rFonts w:asciiTheme="minorBidi" w:eastAsia="Times New Roman" w:hAnsiTheme="minorBidi"/>
          <w:color w:val="212121"/>
          <w:sz w:val="21"/>
          <w:szCs w:val="21"/>
          <w:lang w:val="de-CH"/>
        </w:rPr>
        <w:t>”, Facing Finance, May 2018</w:t>
      </w:r>
      <w:r w:rsidRPr="00E50934">
        <w:rPr>
          <w:rFonts w:asciiTheme="minorBidi" w:eastAsia="Times New Roman" w:hAnsiTheme="minorBidi"/>
          <w:i/>
          <w:iCs/>
          <w:color w:val="212121"/>
          <w:sz w:val="21"/>
          <w:szCs w:val="21"/>
          <w:lang w:val="de-CH"/>
        </w:rPr>
        <w:t> </w:t>
      </w:r>
    </w:p>
    <w:p w14:paraId="7048A613" w14:textId="77777777" w:rsidR="006C2B3C" w:rsidRPr="00E50934" w:rsidRDefault="006C2B3C" w:rsidP="006C2B3C">
      <w:pPr>
        <w:spacing w:after="0" w:line="240" w:lineRule="auto"/>
        <w:rPr>
          <w:rFonts w:asciiTheme="minorBidi" w:hAnsiTheme="minorBidi"/>
          <w:sz w:val="21"/>
          <w:szCs w:val="21"/>
        </w:rPr>
      </w:pPr>
    </w:p>
    <w:p w14:paraId="2E18211D" w14:textId="70828D76" w:rsidR="006C2B3C" w:rsidRDefault="006C2B3C" w:rsidP="006C2B3C">
      <w:pPr>
        <w:spacing w:after="0" w:line="240" w:lineRule="auto"/>
        <w:rPr>
          <w:rFonts w:asciiTheme="minorBidi" w:hAnsiTheme="minorBidi"/>
          <w:sz w:val="21"/>
          <w:szCs w:val="21"/>
        </w:rPr>
      </w:pPr>
      <w:r>
        <w:rPr>
          <w:rFonts w:asciiTheme="minorBidi" w:hAnsiTheme="minorBidi"/>
          <w:sz w:val="21"/>
          <w:szCs w:val="21"/>
        </w:rPr>
        <w:t>HSBC</w:t>
      </w:r>
      <w:r w:rsidRPr="00E50934">
        <w:rPr>
          <w:rFonts w:asciiTheme="minorBidi" w:hAnsiTheme="minorBidi"/>
          <w:sz w:val="21"/>
          <w:szCs w:val="21"/>
        </w:rPr>
        <w:t xml:space="preserve"> sent the following response:</w:t>
      </w:r>
    </w:p>
    <w:p w14:paraId="6EBB12E6" w14:textId="77777777" w:rsidR="006C2B3C" w:rsidRPr="00E50934" w:rsidRDefault="006C2B3C" w:rsidP="006C2B3C">
      <w:pPr>
        <w:spacing w:after="0" w:line="240" w:lineRule="auto"/>
        <w:rPr>
          <w:rFonts w:asciiTheme="minorBidi" w:hAnsiTheme="minorBidi"/>
          <w:sz w:val="21"/>
          <w:szCs w:val="21"/>
        </w:rPr>
      </w:pPr>
    </w:p>
    <w:p w14:paraId="55996AED" w14:textId="19315E24" w:rsidR="006C2B3C" w:rsidRPr="006C2B3C" w:rsidRDefault="006C2B3C" w:rsidP="006C2B3C">
      <w:pPr>
        <w:spacing w:after="0" w:line="240" w:lineRule="auto"/>
        <w:rPr>
          <w:rFonts w:asciiTheme="minorBidi" w:hAnsiTheme="minorBidi"/>
          <w:sz w:val="21"/>
          <w:szCs w:val="21"/>
          <w:lang w:val="en-GB"/>
        </w:rPr>
      </w:pPr>
      <w:r w:rsidRPr="006C2B3C">
        <w:rPr>
          <w:rFonts w:asciiTheme="minorBidi" w:hAnsiTheme="minorBidi"/>
          <w:sz w:val="21"/>
          <w:szCs w:val="21"/>
          <w:lang w:val="en-GB"/>
        </w:rPr>
        <w:t xml:space="preserve">“Thank you for giving us the opportunity to comment on Facing Finance’s forthcoming publication, </w:t>
      </w:r>
      <w:r w:rsidRPr="006C2B3C">
        <w:rPr>
          <w:rFonts w:asciiTheme="minorBidi" w:hAnsiTheme="minorBidi"/>
          <w:i/>
          <w:iCs/>
          <w:sz w:val="21"/>
          <w:szCs w:val="21"/>
          <w:lang w:val="en-GB"/>
        </w:rPr>
        <w:t>Dirty Profits 6</w:t>
      </w:r>
      <w:r w:rsidRPr="006C2B3C">
        <w:rPr>
          <w:rFonts w:asciiTheme="minorBidi" w:hAnsiTheme="minorBidi"/>
          <w:sz w:val="21"/>
          <w:szCs w:val="21"/>
          <w:lang w:val="en-GB"/>
        </w:rPr>
        <w:t>.</w:t>
      </w:r>
    </w:p>
    <w:p w14:paraId="79A7E2A2" w14:textId="77777777" w:rsidR="006C2B3C" w:rsidRPr="006C2B3C" w:rsidRDefault="006C2B3C" w:rsidP="006C2B3C">
      <w:pPr>
        <w:spacing w:after="0" w:line="240" w:lineRule="auto"/>
        <w:rPr>
          <w:rFonts w:asciiTheme="minorBidi" w:hAnsiTheme="minorBidi"/>
          <w:sz w:val="21"/>
          <w:szCs w:val="21"/>
          <w:lang w:val="en-GB"/>
        </w:rPr>
      </w:pPr>
      <w:bookmarkStart w:id="0" w:name="_GoBack"/>
      <w:bookmarkEnd w:id="0"/>
    </w:p>
    <w:p w14:paraId="38AE4734" w14:textId="15F551BD" w:rsidR="006C2B3C" w:rsidRPr="006C2B3C" w:rsidRDefault="006C2B3C" w:rsidP="006C2B3C">
      <w:pPr>
        <w:spacing w:after="0" w:line="240" w:lineRule="auto"/>
        <w:rPr>
          <w:rFonts w:asciiTheme="minorBidi" w:hAnsiTheme="minorBidi"/>
          <w:sz w:val="21"/>
          <w:szCs w:val="21"/>
          <w:lang w:val="en-GB"/>
        </w:rPr>
      </w:pPr>
      <w:proofErr w:type="spellStart"/>
      <w:r w:rsidRPr="006C2B3C">
        <w:rPr>
          <w:rFonts w:asciiTheme="minorBidi" w:hAnsiTheme="minorBidi"/>
          <w:b/>
          <w:bCs/>
          <w:sz w:val="21"/>
          <w:szCs w:val="21"/>
          <w:lang w:val="en-GB"/>
        </w:rPr>
        <w:t>Samarco</w:t>
      </w:r>
      <w:proofErr w:type="spellEnd"/>
    </w:p>
    <w:p w14:paraId="10EE7487" w14:textId="7F4D7E26" w:rsidR="006C2B3C" w:rsidRPr="006C2B3C" w:rsidRDefault="006C2B3C" w:rsidP="006C2B3C">
      <w:pPr>
        <w:spacing w:after="0" w:line="240" w:lineRule="auto"/>
        <w:rPr>
          <w:rFonts w:asciiTheme="minorBidi" w:hAnsiTheme="minorBidi"/>
          <w:sz w:val="21"/>
          <w:szCs w:val="21"/>
          <w:lang w:val="en-GB"/>
        </w:rPr>
      </w:pPr>
      <w:r w:rsidRPr="006C2B3C">
        <w:rPr>
          <w:rFonts w:asciiTheme="minorBidi" w:hAnsiTheme="minorBidi"/>
          <w:sz w:val="21"/>
          <w:szCs w:val="21"/>
          <w:lang w:val="en-GB"/>
        </w:rPr>
        <w:t>Your letter asks about our own due diligence and any engagement with the company.  As you expected, we are unable to provide further information on these subjects, because of our ongoing duty of client confidentiality.</w:t>
      </w:r>
    </w:p>
    <w:p w14:paraId="26F92255" w14:textId="77777777" w:rsidR="006C2B3C" w:rsidRPr="006C2B3C" w:rsidRDefault="006C2B3C" w:rsidP="006C2B3C">
      <w:pPr>
        <w:spacing w:after="0" w:line="240" w:lineRule="auto"/>
        <w:rPr>
          <w:rFonts w:asciiTheme="minorBidi" w:hAnsiTheme="minorBidi"/>
          <w:sz w:val="21"/>
          <w:szCs w:val="21"/>
          <w:lang w:val="en-GB"/>
        </w:rPr>
      </w:pPr>
      <w:r w:rsidRPr="006C2B3C">
        <w:rPr>
          <w:rFonts w:asciiTheme="minorBidi" w:hAnsiTheme="minorBidi"/>
          <w:sz w:val="21"/>
          <w:szCs w:val="21"/>
          <w:lang w:val="en-GB"/>
        </w:rPr>
        <w:t xml:space="preserve">  </w:t>
      </w:r>
    </w:p>
    <w:p w14:paraId="20548F3B" w14:textId="32E4E91C" w:rsidR="006C2B3C" w:rsidRDefault="006C2B3C" w:rsidP="006C2B3C">
      <w:pPr>
        <w:spacing w:after="0" w:line="240" w:lineRule="auto"/>
        <w:rPr>
          <w:rFonts w:asciiTheme="minorBidi" w:hAnsiTheme="minorBidi"/>
          <w:sz w:val="21"/>
          <w:szCs w:val="21"/>
          <w:lang w:val="en-GB"/>
        </w:rPr>
      </w:pPr>
      <w:r w:rsidRPr="006C2B3C">
        <w:rPr>
          <w:rFonts w:asciiTheme="minorBidi" w:hAnsiTheme="minorBidi"/>
          <w:sz w:val="21"/>
          <w:szCs w:val="21"/>
          <w:lang w:val="en-GB"/>
        </w:rPr>
        <w:t xml:space="preserve">More generally, our 2007 Mining and Metals policy did explicitly cover the issue of tailings, and our revised policy (2016)  recognises that the mining sector </w:t>
      </w:r>
      <w:r w:rsidR="00F32E86">
        <w:rPr>
          <w:rFonts w:asciiTheme="minorBidi" w:hAnsiTheme="minorBidi"/>
          <w:sz w:val="21"/>
          <w:szCs w:val="21"/>
          <w:lang w:val="en-GB"/>
        </w:rPr>
        <w:t>‘</w:t>
      </w:r>
      <w:r w:rsidRPr="006C2B3C">
        <w:rPr>
          <w:rFonts w:asciiTheme="minorBidi" w:hAnsiTheme="minorBidi"/>
          <w:sz w:val="21"/>
          <w:szCs w:val="21"/>
          <w:lang w:val="en-GB"/>
        </w:rPr>
        <w:t>can have unacceptable adverse impacts on people or on the environment</w:t>
      </w:r>
      <w:r w:rsidR="00F32E86">
        <w:rPr>
          <w:rFonts w:asciiTheme="minorBidi" w:hAnsiTheme="minorBidi"/>
          <w:sz w:val="21"/>
          <w:szCs w:val="21"/>
          <w:lang w:val="en-GB"/>
        </w:rPr>
        <w:t>’</w:t>
      </w:r>
      <w:r w:rsidRPr="006C2B3C">
        <w:rPr>
          <w:rFonts w:asciiTheme="minorBidi" w:hAnsiTheme="minorBidi"/>
          <w:sz w:val="21"/>
          <w:szCs w:val="21"/>
          <w:lang w:val="en-GB"/>
        </w:rPr>
        <w:t xml:space="preserve"> and includes specific restrictions, requiring enhanced due diligence, around  human rights issues and where there is a poor sustainability track record, including material accidents, spills or pollution.</w:t>
      </w:r>
    </w:p>
    <w:p w14:paraId="32647868" w14:textId="77777777" w:rsidR="006C2B3C" w:rsidRPr="006C2B3C" w:rsidRDefault="006C2B3C" w:rsidP="006C2B3C">
      <w:pPr>
        <w:spacing w:after="0" w:line="240" w:lineRule="auto"/>
        <w:rPr>
          <w:rFonts w:asciiTheme="minorBidi" w:hAnsiTheme="minorBidi"/>
          <w:sz w:val="21"/>
          <w:szCs w:val="21"/>
          <w:lang w:val="en-GB"/>
        </w:rPr>
      </w:pPr>
    </w:p>
    <w:p w14:paraId="67079AFB" w14:textId="536BFBDB" w:rsidR="006C2B3C" w:rsidRPr="006C2B3C" w:rsidRDefault="006C2B3C" w:rsidP="006C2B3C">
      <w:pPr>
        <w:spacing w:after="0" w:line="240" w:lineRule="auto"/>
        <w:rPr>
          <w:rFonts w:asciiTheme="minorBidi" w:hAnsiTheme="minorBidi"/>
          <w:sz w:val="21"/>
          <w:szCs w:val="21"/>
          <w:lang w:val="en-GB"/>
        </w:rPr>
      </w:pPr>
      <w:r w:rsidRPr="006C2B3C">
        <w:rPr>
          <w:rFonts w:asciiTheme="minorBidi" w:hAnsiTheme="minorBidi"/>
          <w:sz w:val="21"/>
          <w:szCs w:val="21"/>
          <w:lang w:val="en-GB"/>
        </w:rPr>
        <w:t>HSBC works with clients who meet its sustainability standards and those who are making credible progress towards meeting them; but where clients are unwilling or unable to meet those standards, we will end the relationship.</w:t>
      </w:r>
    </w:p>
    <w:p w14:paraId="29D17324" w14:textId="77777777" w:rsidR="006C2B3C" w:rsidRPr="006C2B3C" w:rsidRDefault="006C2B3C" w:rsidP="006C2B3C">
      <w:pPr>
        <w:spacing w:after="0" w:line="240" w:lineRule="auto"/>
        <w:rPr>
          <w:rFonts w:asciiTheme="minorBidi" w:hAnsiTheme="minorBidi"/>
          <w:sz w:val="21"/>
          <w:szCs w:val="21"/>
          <w:lang w:val="en-GB"/>
        </w:rPr>
      </w:pPr>
    </w:p>
    <w:p w14:paraId="633AEB64" w14:textId="70A9E4BC" w:rsidR="006C2B3C" w:rsidRPr="006C2B3C" w:rsidRDefault="006C2B3C" w:rsidP="006C2B3C">
      <w:pPr>
        <w:spacing w:after="0" w:line="240" w:lineRule="auto"/>
        <w:rPr>
          <w:rFonts w:asciiTheme="minorBidi" w:hAnsiTheme="minorBidi"/>
          <w:sz w:val="21"/>
          <w:szCs w:val="21"/>
          <w:lang w:val="en-GB"/>
        </w:rPr>
      </w:pPr>
      <w:r w:rsidRPr="006C2B3C">
        <w:rPr>
          <w:rFonts w:asciiTheme="minorBidi" w:hAnsiTheme="minorBidi"/>
          <w:b/>
          <w:bCs/>
          <w:sz w:val="21"/>
          <w:szCs w:val="21"/>
          <w:lang w:val="en-GB"/>
        </w:rPr>
        <w:t>Financial data</w:t>
      </w:r>
    </w:p>
    <w:p w14:paraId="666547D3" w14:textId="40B8FAE1" w:rsidR="006C2B3C" w:rsidRPr="006C2B3C" w:rsidRDefault="006C2B3C" w:rsidP="006C2B3C">
      <w:pPr>
        <w:spacing w:after="0" w:line="240" w:lineRule="auto"/>
        <w:rPr>
          <w:rFonts w:asciiTheme="minorBidi" w:hAnsiTheme="minorBidi"/>
          <w:sz w:val="21"/>
          <w:szCs w:val="21"/>
          <w:lang w:val="en-GB"/>
        </w:rPr>
      </w:pPr>
      <w:r w:rsidRPr="006C2B3C">
        <w:rPr>
          <w:rFonts w:asciiTheme="minorBidi" w:hAnsiTheme="minorBidi"/>
          <w:sz w:val="21"/>
          <w:szCs w:val="21"/>
          <w:lang w:val="en-GB"/>
        </w:rPr>
        <w:t>We do not generally comment on the financial information used by Facing Finance in compiling its reports.  We most frequently appear on shareholder registers where we are the nominee holder or custodian for our clients’ assets - we have not made the underlying investment decision and are not the beneficial owner of the assets.”</w:t>
      </w:r>
    </w:p>
    <w:p w14:paraId="0BA4E8F5" w14:textId="05EEAABC" w:rsidR="006C2B3C" w:rsidRPr="006C2B3C" w:rsidRDefault="006C2B3C" w:rsidP="006C2B3C">
      <w:pPr>
        <w:spacing w:after="0" w:line="240" w:lineRule="auto"/>
        <w:rPr>
          <w:rFonts w:asciiTheme="minorBidi" w:hAnsiTheme="minorBidi"/>
          <w:sz w:val="21"/>
          <w:szCs w:val="21"/>
          <w:lang w:val="en-GB"/>
        </w:rPr>
      </w:pPr>
    </w:p>
    <w:p w14:paraId="49BAE8B9" w14:textId="77777777" w:rsidR="00971574" w:rsidRDefault="00971574"/>
    <w:sectPr w:rsidR="0097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3C"/>
    <w:rsid w:val="006C2B3C"/>
    <w:rsid w:val="0091796E"/>
    <w:rsid w:val="00971574"/>
    <w:rsid w:val="00C72A29"/>
    <w:rsid w:val="00DB4486"/>
    <w:rsid w:val="00F32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8312"/>
  <w15:chartTrackingRefBased/>
  <w15:docId w15:val="{40563ACC-2801-44E7-A651-49E07AC6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B3C"/>
    <w:rPr>
      <w:color w:val="0563C1" w:themeColor="hyperlink"/>
      <w:u w:val="single"/>
    </w:rPr>
  </w:style>
  <w:style w:type="character" w:styleId="FollowedHyperlink">
    <w:name w:val="FollowedHyperlink"/>
    <w:basedOn w:val="DefaultParagraphFont"/>
    <w:uiPriority w:val="99"/>
    <w:semiHidden/>
    <w:unhideWhenUsed/>
    <w:rsid w:val="006C2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3599">
      <w:bodyDiv w:val="1"/>
      <w:marLeft w:val="0"/>
      <w:marRight w:val="0"/>
      <w:marTop w:val="0"/>
      <w:marBottom w:val="0"/>
      <w:divBdr>
        <w:top w:val="none" w:sz="0" w:space="0" w:color="auto"/>
        <w:left w:val="none" w:sz="0" w:space="0" w:color="auto"/>
        <w:bottom w:val="none" w:sz="0" w:space="0" w:color="auto"/>
        <w:right w:val="none" w:sz="0" w:space="0" w:color="auto"/>
      </w:divBdr>
    </w:div>
    <w:div w:id="6724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Intern-NYC BHRRC</dc:creator>
  <cp:keywords/>
  <dc:description/>
  <cp:lastModifiedBy>Intern-NYC BHRRC</cp:lastModifiedBy>
  <cp:revision>3</cp:revision>
  <dcterms:created xsi:type="dcterms:W3CDTF">2018-07-10T20:33:00Z</dcterms:created>
  <dcterms:modified xsi:type="dcterms:W3CDTF">2018-07-10T20:59:00Z</dcterms:modified>
</cp:coreProperties>
</file>