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6E5A" w:rsidRDefault="00696E5A" w:rsidP="007D7F34">
      <w:bookmarkStart w:id="0" w:name="_GoBack"/>
      <w:bookmarkEnd w:id="0"/>
    </w:p>
    <w:p w:rsidR="007D7F34" w:rsidRDefault="007D7F34" w:rsidP="007D7F34"/>
    <w:p w:rsidR="007D7F34" w:rsidRDefault="007D7F34" w:rsidP="007D7F34"/>
    <w:p w:rsidR="007D7F34" w:rsidRDefault="007D7F34" w:rsidP="007D7F34"/>
    <w:p w:rsidR="00866B06" w:rsidRDefault="00E643E0" w:rsidP="00E643E0">
      <w:pPr>
        <w:spacing w:before="240" w:line="360" w:lineRule="auto"/>
        <w:jc w:val="center"/>
        <w:rPr>
          <w:rFonts w:ascii="Calibri" w:eastAsia="Calibri" w:hAnsi="Calibri" w:cs="Times New Roman"/>
          <w:b/>
          <w:sz w:val="28"/>
          <w:szCs w:val="28"/>
          <w:lang w:val="es-ES"/>
        </w:rPr>
      </w:pPr>
      <w:r>
        <w:rPr>
          <w:rFonts w:ascii="Calibri" w:eastAsia="Calibri" w:hAnsi="Calibri" w:cs="Times New Roman"/>
          <w:b/>
          <w:sz w:val="28"/>
          <w:szCs w:val="28"/>
          <w:lang w:val="es-ES"/>
        </w:rPr>
        <w:t>ATENTADO CONTRA LÍDER INDÍGENA DEL PUEBLO TOLUPAN</w:t>
      </w:r>
    </w:p>
    <w:p w:rsidR="00E643E0" w:rsidRDefault="00E643E0" w:rsidP="00E643E0">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 xml:space="preserve">Alrededor de las 12:30 de la noche del jueves 12 de octubre fue objeto de atentado criminal el indígena Luis Electerio Mejía, líder del pueblo Tolupan en la tribu La Candelaria, ubicada entre los municipios de Morazán y El Negrito en el departamento de Yoro, república de Honduras. A la hora mencionada y cuando la familia de Luis se encontraba durmiendo se escuchó la detonación de al menos 5 </w:t>
      </w:r>
      <w:r w:rsidR="006922A3">
        <w:rPr>
          <w:rFonts w:ascii="Calibri" w:eastAsia="Calibri" w:hAnsi="Calibri" w:cs="Times New Roman"/>
          <w:sz w:val="28"/>
          <w:szCs w:val="28"/>
          <w:lang w:val="es-ES"/>
        </w:rPr>
        <w:t>proyectiles</w:t>
      </w:r>
      <w:r>
        <w:rPr>
          <w:rFonts w:ascii="Calibri" w:eastAsia="Calibri" w:hAnsi="Calibri" w:cs="Times New Roman"/>
          <w:sz w:val="28"/>
          <w:szCs w:val="28"/>
          <w:lang w:val="es-ES"/>
        </w:rPr>
        <w:t xml:space="preserve"> de arma de fuego</w:t>
      </w:r>
      <w:r w:rsidR="00A35AEC">
        <w:rPr>
          <w:rFonts w:ascii="Calibri" w:eastAsia="Calibri" w:hAnsi="Calibri" w:cs="Times New Roman"/>
          <w:sz w:val="28"/>
          <w:szCs w:val="28"/>
          <w:lang w:val="es-ES"/>
        </w:rPr>
        <w:t xml:space="preserve"> que impactaron contra la pared y puerta de la casa de habitación del líder tolupan.</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6922A3" w:rsidTr="00CA18BC">
        <w:trPr>
          <w:jc w:val="center"/>
        </w:trPr>
        <w:tc>
          <w:tcPr>
            <w:tcW w:w="8828" w:type="dxa"/>
            <w:gridSpan w:val="2"/>
          </w:tcPr>
          <w:p w:rsidR="006922A3" w:rsidRPr="00CA18BC" w:rsidRDefault="006922A3" w:rsidP="006922A3">
            <w:pPr>
              <w:jc w:val="center"/>
              <w:rPr>
                <w:rFonts w:ascii="Calibri" w:eastAsia="Calibri" w:hAnsi="Calibri" w:cs="Times New Roman"/>
                <w:b/>
                <w:sz w:val="28"/>
                <w:szCs w:val="28"/>
                <w:u w:val="single"/>
                <w:lang w:val="es-ES"/>
              </w:rPr>
            </w:pPr>
            <w:r w:rsidRPr="00CA18BC">
              <w:rPr>
                <w:rFonts w:ascii="Calibri" w:eastAsia="Calibri" w:hAnsi="Calibri" w:cs="Times New Roman"/>
                <w:b/>
                <w:sz w:val="28"/>
                <w:szCs w:val="28"/>
                <w:u w:val="single"/>
                <w:lang w:val="es-ES"/>
              </w:rPr>
              <w:t xml:space="preserve">Impactos de bala en la puerta </w:t>
            </w:r>
          </w:p>
        </w:tc>
      </w:tr>
      <w:tr w:rsidR="006922A3" w:rsidTr="00CA18BC">
        <w:trPr>
          <w:jc w:val="center"/>
        </w:trPr>
        <w:tc>
          <w:tcPr>
            <w:tcW w:w="4414" w:type="dxa"/>
          </w:tcPr>
          <w:p w:rsidR="006922A3" w:rsidRDefault="006922A3" w:rsidP="006922A3">
            <w:pPr>
              <w:jc w:val="both"/>
              <w:rPr>
                <w:rFonts w:ascii="Calibri" w:eastAsia="Calibri" w:hAnsi="Calibri" w:cs="Times New Roman"/>
                <w:sz w:val="28"/>
                <w:szCs w:val="28"/>
                <w:lang w:val="es-ES"/>
              </w:rPr>
            </w:pPr>
          </w:p>
          <w:p w:rsidR="006922A3" w:rsidRDefault="006922A3" w:rsidP="006922A3">
            <w:pPr>
              <w:jc w:val="center"/>
              <w:rPr>
                <w:rFonts w:ascii="Calibri" w:eastAsia="Calibri" w:hAnsi="Calibri" w:cs="Times New Roman"/>
                <w:sz w:val="28"/>
                <w:szCs w:val="28"/>
                <w:lang w:val="es-ES"/>
              </w:rPr>
            </w:pPr>
            <w:r>
              <w:rPr>
                <w:rFonts w:ascii="Calibri" w:eastAsia="Calibri" w:hAnsi="Calibri" w:cs="Times New Roman"/>
                <w:noProof/>
                <w:sz w:val="28"/>
                <w:szCs w:val="28"/>
                <w:lang w:val="es-ES"/>
              </w:rPr>
              <w:drawing>
                <wp:inline distT="0" distB="0" distL="0" distR="0" wp14:anchorId="0EDE4259">
                  <wp:extent cx="2476500" cy="29813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2981325"/>
                          </a:xfrm>
                          <a:prstGeom prst="rect">
                            <a:avLst/>
                          </a:prstGeom>
                          <a:noFill/>
                        </pic:spPr>
                      </pic:pic>
                    </a:graphicData>
                  </a:graphic>
                </wp:inline>
              </w:drawing>
            </w:r>
          </w:p>
          <w:p w:rsidR="006922A3" w:rsidRDefault="006922A3" w:rsidP="006922A3">
            <w:pPr>
              <w:jc w:val="both"/>
              <w:rPr>
                <w:rFonts w:ascii="Calibri" w:eastAsia="Calibri" w:hAnsi="Calibri" w:cs="Times New Roman"/>
                <w:sz w:val="28"/>
                <w:szCs w:val="28"/>
                <w:lang w:val="es-ES"/>
              </w:rPr>
            </w:pPr>
          </w:p>
        </w:tc>
        <w:tc>
          <w:tcPr>
            <w:tcW w:w="4414" w:type="dxa"/>
          </w:tcPr>
          <w:p w:rsidR="006922A3" w:rsidRDefault="006922A3" w:rsidP="006922A3">
            <w:pPr>
              <w:jc w:val="both"/>
              <w:rPr>
                <w:rFonts w:ascii="Calibri" w:eastAsia="Calibri" w:hAnsi="Calibri" w:cs="Times New Roman"/>
                <w:sz w:val="28"/>
                <w:szCs w:val="28"/>
                <w:lang w:val="es-ES"/>
              </w:rPr>
            </w:pPr>
          </w:p>
          <w:p w:rsidR="006922A3" w:rsidRDefault="006922A3" w:rsidP="006922A3">
            <w:pPr>
              <w:jc w:val="center"/>
              <w:rPr>
                <w:rFonts w:ascii="Calibri" w:eastAsia="Calibri" w:hAnsi="Calibri" w:cs="Times New Roman"/>
                <w:sz w:val="28"/>
                <w:szCs w:val="28"/>
                <w:lang w:val="es-ES"/>
              </w:rPr>
            </w:pPr>
            <w:r>
              <w:rPr>
                <w:rFonts w:ascii="Calibri" w:eastAsia="Calibri" w:hAnsi="Calibri" w:cs="Times New Roman"/>
                <w:noProof/>
                <w:sz w:val="28"/>
                <w:szCs w:val="28"/>
                <w:lang w:val="es-ES"/>
              </w:rPr>
              <w:drawing>
                <wp:inline distT="0" distB="0" distL="0" distR="0" wp14:anchorId="71283368">
                  <wp:extent cx="2609850" cy="2952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9850" cy="2952750"/>
                          </a:xfrm>
                          <a:prstGeom prst="rect">
                            <a:avLst/>
                          </a:prstGeom>
                          <a:noFill/>
                        </pic:spPr>
                      </pic:pic>
                    </a:graphicData>
                  </a:graphic>
                </wp:inline>
              </w:drawing>
            </w:r>
          </w:p>
          <w:p w:rsidR="006922A3" w:rsidRDefault="006922A3" w:rsidP="006922A3">
            <w:pPr>
              <w:jc w:val="center"/>
              <w:rPr>
                <w:rFonts w:ascii="Calibri" w:eastAsia="Calibri" w:hAnsi="Calibri" w:cs="Times New Roman"/>
                <w:sz w:val="28"/>
                <w:szCs w:val="28"/>
                <w:lang w:val="es-ES"/>
              </w:rPr>
            </w:pPr>
          </w:p>
        </w:tc>
      </w:tr>
    </w:tbl>
    <w:p w:rsidR="00A35AEC" w:rsidRDefault="00A35AEC" w:rsidP="00E643E0">
      <w:pPr>
        <w:spacing w:before="240" w:line="360" w:lineRule="auto"/>
        <w:jc w:val="both"/>
        <w:rPr>
          <w:rFonts w:ascii="Calibri" w:eastAsia="Calibri" w:hAnsi="Calibri" w:cs="Times New Roman"/>
          <w:sz w:val="28"/>
          <w:szCs w:val="28"/>
          <w:lang w:val="es-ES"/>
        </w:rPr>
      </w:pPr>
    </w:p>
    <w:p w:rsidR="006922A3" w:rsidRDefault="006922A3" w:rsidP="00E643E0">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lastRenderedPageBreak/>
        <w:t xml:space="preserve">Una revisión minuciosa de las afueras de la casa </w:t>
      </w:r>
      <w:r w:rsidR="00501B39">
        <w:rPr>
          <w:rFonts w:ascii="Calibri" w:eastAsia="Calibri" w:hAnsi="Calibri" w:cs="Times New Roman"/>
          <w:sz w:val="28"/>
          <w:szCs w:val="28"/>
          <w:lang w:val="es-ES"/>
        </w:rPr>
        <w:t>de habitación llevó a la recupera</w:t>
      </w:r>
      <w:r>
        <w:rPr>
          <w:rFonts w:ascii="Calibri" w:eastAsia="Calibri" w:hAnsi="Calibri" w:cs="Times New Roman"/>
          <w:sz w:val="28"/>
          <w:szCs w:val="28"/>
          <w:lang w:val="es-ES"/>
        </w:rPr>
        <w:t>ción de las cápsulas de los proyectiles disparados contra el hogar de Luis Electerio Mejía. Se trata de balas calibre 9</w:t>
      </w:r>
      <w:r w:rsidR="002F3EA9">
        <w:rPr>
          <w:rFonts w:ascii="Calibri" w:eastAsia="Calibri" w:hAnsi="Calibri" w:cs="Times New Roman"/>
          <w:sz w:val="28"/>
          <w:szCs w:val="28"/>
          <w:lang w:val="es-ES"/>
        </w:rPr>
        <w:t xml:space="preserve"> </w:t>
      </w:r>
      <w:r>
        <w:rPr>
          <w:rFonts w:ascii="Calibri" w:eastAsia="Calibri" w:hAnsi="Calibri" w:cs="Times New Roman"/>
          <w:sz w:val="28"/>
          <w:szCs w:val="28"/>
          <w:lang w:val="es-ES"/>
        </w:rPr>
        <w:t>mm</w:t>
      </w:r>
      <w:r w:rsidR="0072449E">
        <w:rPr>
          <w:rFonts w:ascii="Calibri" w:eastAsia="Calibri" w:hAnsi="Calibri" w:cs="Times New Roman"/>
          <w:sz w:val="28"/>
          <w:szCs w:val="28"/>
          <w:lang w:val="es-ES"/>
        </w:rPr>
        <w:t xml:space="preserve">, </w:t>
      </w:r>
      <w:r w:rsidR="00FE133A">
        <w:rPr>
          <w:rFonts w:ascii="Calibri" w:eastAsia="Calibri" w:hAnsi="Calibri" w:cs="Times New Roman"/>
          <w:sz w:val="28"/>
          <w:szCs w:val="28"/>
          <w:lang w:val="es-ES"/>
        </w:rPr>
        <w:t>normalmente utilizadas en las pistolas Pietro Beretta por miembros de la Agencia Técnica de Investigación Criminal, ATIC, la Dirección Policial de Investigaciones, DPI, la Fuerza Nacional Antiextorsión, FNA, y la Policía Nacional, PN; armas y municiones que, además, son comercializadas a nivel nacional por la empresa La Armería, propiedad de las Fuerzas Armadas de Honduras.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A2D93" w:rsidTr="00CA18BC">
        <w:trPr>
          <w:jc w:val="center"/>
        </w:trPr>
        <w:tc>
          <w:tcPr>
            <w:tcW w:w="8828" w:type="dxa"/>
            <w:gridSpan w:val="2"/>
          </w:tcPr>
          <w:p w:rsidR="00CA2D93" w:rsidRPr="00CA18BC" w:rsidRDefault="00CA2D93" w:rsidP="00CA2D93">
            <w:pPr>
              <w:jc w:val="center"/>
              <w:rPr>
                <w:rFonts w:ascii="Calibri" w:eastAsia="Calibri" w:hAnsi="Calibri" w:cs="Times New Roman"/>
                <w:b/>
                <w:sz w:val="28"/>
                <w:szCs w:val="28"/>
                <w:u w:val="single"/>
                <w:lang w:val="es-ES"/>
              </w:rPr>
            </w:pPr>
            <w:r w:rsidRPr="00CA18BC">
              <w:rPr>
                <w:rFonts w:ascii="Calibri" w:eastAsia="Calibri" w:hAnsi="Calibri" w:cs="Times New Roman"/>
                <w:b/>
                <w:sz w:val="28"/>
                <w:szCs w:val="28"/>
                <w:u w:val="single"/>
                <w:lang w:val="es-ES"/>
              </w:rPr>
              <w:t>Casquillos de balas 9 mm hallados fuera de la casa tras el atentado</w:t>
            </w:r>
          </w:p>
        </w:tc>
      </w:tr>
      <w:tr w:rsidR="000530A5" w:rsidTr="00CA18BC">
        <w:trPr>
          <w:jc w:val="center"/>
        </w:trPr>
        <w:tc>
          <w:tcPr>
            <w:tcW w:w="4414" w:type="dxa"/>
          </w:tcPr>
          <w:p w:rsidR="000530A5" w:rsidRDefault="000530A5" w:rsidP="00CA2D93">
            <w:pPr>
              <w:jc w:val="center"/>
              <w:rPr>
                <w:rFonts w:ascii="Calibri" w:eastAsia="Calibri" w:hAnsi="Calibri" w:cs="Times New Roman"/>
                <w:sz w:val="28"/>
                <w:szCs w:val="28"/>
                <w:lang w:val="es-ES"/>
              </w:rPr>
            </w:pPr>
            <w:r>
              <w:rPr>
                <w:rFonts w:ascii="Calibri" w:eastAsia="Calibri" w:hAnsi="Calibri" w:cs="Times New Roman"/>
                <w:noProof/>
                <w:sz w:val="28"/>
                <w:szCs w:val="28"/>
                <w:lang w:val="es-ES"/>
              </w:rPr>
              <w:drawing>
                <wp:inline distT="0" distB="0" distL="0" distR="0" wp14:anchorId="5A0948F5">
                  <wp:extent cx="2600325" cy="270700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2707005"/>
                          </a:xfrm>
                          <a:prstGeom prst="rect">
                            <a:avLst/>
                          </a:prstGeom>
                          <a:noFill/>
                        </pic:spPr>
                      </pic:pic>
                    </a:graphicData>
                  </a:graphic>
                </wp:inline>
              </w:drawing>
            </w:r>
          </w:p>
        </w:tc>
        <w:tc>
          <w:tcPr>
            <w:tcW w:w="4414" w:type="dxa"/>
          </w:tcPr>
          <w:p w:rsidR="000530A5" w:rsidRDefault="00CA2D93" w:rsidP="00CA2D93">
            <w:pPr>
              <w:jc w:val="center"/>
              <w:rPr>
                <w:rFonts w:ascii="Calibri" w:eastAsia="Calibri" w:hAnsi="Calibri" w:cs="Times New Roman"/>
                <w:sz w:val="28"/>
                <w:szCs w:val="28"/>
                <w:lang w:val="es-ES"/>
              </w:rPr>
            </w:pPr>
            <w:r>
              <w:rPr>
                <w:rFonts w:ascii="Calibri" w:eastAsia="Calibri" w:hAnsi="Calibri" w:cs="Times New Roman"/>
                <w:noProof/>
                <w:sz w:val="28"/>
                <w:szCs w:val="28"/>
                <w:lang w:val="es-ES"/>
              </w:rPr>
              <w:drawing>
                <wp:inline distT="0" distB="0" distL="0" distR="0" wp14:anchorId="5FDDBD77">
                  <wp:extent cx="2513965" cy="2676525"/>
                  <wp:effectExtent l="0" t="0" r="63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965" cy="2676525"/>
                          </a:xfrm>
                          <a:prstGeom prst="rect">
                            <a:avLst/>
                          </a:prstGeom>
                          <a:noFill/>
                        </pic:spPr>
                      </pic:pic>
                    </a:graphicData>
                  </a:graphic>
                </wp:inline>
              </w:drawing>
            </w:r>
          </w:p>
        </w:tc>
      </w:tr>
    </w:tbl>
    <w:p w:rsidR="000530A5" w:rsidRDefault="000530A5" w:rsidP="00E643E0">
      <w:pPr>
        <w:spacing w:before="240" w:line="360" w:lineRule="auto"/>
        <w:jc w:val="both"/>
        <w:rPr>
          <w:rFonts w:ascii="Calibri" w:eastAsia="Calibri" w:hAnsi="Calibri" w:cs="Times New Roman"/>
          <w:sz w:val="28"/>
          <w:szCs w:val="28"/>
          <w:lang w:val="es-ES"/>
        </w:rPr>
      </w:pPr>
    </w:p>
    <w:p w:rsidR="005F60AC" w:rsidRDefault="00CA18BC" w:rsidP="00E643E0">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También se encontró una nota en la puerta de la casa de habitación en la cual se lee:</w:t>
      </w:r>
    </w:p>
    <w:p w:rsidR="00CA18BC" w:rsidRDefault="00CA18BC" w:rsidP="00CA18BC">
      <w:pPr>
        <w:spacing w:after="0" w:line="24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ab/>
        <w:t>“Luis Mejía:</w:t>
      </w:r>
    </w:p>
    <w:p w:rsidR="00CA18BC" w:rsidRDefault="00CA18BC" w:rsidP="00CA18BC">
      <w:pPr>
        <w:spacing w:after="0" w:line="240" w:lineRule="auto"/>
        <w:ind w:left="709"/>
        <w:jc w:val="both"/>
        <w:rPr>
          <w:rFonts w:ascii="Calibri" w:eastAsia="Calibri" w:hAnsi="Calibri" w:cs="Times New Roman"/>
          <w:sz w:val="28"/>
          <w:szCs w:val="28"/>
          <w:lang w:val="es-ES"/>
        </w:rPr>
      </w:pPr>
      <w:r>
        <w:rPr>
          <w:rFonts w:ascii="Calibri" w:eastAsia="Calibri" w:hAnsi="Calibri" w:cs="Times New Roman"/>
          <w:sz w:val="28"/>
          <w:szCs w:val="28"/>
          <w:lang w:val="es-ES"/>
        </w:rPr>
        <w:t>No te queremos matar, pero si no te desapareces e</w:t>
      </w:r>
      <w:r w:rsidR="00373428">
        <w:rPr>
          <w:rFonts w:ascii="Calibri" w:eastAsia="Calibri" w:hAnsi="Calibri" w:cs="Times New Roman"/>
          <w:sz w:val="28"/>
          <w:szCs w:val="28"/>
          <w:lang w:val="es-ES"/>
        </w:rPr>
        <w:t>n</w:t>
      </w:r>
      <w:r>
        <w:rPr>
          <w:rFonts w:ascii="Calibri" w:eastAsia="Calibri" w:hAnsi="Calibri" w:cs="Times New Roman"/>
          <w:sz w:val="28"/>
          <w:szCs w:val="28"/>
          <w:lang w:val="es-ES"/>
        </w:rPr>
        <w:t xml:space="preserve"> 3 días te vamos a matar.”</w:t>
      </w:r>
    </w:p>
    <w:p w:rsidR="00CA18BC" w:rsidRDefault="00CA18BC" w:rsidP="00CA18BC">
      <w:pPr>
        <w:spacing w:after="0" w:line="240" w:lineRule="auto"/>
        <w:jc w:val="both"/>
        <w:rPr>
          <w:rFonts w:ascii="Calibri" w:eastAsia="Calibri" w:hAnsi="Calibri" w:cs="Times New Roman"/>
          <w:sz w:val="28"/>
          <w:szCs w:val="28"/>
          <w:lang w:val="es-ES"/>
        </w:rPr>
      </w:pPr>
    </w:p>
    <w:p w:rsidR="00CA18BC" w:rsidRDefault="00CA18BC" w:rsidP="00CA18BC">
      <w:pPr>
        <w:spacing w:before="240" w:line="360" w:lineRule="auto"/>
        <w:jc w:val="both"/>
        <w:rPr>
          <w:rFonts w:ascii="Calibri" w:eastAsia="Calibri" w:hAnsi="Calibri" w:cs="Times New Roman"/>
          <w:sz w:val="28"/>
          <w:szCs w:val="28"/>
          <w:lang w:val="es-ES"/>
        </w:rPr>
      </w:pPr>
    </w:p>
    <w:p w:rsidR="00373428" w:rsidRDefault="00373428" w:rsidP="00373428">
      <w:pPr>
        <w:spacing w:before="240" w:line="360" w:lineRule="auto"/>
        <w:jc w:val="center"/>
        <w:rPr>
          <w:rFonts w:ascii="Calibri" w:eastAsia="Calibri" w:hAnsi="Calibri" w:cs="Times New Roman"/>
          <w:sz w:val="28"/>
          <w:szCs w:val="28"/>
          <w:lang w:val="es-ES"/>
        </w:rPr>
      </w:pPr>
      <w:r>
        <w:rPr>
          <w:rFonts w:ascii="Calibri" w:eastAsia="Calibri" w:hAnsi="Calibri" w:cs="Times New Roman"/>
          <w:sz w:val="28"/>
          <w:szCs w:val="28"/>
          <w:lang w:val="es-ES"/>
        </w:rPr>
        <w:lastRenderedPageBreak/>
        <w:t>Copia del manuscrito criminal</w:t>
      </w:r>
    </w:p>
    <w:p w:rsidR="00373428" w:rsidRDefault="00373428" w:rsidP="00CA18BC">
      <w:pPr>
        <w:spacing w:before="240" w:line="360" w:lineRule="auto"/>
        <w:jc w:val="both"/>
        <w:rPr>
          <w:rFonts w:ascii="Calibri" w:eastAsia="Calibri" w:hAnsi="Calibri" w:cs="Times New Roman"/>
          <w:sz w:val="28"/>
          <w:szCs w:val="28"/>
          <w:lang w:val="es-ES"/>
        </w:rPr>
      </w:pPr>
      <w:r w:rsidRPr="00373428">
        <w:rPr>
          <w:noProof/>
        </w:rPr>
        <w:drawing>
          <wp:inline distT="0" distB="0" distL="0" distR="0" wp14:anchorId="43AC6785" wp14:editId="366BF901">
            <wp:extent cx="5612130" cy="3367405"/>
            <wp:effectExtent l="0" t="0" r="762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367405"/>
                    </a:xfrm>
                    <a:prstGeom prst="rect">
                      <a:avLst/>
                    </a:prstGeom>
                  </pic:spPr>
                </pic:pic>
              </a:graphicData>
            </a:graphic>
          </wp:inline>
        </w:drawing>
      </w:r>
    </w:p>
    <w:p w:rsidR="00373428" w:rsidRDefault="00373428" w:rsidP="00CA18BC">
      <w:pPr>
        <w:spacing w:before="240" w:line="360" w:lineRule="auto"/>
        <w:jc w:val="both"/>
        <w:rPr>
          <w:rFonts w:ascii="Calibri" w:eastAsia="Calibri" w:hAnsi="Calibri" w:cs="Times New Roman"/>
          <w:sz w:val="28"/>
          <w:szCs w:val="28"/>
          <w:lang w:val="es-ES"/>
        </w:rPr>
      </w:pPr>
    </w:p>
    <w:p w:rsidR="00CA18BC" w:rsidRDefault="00CA18BC" w:rsidP="00CA18BC">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Luis Electerio Mejía es un indígena del pueblo Tolupan</w:t>
      </w:r>
      <w:r w:rsidR="00DA5814">
        <w:rPr>
          <w:rFonts w:ascii="Calibri" w:eastAsia="Calibri" w:hAnsi="Calibri" w:cs="Times New Roman"/>
          <w:sz w:val="28"/>
          <w:szCs w:val="28"/>
          <w:lang w:val="es-ES"/>
        </w:rPr>
        <w:t xml:space="preserve"> perteneciente a la tribu La Candelaria, que es una de las 31 tribus tolupanas que todavía existen diseminadas entre los departamentos de Yoro y Francisco Morazán. Es tolupan y es hondureño, ciudadano con identidad 1806-1979-00226, residente en el caserío El Volcán; uno de los 8 caseríos que integran la tribu La Candelaria. Por su entrega a la defensa del pueblo Tolupan, La Candelaria le ha escogido para presidir el Consejo de Tribu por dos períodos consecutivos y los indígenas organizados en el Movimiento Amplio también le escogieron como Presidente del Núcleo comunitario tribal.</w:t>
      </w:r>
    </w:p>
    <w:p w:rsidR="00987B7F" w:rsidRDefault="00987B7F" w:rsidP="00CA18BC">
      <w:pPr>
        <w:spacing w:before="240" w:line="360" w:lineRule="auto"/>
        <w:jc w:val="both"/>
        <w:rPr>
          <w:rFonts w:ascii="Calibri" w:eastAsia="Calibri" w:hAnsi="Calibri" w:cs="Times New Roman"/>
          <w:sz w:val="28"/>
          <w:szCs w:val="28"/>
          <w:lang w:val="es-ES"/>
        </w:rPr>
      </w:pPr>
    </w:p>
    <w:p w:rsidR="00D60864" w:rsidRDefault="00987B7F" w:rsidP="00D60864">
      <w:pPr>
        <w:spacing w:after="0" w:line="240" w:lineRule="auto"/>
        <w:jc w:val="center"/>
        <w:rPr>
          <w:rFonts w:ascii="Calibri" w:eastAsia="Calibri" w:hAnsi="Calibri" w:cs="Times New Roman"/>
          <w:lang w:val="es-ES"/>
        </w:rPr>
      </w:pPr>
      <w:r>
        <w:rPr>
          <w:rFonts w:ascii="Calibri" w:eastAsia="Calibri" w:hAnsi="Calibri" w:cs="Times New Roman"/>
          <w:noProof/>
          <w:sz w:val="28"/>
          <w:szCs w:val="28"/>
          <w:lang w:val="es-ES"/>
        </w:rPr>
        <w:drawing>
          <wp:inline distT="0" distB="0" distL="0" distR="0" wp14:anchorId="322A78DB">
            <wp:extent cx="5181600" cy="33051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0" cy="3305175"/>
                    </a:xfrm>
                    <a:prstGeom prst="rect">
                      <a:avLst/>
                    </a:prstGeom>
                    <a:noFill/>
                  </pic:spPr>
                </pic:pic>
              </a:graphicData>
            </a:graphic>
          </wp:inline>
        </w:drawing>
      </w:r>
    </w:p>
    <w:p w:rsidR="00D60864" w:rsidRPr="00D60864" w:rsidRDefault="00D60864" w:rsidP="00D60864">
      <w:pPr>
        <w:spacing w:after="0" w:line="240" w:lineRule="auto"/>
        <w:jc w:val="center"/>
        <w:rPr>
          <w:rFonts w:ascii="Calibri" w:eastAsia="Calibri" w:hAnsi="Calibri" w:cs="Times New Roman"/>
          <w:lang w:val="es-ES"/>
        </w:rPr>
      </w:pPr>
      <w:r>
        <w:rPr>
          <w:rFonts w:ascii="Calibri" w:eastAsia="Calibri" w:hAnsi="Calibri" w:cs="Times New Roman"/>
          <w:lang w:val="es-ES"/>
        </w:rPr>
        <w:t>Luis Electerio Mejía, reflexionando con su equipo tribal de La Candelaria</w:t>
      </w:r>
    </w:p>
    <w:p w:rsidR="00987B7F" w:rsidRDefault="00987B7F" w:rsidP="00CA18BC">
      <w:pPr>
        <w:spacing w:before="240" w:line="360" w:lineRule="auto"/>
        <w:jc w:val="both"/>
        <w:rPr>
          <w:rFonts w:ascii="Calibri" w:eastAsia="Calibri" w:hAnsi="Calibri" w:cs="Times New Roman"/>
          <w:sz w:val="28"/>
          <w:szCs w:val="28"/>
          <w:lang w:val="es-ES"/>
        </w:rPr>
      </w:pPr>
    </w:p>
    <w:p w:rsidR="00A74A65" w:rsidRDefault="00DA5814" w:rsidP="00CA18BC">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El liderazgo de</w:t>
      </w:r>
      <w:r w:rsidR="00E2516D">
        <w:rPr>
          <w:rFonts w:ascii="Calibri" w:eastAsia="Calibri" w:hAnsi="Calibri" w:cs="Times New Roman"/>
          <w:sz w:val="28"/>
          <w:szCs w:val="28"/>
          <w:lang w:val="es-ES"/>
        </w:rPr>
        <w:t xml:space="preserve"> Luis Electerio le ha llevado a mantener unida su tribu en lucha permanente durante los últimos años contra diferentes fuerzas antagónicas interesadas en despojar a La Candelaria de las tierras y riquezas naturales heredadas por el Misionero Manuel de Jesús Subirana mediante escritura de propiedad oto</w:t>
      </w:r>
      <w:r w:rsidR="00A74A65">
        <w:rPr>
          <w:rFonts w:ascii="Calibri" w:eastAsia="Calibri" w:hAnsi="Calibri" w:cs="Times New Roman"/>
          <w:sz w:val="28"/>
          <w:szCs w:val="28"/>
          <w:lang w:val="es-ES"/>
        </w:rPr>
        <w:t xml:space="preserve">rgada por el gobierno nacional </w:t>
      </w:r>
      <w:r w:rsidR="00E2516D">
        <w:rPr>
          <w:rFonts w:ascii="Calibri" w:eastAsia="Calibri" w:hAnsi="Calibri" w:cs="Times New Roman"/>
          <w:sz w:val="28"/>
          <w:szCs w:val="28"/>
          <w:lang w:val="es-ES"/>
        </w:rPr>
        <w:t xml:space="preserve">en la década de los sesentas del pasado siglo XIX. </w:t>
      </w:r>
    </w:p>
    <w:p w:rsidR="00DA5814" w:rsidRDefault="00A74A65" w:rsidP="00CA18BC">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Sin embargo, en</w:t>
      </w:r>
      <w:r w:rsidR="00846521">
        <w:rPr>
          <w:rFonts w:ascii="Calibri" w:eastAsia="Calibri" w:hAnsi="Calibri" w:cs="Times New Roman"/>
          <w:sz w:val="28"/>
          <w:szCs w:val="28"/>
          <w:lang w:val="es-ES"/>
        </w:rPr>
        <w:t xml:space="preserve"> este momento, </w:t>
      </w:r>
      <w:r>
        <w:rPr>
          <w:rFonts w:ascii="Calibri" w:eastAsia="Calibri" w:hAnsi="Calibri" w:cs="Times New Roman"/>
          <w:sz w:val="28"/>
          <w:szCs w:val="28"/>
          <w:lang w:val="es-ES"/>
        </w:rPr>
        <w:t>el auge del capitalismo extractivista expulsando masas campesinas e indígenas para la implantación de mega cultivos hace que las tierras de la tribu La Candelaria sean pretendidas por transnacionales extractivistas así como por las masas campesinas expulsadas de otras regiones. Frente a esta realidad, los indígenas tolupanes organizados y dirigidos por Luis Electerio Mejía se resisten al despojo de sus tierras.</w:t>
      </w:r>
    </w:p>
    <w:p w:rsidR="00B16689" w:rsidRPr="00B16689" w:rsidRDefault="00B16689" w:rsidP="00D60864">
      <w:pPr>
        <w:spacing w:before="240" w:line="360" w:lineRule="auto"/>
        <w:jc w:val="center"/>
        <w:rPr>
          <w:rFonts w:ascii="Calibri" w:eastAsia="Calibri" w:hAnsi="Calibri" w:cs="Times New Roman"/>
          <w:b/>
          <w:sz w:val="28"/>
          <w:szCs w:val="28"/>
          <w:lang w:val="es-ES"/>
        </w:rPr>
      </w:pPr>
      <w:r w:rsidRPr="00B16689">
        <w:rPr>
          <w:rFonts w:ascii="Calibri" w:eastAsia="Calibri" w:hAnsi="Calibri" w:cs="Times New Roman"/>
          <w:b/>
          <w:sz w:val="28"/>
          <w:szCs w:val="28"/>
          <w:lang w:val="es-ES"/>
        </w:rPr>
        <w:t>Subsidiaria de AB-InBep pretende tierras de la tribu La Candelaria</w:t>
      </w:r>
    </w:p>
    <w:p w:rsidR="00E2516D" w:rsidRDefault="00E2516D" w:rsidP="00CA18BC">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Desde septiembre del 2013 la tribu La Candelaria es asediada por la empresa Azucarera del Norte Sociedad Anónima, AZUNOSA, que apoya legalmente a grupos campesinos para que le arrebaten las tierras a la tribu y luego</w:t>
      </w:r>
      <w:r w:rsidR="00846521">
        <w:rPr>
          <w:rFonts w:ascii="Calibri" w:eastAsia="Calibri" w:hAnsi="Calibri" w:cs="Times New Roman"/>
          <w:sz w:val="28"/>
          <w:szCs w:val="28"/>
          <w:lang w:val="es-ES"/>
        </w:rPr>
        <w:t>, bajo la figura de la responsabilidad social empresarial, AZUNOSA</w:t>
      </w:r>
      <w:r>
        <w:rPr>
          <w:rFonts w:ascii="Calibri" w:eastAsia="Calibri" w:hAnsi="Calibri" w:cs="Times New Roman"/>
          <w:sz w:val="28"/>
          <w:szCs w:val="28"/>
          <w:lang w:val="es-ES"/>
        </w:rPr>
        <w:t xml:space="preserve"> firmar</w:t>
      </w:r>
      <w:r w:rsidR="00846521">
        <w:rPr>
          <w:rFonts w:ascii="Calibri" w:eastAsia="Calibri" w:hAnsi="Calibri" w:cs="Times New Roman"/>
          <w:sz w:val="28"/>
          <w:szCs w:val="28"/>
          <w:lang w:val="es-ES"/>
        </w:rPr>
        <w:t>ía</w:t>
      </w:r>
      <w:r>
        <w:rPr>
          <w:rFonts w:ascii="Calibri" w:eastAsia="Calibri" w:hAnsi="Calibri" w:cs="Times New Roman"/>
          <w:sz w:val="28"/>
          <w:szCs w:val="28"/>
          <w:lang w:val="es-ES"/>
        </w:rPr>
        <w:t xml:space="preserve"> convenios de arrendamiento de esas tierras para destinarlas al monocultivo del azúcar</w:t>
      </w:r>
      <w:r w:rsidR="00846521">
        <w:rPr>
          <w:rFonts w:ascii="Calibri" w:eastAsia="Calibri" w:hAnsi="Calibri" w:cs="Times New Roman"/>
          <w:sz w:val="28"/>
          <w:szCs w:val="28"/>
          <w:lang w:val="es-ES"/>
        </w:rPr>
        <w:t>, tal como lo hace con otras cooperativas campesinas y familias agricultoras</w:t>
      </w:r>
      <w:r>
        <w:rPr>
          <w:rFonts w:ascii="Calibri" w:eastAsia="Calibri" w:hAnsi="Calibri" w:cs="Times New Roman"/>
          <w:sz w:val="28"/>
          <w:szCs w:val="28"/>
          <w:lang w:val="es-ES"/>
        </w:rPr>
        <w:t xml:space="preserve">. AZUNOSA es una empresa subsidiaria de la </w:t>
      </w:r>
      <w:r w:rsidR="00283423">
        <w:rPr>
          <w:rFonts w:ascii="Calibri" w:eastAsia="Calibri" w:hAnsi="Calibri" w:cs="Times New Roman"/>
          <w:sz w:val="28"/>
          <w:szCs w:val="28"/>
          <w:lang w:val="es-ES"/>
        </w:rPr>
        <w:t>transnaci</w:t>
      </w:r>
      <w:r w:rsidR="002F3EA9">
        <w:rPr>
          <w:rFonts w:ascii="Calibri" w:eastAsia="Calibri" w:hAnsi="Calibri" w:cs="Times New Roman"/>
          <w:sz w:val="28"/>
          <w:szCs w:val="28"/>
          <w:lang w:val="es-ES"/>
        </w:rPr>
        <w:t>o</w:t>
      </w:r>
      <w:r w:rsidR="00283423">
        <w:rPr>
          <w:rFonts w:ascii="Calibri" w:eastAsia="Calibri" w:hAnsi="Calibri" w:cs="Times New Roman"/>
          <w:sz w:val="28"/>
          <w:szCs w:val="28"/>
          <w:lang w:val="es-ES"/>
        </w:rPr>
        <w:t>nal Anheuser</w:t>
      </w:r>
      <w:r w:rsidR="008307A3">
        <w:rPr>
          <w:rFonts w:ascii="Calibri" w:eastAsia="Calibri" w:hAnsi="Calibri" w:cs="Times New Roman"/>
          <w:sz w:val="28"/>
          <w:szCs w:val="28"/>
          <w:lang w:val="es-ES"/>
        </w:rPr>
        <w:t xml:space="preserve">-Busch In </w:t>
      </w:r>
      <w:r w:rsidR="002F3EA9">
        <w:rPr>
          <w:rFonts w:ascii="Calibri" w:eastAsia="Calibri" w:hAnsi="Calibri" w:cs="Times New Roman"/>
          <w:sz w:val="28"/>
          <w:szCs w:val="28"/>
          <w:lang w:val="es-ES"/>
        </w:rPr>
        <w:t>Bev, conocida por sus siglas AB-</w:t>
      </w:r>
      <w:r w:rsidR="008307A3">
        <w:rPr>
          <w:rFonts w:ascii="Calibri" w:eastAsia="Calibri" w:hAnsi="Calibri" w:cs="Times New Roman"/>
          <w:sz w:val="28"/>
          <w:szCs w:val="28"/>
          <w:lang w:val="es-ES"/>
        </w:rPr>
        <w:t xml:space="preserve">InBev. </w:t>
      </w:r>
    </w:p>
    <w:p w:rsidR="00846521" w:rsidRDefault="00846521" w:rsidP="00CA18BC">
      <w:pPr>
        <w:spacing w:before="240" w:line="360" w:lineRule="auto"/>
        <w:jc w:val="both"/>
        <w:rPr>
          <w:rFonts w:ascii="Calibri" w:eastAsia="Calibri" w:hAnsi="Calibri" w:cs="Times New Roman"/>
          <w:sz w:val="28"/>
          <w:szCs w:val="28"/>
          <w:lang w:val="es-ES"/>
        </w:rPr>
      </w:pPr>
      <w:r>
        <w:rPr>
          <w:rFonts w:ascii="Calibri" w:eastAsia="Calibri" w:hAnsi="Calibri" w:cs="Times New Roman"/>
          <w:sz w:val="28"/>
          <w:szCs w:val="28"/>
          <w:lang w:val="es-ES"/>
        </w:rPr>
        <w:t>En su Reporte bianual de actividades esta subsidiaria de AB-InBep disimula el despojo de tierras a que está sometiendo a los indígenas de La Candelaria disfrazando su apoyo a los campesinos que utiliza para tal despojo. Lo expresa en los siguientes términos:</w:t>
      </w:r>
    </w:p>
    <w:p w:rsidR="00846521" w:rsidRPr="00846521" w:rsidRDefault="00846521" w:rsidP="00846521">
      <w:pPr>
        <w:spacing w:before="240" w:line="360" w:lineRule="auto"/>
        <w:ind w:left="708"/>
        <w:jc w:val="both"/>
        <w:rPr>
          <w:rFonts w:ascii="Calibri" w:eastAsia="Calibri" w:hAnsi="Calibri" w:cs="Times New Roman"/>
        </w:rPr>
      </w:pPr>
      <w:r>
        <w:rPr>
          <w:rFonts w:ascii="Calibri" w:eastAsia="Calibri" w:hAnsi="Calibri" w:cs="Times New Roman"/>
          <w:sz w:val="28"/>
          <w:szCs w:val="28"/>
          <w:lang w:val="es-ES"/>
        </w:rPr>
        <w:tab/>
      </w:r>
      <w:bookmarkStart w:id="1" w:name="_Hlk489511322"/>
      <w:r w:rsidRPr="00846521">
        <w:rPr>
          <w:rFonts w:ascii="Calibri" w:eastAsia="Calibri" w:hAnsi="Calibri" w:cs="Times New Roman"/>
        </w:rPr>
        <w:t>Mediante un acuerdo suscrito con el Instituto Nacional Agrario (INA) y con la supervisión de la Presidencia de la República de Honduras, Azunosa implementó el programa Desarrollo del Campo, iniciativa que permite, a los campesinos organizados de Yoro, acceder a 302 hectáreas de tierra.</w:t>
      </w:r>
    </w:p>
    <w:p w:rsidR="00846521" w:rsidRDefault="00846521" w:rsidP="00846521">
      <w:pPr>
        <w:spacing w:before="240" w:line="360" w:lineRule="auto"/>
        <w:ind w:left="708"/>
        <w:jc w:val="both"/>
        <w:rPr>
          <w:rFonts w:ascii="Calibri" w:eastAsia="Calibri" w:hAnsi="Calibri" w:cs="Times New Roman"/>
        </w:rPr>
      </w:pPr>
      <w:r w:rsidRPr="00846521">
        <w:rPr>
          <w:rFonts w:ascii="Calibri" w:eastAsia="Calibri" w:hAnsi="Calibri" w:cs="Times New Roman"/>
        </w:rPr>
        <w:t>El programa Desarrollo del Campo es un innovador modelo de desarrollo para pequeños agricultores, pues promueve la cadena agroindustrial, el trabajo en equipo, así como bienestar y progreso sostenible a largo plazo. El Programa beneficia a los agricultores participantes, sus familias y a la comunidad; constituye un esfuerzo concreto en favor de la producción nacional que abre oportunidades de crecimiento a todos los involucrados.</w:t>
      </w:r>
      <w:r>
        <w:rPr>
          <w:rFonts w:ascii="Calibri" w:eastAsia="Calibri" w:hAnsi="Calibri" w:cs="Times New Roman"/>
        </w:rPr>
        <w:t xml:space="preserve"> (Reporte de sostenibilidad 2012 – 2013. pág. </w:t>
      </w:r>
      <w:r w:rsidRPr="00846521">
        <w:rPr>
          <w:rFonts w:ascii="Calibri" w:eastAsia="Calibri" w:hAnsi="Calibri" w:cs="Times New Roman"/>
        </w:rPr>
        <w:t>12)</w:t>
      </w:r>
    </w:p>
    <w:p w:rsidR="00846521" w:rsidRDefault="00082D93" w:rsidP="00846521">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Lo q</w:t>
      </w:r>
      <w:r w:rsidR="00846521">
        <w:rPr>
          <w:rFonts w:ascii="Calibri" w:eastAsia="Calibri" w:hAnsi="Calibri" w:cs="Times New Roman"/>
          <w:sz w:val="28"/>
          <w:szCs w:val="28"/>
        </w:rPr>
        <w:t>ue</w:t>
      </w:r>
      <w:r>
        <w:rPr>
          <w:rFonts w:ascii="Calibri" w:eastAsia="Calibri" w:hAnsi="Calibri" w:cs="Times New Roman"/>
          <w:sz w:val="28"/>
          <w:szCs w:val="28"/>
        </w:rPr>
        <w:t xml:space="preserve"> AB-InBep/AZUNOSA no explica</w:t>
      </w:r>
      <w:r w:rsidR="00846521">
        <w:rPr>
          <w:rFonts w:ascii="Calibri" w:eastAsia="Calibri" w:hAnsi="Calibri" w:cs="Times New Roman"/>
          <w:sz w:val="28"/>
          <w:szCs w:val="28"/>
        </w:rPr>
        <w:t xml:space="preserve"> es que esas 302 hectáreas de tierra que en nombre del INA se le entregarían a los grupos campesinos incluyen tierras </w:t>
      </w:r>
      <w:r w:rsidR="006C325A">
        <w:rPr>
          <w:rFonts w:ascii="Calibri" w:eastAsia="Calibri" w:hAnsi="Calibri" w:cs="Times New Roman"/>
          <w:sz w:val="28"/>
          <w:szCs w:val="28"/>
        </w:rPr>
        <w:t>tribales del pueblo Tolupan. Así vi</w:t>
      </w:r>
      <w:r w:rsidR="00846521">
        <w:rPr>
          <w:rFonts w:ascii="Calibri" w:eastAsia="Calibri" w:hAnsi="Calibri" w:cs="Times New Roman"/>
          <w:sz w:val="28"/>
          <w:szCs w:val="28"/>
        </w:rPr>
        <w:t>olenta el derecho internacional</w:t>
      </w:r>
      <w:r>
        <w:rPr>
          <w:rFonts w:ascii="Calibri" w:eastAsia="Calibri" w:hAnsi="Calibri" w:cs="Times New Roman"/>
          <w:sz w:val="28"/>
          <w:szCs w:val="28"/>
        </w:rPr>
        <w:t xml:space="preserve"> </w:t>
      </w:r>
      <w:r w:rsidR="006C325A">
        <w:rPr>
          <w:rFonts w:ascii="Calibri" w:eastAsia="Calibri" w:hAnsi="Calibri" w:cs="Times New Roman"/>
          <w:sz w:val="28"/>
          <w:szCs w:val="28"/>
        </w:rPr>
        <w:t xml:space="preserve">sobre pueblos indígenas </w:t>
      </w:r>
      <w:r>
        <w:rPr>
          <w:rFonts w:ascii="Calibri" w:eastAsia="Calibri" w:hAnsi="Calibri" w:cs="Times New Roman"/>
          <w:sz w:val="28"/>
          <w:szCs w:val="28"/>
        </w:rPr>
        <w:t>(Convenio 169 de la OIT y la Resolución de la ONU sobre pueblos indígenas)</w:t>
      </w:r>
      <w:r w:rsidR="00846521">
        <w:rPr>
          <w:rFonts w:ascii="Calibri" w:eastAsia="Calibri" w:hAnsi="Calibri" w:cs="Times New Roman"/>
          <w:sz w:val="28"/>
          <w:szCs w:val="28"/>
        </w:rPr>
        <w:t xml:space="preserve"> y los tratados internacionales de derechos humanos</w:t>
      </w:r>
      <w:r>
        <w:rPr>
          <w:rFonts w:ascii="Calibri" w:eastAsia="Calibri" w:hAnsi="Calibri" w:cs="Times New Roman"/>
          <w:sz w:val="28"/>
          <w:szCs w:val="28"/>
        </w:rPr>
        <w:t xml:space="preserve"> la subsidiaria de la transnacional AB-InBep</w:t>
      </w:r>
      <w:r w:rsidR="006C325A">
        <w:rPr>
          <w:rFonts w:ascii="Calibri" w:eastAsia="Calibri" w:hAnsi="Calibri" w:cs="Times New Roman"/>
          <w:sz w:val="28"/>
          <w:szCs w:val="28"/>
        </w:rPr>
        <w:t>, siempre</w:t>
      </w:r>
      <w:r>
        <w:rPr>
          <w:rFonts w:ascii="Calibri" w:eastAsia="Calibri" w:hAnsi="Calibri" w:cs="Times New Roman"/>
          <w:sz w:val="28"/>
          <w:szCs w:val="28"/>
        </w:rPr>
        <w:t xml:space="preserve"> busca</w:t>
      </w:r>
      <w:r w:rsidR="006C325A">
        <w:rPr>
          <w:rFonts w:ascii="Calibri" w:eastAsia="Calibri" w:hAnsi="Calibri" w:cs="Times New Roman"/>
          <w:sz w:val="28"/>
          <w:szCs w:val="28"/>
        </w:rPr>
        <w:t>ndo</w:t>
      </w:r>
      <w:r>
        <w:rPr>
          <w:rFonts w:ascii="Calibri" w:eastAsia="Calibri" w:hAnsi="Calibri" w:cs="Times New Roman"/>
          <w:sz w:val="28"/>
          <w:szCs w:val="28"/>
        </w:rPr>
        <w:t xml:space="preserve"> ampliar sus extensiones de sembradíos de caña de azúcar bajo el disfraz del supuesto apoyo a grupos campesinos.</w:t>
      </w:r>
    </w:p>
    <w:p w:rsidR="006C325A" w:rsidRDefault="006C325A" w:rsidP="00846521">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 xml:space="preserve">Luis Electerio logró revertir esta situación y con el apoyo de su tribu y del Movimiento Amplio demostró que las tierras le pertenecen ancestralmente a su tribu y que le son intocables aun cuando el INA había decretado que esta crisis agraria se manejaría directamente desde casa presidencial; que no significaba otra cosa que la impunidad y la corrupción se impondría desde la más alta esfera del poder del Estado hondureño. Y la misma transnacional AB-InBep/AZUNOSA acepta haberse inmiscuido en este juego sucio contra los pueblos indígenas cuando en su más reciente memoria de actividades señala que: </w:t>
      </w:r>
    </w:p>
    <w:p w:rsidR="006C325A" w:rsidRDefault="006C325A" w:rsidP="006C325A">
      <w:pPr>
        <w:spacing w:before="240" w:line="360" w:lineRule="auto"/>
        <w:ind w:left="705"/>
        <w:jc w:val="both"/>
        <w:rPr>
          <w:rFonts w:ascii="Calibri" w:eastAsia="Calibri" w:hAnsi="Calibri" w:cs="Times New Roman"/>
        </w:rPr>
      </w:pPr>
      <w:r w:rsidRPr="006C325A">
        <w:rPr>
          <w:rFonts w:ascii="Calibri" w:eastAsia="Calibri" w:hAnsi="Calibri" w:cs="Times New Roman"/>
        </w:rPr>
        <w:t>Implementamos el innovador modelo de desarrollo a través de un acuerdo suscrito con el Instituto Nacional Agrario, bajo la supervisión de la Presidencia de la República de Honduras, para promover la cadena agroindustrial, el trabajo en equipo, el bienestar y el progreso sostenible a largo</w:t>
      </w:r>
      <w:r>
        <w:rPr>
          <w:rFonts w:ascii="Calibri" w:eastAsia="Calibri" w:hAnsi="Calibri" w:cs="Times New Roman"/>
        </w:rPr>
        <w:t xml:space="preserve"> </w:t>
      </w:r>
      <w:r w:rsidRPr="006C325A">
        <w:rPr>
          <w:rFonts w:ascii="Calibri" w:eastAsia="Calibri" w:hAnsi="Calibri" w:cs="Times New Roman"/>
        </w:rPr>
        <w:t>plazo.</w:t>
      </w:r>
      <w:r>
        <w:rPr>
          <w:rFonts w:ascii="Calibri" w:eastAsia="Calibri" w:hAnsi="Calibri" w:cs="Times New Roman"/>
        </w:rPr>
        <w:t xml:space="preserve"> (Memoria de sostenibilidad 2014 – 2016. Pág. 91).</w:t>
      </w:r>
    </w:p>
    <w:p w:rsidR="00C77328" w:rsidRDefault="00C77328" w:rsidP="00C77328">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Sin embargo, pese al autoritari</w:t>
      </w:r>
      <w:r w:rsidR="00655E10">
        <w:rPr>
          <w:rFonts w:ascii="Calibri" w:eastAsia="Calibri" w:hAnsi="Calibri" w:cs="Times New Roman"/>
          <w:sz w:val="28"/>
          <w:szCs w:val="28"/>
        </w:rPr>
        <w:t>smo</w:t>
      </w:r>
      <w:r>
        <w:rPr>
          <w:rFonts w:ascii="Calibri" w:eastAsia="Calibri" w:hAnsi="Calibri" w:cs="Times New Roman"/>
          <w:sz w:val="28"/>
          <w:szCs w:val="28"/>
        </w:rPr>
        <w:t xml:space="preserve"> criminal que supone el hecho de tener encima al poder oscuro desde la casa presidencial, ni la tribu La Candelaria ni el Movimiento Amplio sintieron temor alguno sino que arreciaron la defensa de los territorios del pueblo Tolupan. Finalmente la ju</w:t>
      </w:r>
      <w:r w:rsidR="00655E10">
        <w:rPr>
          <w:rFonts w:ascii="Calibri" w:eastAsia="Calibri" w:hAnsi="Calibri" w:cs="Times New Roman"/>
          <w:sz w:val="28"/>
          <w:szCs w:val="28"/>
        </w:rPr>
        <w:t>eza conocedora del conflicto exp</w:t>
      </w:r>
      <w:r>
        <w:rPr>
          <w:rFonts w:ascii="Calibri" w:eastAsia="Calibri" w:hAnsi="Calibri" w:cs="Times New Roman"/>
          <w:sz w:val="28"/>
          <w:szCs w:val="28"/>
        </w:rPr>
        <w:t xml:space="preserve">ulsó los grupos campesinos de las tierras en disputa y las devolvió a los indígenas, sus legítimos dueños. Esta derrota de AB-InBep/AZUNOSA </w:t>
      </w:r>
      <w:r w:rsidR="002F3EA9">
        <w:rPr>
          <w:rFonts w:ascii="Calibri" w:eastAsia="Calibri" w:hAnsi="Calibri" w:cs="Times New Roman"/>
          <w:sz w:val="28"/>
          <w:szCs w:val="28"/>
        </w:rPr>
        <w:t xml:space="preserve">ha afectado las metas de </w:t>
      </w:r>
      <w:r w:rsidR="00655E10">
        <w:rPr>
          <w:rFonts w:ascii="Calibri" w:eastAsia="Calibri" w:hAnsi="Calibri" w:cs="Times New Roman"/>
          <w:sz w:val="28"/>
          <w:szCs w:val="28"/>
        </w:rPr>
        <w:t xml:space="preserve">la transnacional </w:t>
      </w:r>
      <w:r>
        <w:rPr>
          <w:rFonts w:ascii="Calibri" w:eastAsia="Calibri" w:hAnsi="Calibri" w:cs="Times New Roman"/>
          <w:sz w:val="28"/>
          <w:szCs w:val="28"/>
        </w:rPr>
        <w:t>cuando vemos que en el Reporte de sost</w:t>
      </w:r>
      <w:r w:rsidR="00655E10">
        <w:rPr>
          <w:rFonts w:ascii="Calibri" w:eastAsia="Calibri" w:hAnsi="Calibri" w:cs="Times New Roman"/>
          <w:sz w:val="28"/>
          <w:szCs w:val="28"/>
        </w:rPr>
        <w:t xml:space="preserve">enibilidad 2012-2013 (pág. 12) </w:t>
      </w:r>
      <w:r>
        <w:rPr>
          <w:rFonts w:ascii="Calibri" w:eastAsia="Calibri" w:hAnsi="Calibri" w:cs="Times New Roman"/>
          <w:sz w:val="28"/>
          <w:szCs w:val="28"/>
        </w:rPr>
        <w:t xml:space="preserve">se refiere al cultivo de 302 hectáreas de tierra en manos de los grupos campesinos que utilizaba para arrebatar las tierras indígenas, mientras que en el Reporte de Sostenibilidad 2014-2016 (pág. 91) reporta únicamente </w:t>
      </w:r>
      <w:r w:rsidR="00655E10">
        <w:rPr>
          <w:rFonts w:ascii="Calibri" w:eastAsia="Calibri" w:hAnsi="Calibri" w:cs="Times New Roman"/>
          <w:sz w:val="28"/>
          <w:szCs w:val="28"/>
        </w:rPr>
        <w:t>el apoyo para el cultivo de 110 manzanas de tierra a los agricultores campesinos</w:t>
      </w:r>
      <w:r>
        <w:rPr>
          <w:rFonts w:ascii="Calibri" w:eastAsia="Calibri" w:hAnsi="Calibri" w:cs="Times New Roman"/>
          <w:sz w:val="28"/>
          <w:szCs w:val="28"/>
        </w:rPr>
        <w:t>.</w:t>
      </w:r>
    </w:p>
    <w:p w:rsidR="00655E10" w:rsidRDefault="00655E10" w:rsidP="00C77328">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Se hizo justicia al pueblo Tolupan, pero AB-InBep/AZUNOSA se negó a aceptar el veredicto. Y entonces Luis Electerio fue citado por la fiscalía, en febrero del 2017,</w:t>
      </w:r>
      <w:r w:rsidR="002F3EA9">
        <w:rPr>
          <w:rFonts w:ascii="Calibri" w:eastAsia="Calibri" w:hAnsi="Calibri" w:cs="Times New Roman"/>
          <w:sz w:val="28"/>
          <w:szCs w:val="28"/>
        </w:rPr>
        <w:t xml:space="preserve"> encontrándose en el citatorio con funcionarios del INA y e</w:t>
      </w:r>
      <w:r>
        <w:rPr>
          <w:rFonts w:ascii="Calibri" w:eastAsia="Calibri" w:hAnsi="Calibri" w:cs="Times New Roman"/>
          <w:sz w:val="28"/>
          <w:szCs w:val="28"/>
        </w:rPr>
        <w:t>l abogado de AZUNOSA</w:t>
      </w:r>
      <w:r w:rsidR="0048042D">
        <w:rPr>
          <w:rFonts w:ascii="Calibri" w:eastAsia="Calibri" w:hAnsi="Calibri" w:cs="Times New Roman"/>
          <w:sz w:val="28"/>
          <w:szCs w:val="28"/>
        </w:rPr>
        <w:t xml:space="preserve">, quienes le </w:t>
      </w:r>
      <w:r>
        <w:rPr>
          <w:rFonts w:ascii="Calibri" w:eastAsia="Calibri" w:hAnsi="Calibri" w:cs="Times New Roman"/>
          <w:sz w:val="28"/>
          <w:szCs w:val="28"/>
        </w:rPr>
        <w:t>amenazar</w:t>
      </w:r>
      <w:r w:rsidR="0048042D">
        <w:rPr>
          <w:rFonts w:ascii="Calibri" w:eastAsia="Calibri" w:hAnsi="Calibri" w:cs="Times New Roman"/>
          <w:sz w:val="28"/>
          <w:szCs w:val="28"/>
        </w:rPr>
        <w:t>on con que s</w:t>
      </w:r>
      <w:r>
        <w:rPr>
          <w:rFonts w:ascii="Calibri" w:eastAsia="Calibri" w:hAnsi="Calibri" w:cs="Times New Roman"/>
          <w:sz w:val="28"/>
          <w:szCs w:val="28"/>
        </w:rPr>
        <w:t>i no devolvía las tierras entonces la tribu</w:t>
      </w:r>
      <w:r w:rsidR="0048042D">
        <w:rPr>
          <w:rFonts w:ascii="Calibri" w:eastAsia="Calibri" w:hAnsi="Calibri" w:cs="Times New Roman"/>
          <w:sz w:val="28"/>
          <w:szCs w:val="28"/>
        </w:rPr>
        <w:t xml:space="preserve"> La Candelaria</w:t>
      </w:r>
      <w:r>
        <w:rPr>
          <w:rFonts w:ascii="Calibri" w:eastAsia="Calibri" w:hAnsi="Calibri" w:cs="Times New Roman"/>
          <w:sz w:val="28"/>
          <w:szCs w:val="28"/>
        </w:rPr>
        <w:t xml:space="preserve"> sería militarizada.  </w:t>
      </w:r>
      <w:r w:rsidR="0048042D">
        <w:rPr>
          <w:rFonts w:ascii="Calibri" w:eastAsia="Calibri" w:hAnsi="Calibri" w:cs="Times New Roman"/>
          <w:sz w:val="28"/>
          <w:szCs w:val="28"/>
        </w:rPr>
        <w:t>Luis Electerio se negó rotundamente a dejarse despojar de las tierras de su tribu. Esta es su lucha, la más grande de sus luchas por la vida y la dignidad de la tribu La Candelaria.</w:t>
      </w:r>
    </w:p>
    <w:p w:rsidR="00D60864" w:rsidRDefault="00D60864" w:rsidP="00C77328">
      <w:pPr>
        <w:spacing w:before="240" w:line="360" w:lineRule="auto"/>
        <w:jc w:val="both"/>
        <w:rPr>
          <w:rFonts w:ascii="Calibri" w:eastAsia="Calibri" w:hAnsi="Calibri" w:cs="Times New Roman"/>
          <w:sz w:val="28"/>
          <w:szCs w:val="28"/>
        </w:rPr>
      </w:pPr>
    </w:p>
    <w:p w:rsidR="00D60864" w:rsidRPr="00D60864" w:rsidRDefault="00D60864" w:rsidP="00D60864">
      <w:pPr>
        <w:spacing w:before="240" w:line="360" w:lineRule="auto"/>
        <w:jc w:val="center"/>
        <w:rPr>
          <w:rFonts w:ascii="Calibri" w:eastAsia="Calibri" w:hAnsi="Calibri" w:cs="Times New Roman"/>
          <w:b/>
          <w:sz w:val="28"/>
          <w:szCs w:val="28"/>
        </w:rPr>
      </w:pPr>
      <w:r>
        <w:rPr>
          <w:rFonts w:ascii="Calibri" w:eastAsia="Calibri" w:hAnsi="Calibri" w:cs="Times New Roman"/>
          <w:b/>
          <w:sz w:val="28"/>
          <w:szCs w:val="28"/>
        </w:rPr>
        <w:t>Mayor presión de grupos ladinos incursionando la tribu La Candelaria</w:t>
      </w:r>
    </w:p>
    <w:p w:rsidR="00D60864" w:rsidRPr="00D60864" w:rsidRDefault="00D60864" w:rsidP="00D60864">
      <w:pPr>
        <w:spacing w:before="240" w:line="360" w:lineRule="auto"/>
        <w:jc w:val="both"/>
        <w:rPr>
          <w:rFonts w:ascii="Calibri" w:eastAsia="Calibri" w:hAnsi="Calibri" w:cs="Times New Roman"/>
          <w:sz w:val="28"/>
          <w:szCs w:val="28"/>
        </w:rPr>
      </w:pPr>
      <w:r w:rsidRPr="00D60864">
        <w:rPr>
          <w:rFonts w:ascii="Calibri" w:eastAsia="Calibri" w:hAnsi="Calibri" w:cs="Times New Roman"/>
          <w:sz w:val="28"/>
          <w:szCs w:val="28"/>
        </w:rPr>
        <w:t>La tribu</w:t>
      </w:r>
      <w:r>
        <w:rPr>
          <w:rFonts w:ascii="Calibri" w:eastAsia="Calibri" w:hAnsi="Calibri" w:cs="Times New Roman"/>
          <w:sz w:val="28"/>
          <w:szCs w:val="28"/>
        </w:rPr>
        <w:t xml:space="preserve"> La Candelaria</w:t>
      </w:r>
      <w:r w:rsidRPr="00D60864">
        <w:rPr>
          <w:rFonts w:ascii="Calibri" w:eastAsia="Calibri" w:hAnsi="Calibri" w:cs="Times New Roman"/>
          <w:sz w:val="28"/>
          <w:szCs w:val="28"/>
        </w:rPr>
        <w:t xml:space="preserve"> está enfrentando incursiones masivas a sus territorios por parte de grupos cada vez más crecientes de innumerables familias </w:t>
      </w:r>
      <w:r>
        <w:rPr>
          <w:rFonts w:ascii="Calibri" w:eastAsia="Calibri" w:hAnsi="Calibri" w:cs="Times New Roman"/>
          <w:sz w:val="28"/>
          <w:szCs w:val="28"/>
        </w:rPr>
        <w:t xml:space="preserve">de pequeños agricultores con cierto poder adquisitivo que se dedican a comprar los predios </w:t>
      </w:r>
      <w:r w:rsidR="007D1AC0">
        <w:rPr>
          <w:rFonts w:ascii="Calibri" w:eastAsia="Calibri" w:hAnsi="Calibri" w:cs="Times New Roman"/>
          <w:sz w:val="28"/>
          <w:szCs w:val="28"/>
        </w:rPr>
        <w:t>cultivados por las familias indígenas.</w:t>
      </w:r>
      <w:r w:rsidRPr="00D60864">
        <w:rPr>
          <w:rFonts w:ascii="Calibri" w:eastAsia="Calibri" w:hAnsi="Calibri" w:cs="Times New Roman"/>
          <w:sz w:val="28"/>
          <w:szCs w:val="28"/>
        </w:rPr>
        <w:t xml:space="preserve"> </w:t>
      </w:r>
    </w:p>
    <w:p w:rsidR="00D60864" w:rsidRPr="00D60864" w:rsidRDefault="007D1AC0" w:rsidP="00D60864">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Normalmente u</w:t>
      </w:r>
      <w:r w:rsidR="00D60864" w:rsidRPr="00D60864">
        <w:rPr>
          <w:rFonts w:ascii="Calibri" w:eastAsia="Calibri" w:hAnsi="Calibri" w:cs="Times New Roman"/>
          <w:sz w:val="28"/>
          <w:szCs w:val="28"/>
        </w:rPr>
        <w:t xml:space="preserve">na o varias familias </w:t>
      </w:r>
      <w:r>
        <w:rPr>
          <w:rFonts w:ascii="Calibri" w:eastAsia="Calibri" w:hAnsi="Calibri" w:cs="Times New Roman"/>
          <w:sz w:val="28"/>
          <w:szCs w:val="28"/>
        </w:rPr>
        <w:t>se instalan directamente en los</w:t>
      </w:r>
      <w:r w:rsidR="00D60864" w:rsidRPr="00D60864">
        <w:rPr>
          <w:rFonts w:ascii="Calibri" w:eastAsia="Calibri" w:hAnsi="Calibri" w:cs="Times New Roman"/>
          <w:sz w:val="28"/>
          <w:szCs w:val="28"/>
        </w:rPr>
        <w:t xml:space="preserve"> caseríos</w:t>
      </w:r>
      <w:r>
        <w:rPr>
          <w:rFonts w:ascii="Calibri" w:eastAsia="Calibri" w:hAnsi="Calibri" w:cs="Times New Roman"/>
          <w:sz w:val="28"/>
          <w:szCs w:val="28"/>
        </w:rPr>
        <w:t xml:space="preserve"> dentro de los territorios de las tribus tolupanas. </w:t>
      </w:r>
      <w:r w:rsidR="00D60864" w:rsidRPr="00D60864">
        <w:rPr>
          <w:rFonts w:ascii="Calibri" w:eastAsia="Calibri" w:hAnsi="Calibri" w:cs="Times New Roman"/>
          <w:sz w:val="28"/>
          <w:szCs w:val="28"/>
        </w:rPr>
        <w:t>Desde sus lugares de residencia se adentran en territorios tribales, las más de las veces desmontando montañas o adquiriendo predios para plantar sus cultivos; y en otros casos tomándose la tierra por la fuerza enfrentan</w:t>
      </w:r>
      <w:r>
        <w:rPr>
          <w:rFonts w:ascii="Calibri" w:eastAsia="Calibri" w:hAnsi="Calibri" w:cs="Times New Roman"/>
          <w:sz w:val="28"/>
          <w:szCs w:val="28"/>
        </w:rPr>
        <w:t xml:space="preserve">do a las comunidades indígenas. </w:t>
      </w:r>
      <w:r w:rsidR="00D60864" w:rsidRPr="00D60864">
        <w:rPr>
          <w:rFonts w:ascii="Calibri" w:eastAsia="Calibri" w:hAnsi="Calibri" w:cs="Times New Roman"/>
          <w:sz w:val="28"/>
          <w:szCs w:val="28"/>
        </w:rPr>
        <w:t>La mayo</w:t>
      </w:r>
      <w:r>
        <w:rPr>
          <w:rFonts w:ascii="Calibri" w:eastAsia="Calibri" w:hAnsi="Calibri" w:cs="Times New Roman"/>
          <w:sz w:val="28"/>
          <w:szCs w:val="28"/>
        </w:rPr>
        <w:t>ría de estas familias ladinas</w:t>
      </w:r>
      <w:r w:rsidR="00D60864" w:rsidRPr="00D60864">
        <w:rPr>
          <w:rFonts w:ascii="Calibri" w:eastAsia="Calibri" w:hAnsi="Calibri" w:cs="Times New Roman"/>
          <w:sz w:val="28"/>
          <w:szCs w:val="28"/>
        </w:rPr>
        <w:t xml:space="preserve"> se dedican a la siembra de granos básicos, principalmente maíz y frijol; y algunas de ellas (las que poseen mayor capacidad económica o tienen el apoyo de otras instituciones) se amplían a la plantación de cultivos de café y g</w:t>
      </w:r>
      <w:r>
        <w:rPr>
          <w:rFonts w:ascii="Calibri" w:eastAsia="Calibri" w:hAnsi="Calibri" w:cs="Times New Roman"/>
          <w:sz w:val="28"/>
          <w:szCs w:val="28"/>
        </w:rPr>
        <w:t xml:space="preserve">anadería bovina. </w:t>
      </w:r>
    </w:p>
    <w:bookmarkEnd w:id="1"/>
    <w:p w:rsidR="00055F91" w:rsidRDefault="007D1AC0" w:rsidP="00846521">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 xml:space="preserve">Ante esta situación, Luis Electerio defiende el carácter sagrado de los territorios indígenas, que no pueden venderse sino que siempre deben estar disponibles para las futuras generaciones del pueblo Tolupan. Una familia indígena puede vender los cultivos que tenga establecidos en sus predios agrícolas, más no las tierras mismas, puesto que estas son heredad eterna del pueblo Tolupan. Cumplir con este mandato sagrado le ha granjeado numerosos enemigos ladinos a Luis Electerio, quienes ven en él el principal obstáculo para quedarse con las tierras de los indígenas de la tribu La Candelaria. La lista de pequeños y medianos terratenientes enfrentando a Luis Electerio </w:t>
      </w:r>
      <w:r w:rsidR="00C75FF3">
        <w:rPr>
          <w:rFonts w:ascii="Calibri" w:eastAsia="Calibri" w:hAnsi="Calibri" w:cs="Times New Roman"/>
          <w:sz w:val="28"/>
          <w:szCs w:val="28"/>
        </w:rPr>
        <w:t xml:space="preserve">ha crecido en los últimos años. </w:t>
      </w:r>
    </w:p>
    <w:p w:rsidR="00055F91" w:rsidRDefault="00055F91" w:rsidP="00846521">
      <w:pPr>
        <w:spacing w:before="240" w:line="360" w:lineRule="auto"/>
        <w:jc w:val="both"/>
        <w:rPr>
          <w:rFonts w:ascii="Calibri" w:eastAsia="Calibri" w:hAnsi="Calibri" w:cs="Times New Roman"/>
          <w:sz w:val="28"/>
          <w:szCs w:val="28"/>
        </w:rPr>
      </w:pPr>
    </w:p>
    <w:p w:rsidR="00055F91" w:rsidRPr="00055F91" w:rsidRDefault="00055F91" w:rsidP="00055F91">
      <w:pPr>
        <w:spacing w:before="240" w:line="360" w:lineRule="auto"/>
        <w:jc w:val="center"/>
        <w:rPr>
          <w:rFonts w:ascii="Calibri" w:eastAsia="Calibri" w:hAnsi="Calibri" w:cs="Times New Roman"/>
          <w:b/>
          <w:sz w:val="28"/>
          <w:szCs w:val="28"/>
        </w:rPr>
      </w:pPr>
      <w:r w:rsidRPr="00055F91">
        <w:rPr>
          <w:rFonts w:ascii="Calibri" w:eastAsia="Calibri" w:hAnsi="Calibri" w:cs="Times New Roman"/>
          <w:b/>
          <w:sz w:val="28"/>
          <w:szCs w:val="28"/>
        </w:rPr>
        <w:t>La FETRIXY y la crisis de La Candelaria</w:t>
      </w:r>
    </w:p>
    <w:p w:rsidR="00055F91" w:rsidRDefault="00055F91" w:rsidP="00846521">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M</w:t>
      </w:r>
      <w:r w:rsidR="00C75FF3">
        <w:rPr>
          <w:rFonts w:ascii="Calibri" w:eastAsia="Calibri" w:hAnsi="Calibri" w:cs="Times New Roman"/>
          <w:sz w:val="28"/>
          <w:szCs w:val="28"/>
        </w:rPr>
        <w:t>ientras los pretendientes de las tierras indígenas crecen,</w:t>
      </w:r>
      <w:r w:rsidR="002F3EA9">
        <w:rPr>
          <w:rFonts w:ascii="Calibri" w:eastAsia="Calibri" w:hAnsi="Calibri" w:cs="Times New Roman"/>
          <w:sz w:val="28"/>
          <w:szCs w:val="28"/>
        </w:rPr>
        <w:t xml:space="preserve"> </w:t>
      </w:r>
      <w:r>
        <w:rPr>
          <w:rFonts w:ascii="Calibri" w:eastAsia="Calibri" w:hAnsi="Calibri" w:cs="Times New Roman"/>
          <w:sz w:val="28"/>
          <w:szCs w:val="28"/>
        </w:rPr>
        <w:t>los apoyos internos y externos de</w:t>
      </w:r>
      <w:r w:rsidR="00C75FF3">
        <w:rPr>
          <w:rFonts w:ascii="Calibri" w:eastAsia="Calibri" w:hAnsi="Calibri" w:cs="Times New Roman"/>
          <w:sz w:val="28"/>
          <w:szCs w:val="28"/>
        </w:rPr>
        <w:t xml:space="preserve"> la tribu La Candelaria</w:t>
      </w:r>
      <w:r>
        <w:rPr>
          <w:rFonts w:ascii="Calibri" w:eastAsia="Calibri" w:hAnsi="Calibri" w:cs="Times New Roman"/>
          <w:sz w:val="28"/>
          <w:szCs w:val="28"/>
        </w:rPr>
        <w:t xml:space="preserve"> no parecen hacerlo en la misma medida. </w:t>
      </w:r>
      <w:r w:rsidR="00C75FF3">
        <w:rPr>
          <w:rFonts w:ascii="Calibri" w:eastAsia="Calibri" w:hAnsi="Calibri" w:cs="Times New Roman"/>
          <w:sz w:val="28"/>
          <w:szCs w:val="28"/>
        </w:rPr>
        <w:t xml:space="preserve"> </w:t>
      </w:r>
      <w:r>
        <w:rPr>
          <w:rFonts w:ascii="Calibri" w:eastAsia="Calibri" w:hAnsi="Calibri" w:cs="Times New Roman"/>
          <w:sz w:val="28"/>
          <w:szCs w:val="28"/>
        </w:rPr>
        <w:t xml:space="preserve">En esta lucha tan desigual, la tribu La Candelaria </w:t>
      </w:r>
      <w:r w:rsidR="00C75FF3">
        <w:rPr>
          <w:rFonts w:ascii="Calibri" w:eastAsia="Calibri" w:hAnsi="Calibri" w:cs="Times New Roman"/>
          <w:sz w:val="28"/>
          <w:szCs w:val="28"/>
        </w:rPr>
        <w:t xml:space="preserve">cuenta únicamente con el </w:t>
      </w:r>
      <w:r>
        <w:rPr>
          <w:rFonts w:ascii="Calibri" w:eastAsia="Calibri" w:hAnsi="Calibri" w:cs="Times New Roman"/>
          <w:sz w:val="28"/>
          <w:szCs w:val="28"/>
        </w:rPr>
        <w:t xml:space="preserve">apoyo del </w:t>
      </w:r>
      <w:r w:rsidR="00C75FF3">
        <w:rPr>
          <w:rFonts w:ascii="Calibri" w:eastAsia="Calibri" w:hAnsi="Calibri" w:cs="Times New Roman"/>
          <w:sz w:val="28"/>
          <w:szCs w:val="28"/>
        </w:rPr>
        <w:t>Movimiento Amplio. Inclusive la Federación de Tribus Xicaques de Yoro, FETRIXY, que tradicionalmente ha sido la instancia defensora de las tribus</w:t>
      </w:r>
      <w:r>
        <w:rPr>
          <w:rFonts w:ascii="Calibri" w:eastAsia="Calibri" w:hAnsi="Calibri" w:cs="Times New Roman"/>
          <w:sz w:val="28"/>
          <w:szCs w:val="28"/>
        </w:rPr>
        <w:t>,</w:t>
      </w:r>
      <w:r w:rsidR="00C75FF3">
        <w:rPr>
          <w:rFonts w:ascii="Calibri" w:eastAsia="Calibri" w:hAnsi="Calibri" w:cs="Times New Roman"/>
          <w:sz w:val="28"/>
          <w:szCs w:val="28"/>
        </w:rPr>
        <w:t xml:space="preserve"> se ha sentido vencida por el enorme poderío de la tr</w:t>
      </w:r>
      <w:r>
        <w:rPr>
          <w:rFonts w:ascii="Calibri" w:eastAsia="Calibri" w:hAnsi="Calibri" w:cs="Times New Roman"/>
          <w:sz w:val="28"/>
          <w:szCs w:val="28"/>
        </w:rPr>
        <w:t>ansna</w:t>
      </w:r>
      <w:r w:rsidR="00C75FF3">
        <w:rPr>
          <w:rFonts w:ascii="Calibri" w:eastAsia="Calibri" w:hAnsi="Calibri" w:cs="Times New Roman"/>
          <w:sz w:val="28"/>
          <w:szCs w:val="28"/>
        </w:rPr>
        <w:t>cional AB-InBep</w:t>
      </w:r>
      <w:r w:rsidR="002F3EA9">
        <w:rPr>
          <w:rFonts w:ascii="Calibri" w:eastAsia="Calibri" w:hAnsi="Calibri" w:cs="Times New Roman"/>
          <w:sz w:val="28"/>
          <w:szCs w:val="28"/>
        </w:rPr>
        <w:t>/AZUNOSA</w:t>
      </w:r>
      <w:r w:rsidR="00C75FF3">
        <w:rPr>
          <w:rFonts w:ascii="Calibri" w:eastAsia="Calibri" w:hAnsi="Calibri" w:cs="Times New Roman"/>
          <w:sz w:val="28"/>
          <w:szCs w:val="28"/>
        </w:rPr>
        <w:t xml:space="preserve"> como de los terratenientes locales que usurpan las tierras tolupanas. Sumida en profundos actos de corrupción </w:t>
      </w:r>
      <w:r>
        <w:rPr>
          <w:rFonts w:ascii="Calibri" w:eastAsia="Calibri" w:hAnsi="Calibri" w:cs="Times New Roman"/>
          <w:sz w:val="28"/>
          <w:szCs w:val="28"/>
        </w:rPr>
        <w:t xml:space="preserve">desde hace varias décadas, </w:t>
      </w:r>
      <w:r w:rsidR="00C75FF3">
        <w:rPr>
          <w:rFonts w:ascii="Calibri" w:eastAsia="Calibri" w:hAnsi="Calibri" w:cs="Times New Roman"/>
          <w:sz w:val="28"/>
          <w:szCs w:val="28"/>
        </w:rPr>
        <w:t xml:space="preserve">la FETRIXY actual perdió los apoyos solidarios de muchas instituciones y ahora garantiza su existencia plegándose a los dictados gubernamentales que no siempre significan las mejores opciones para el pueblo Tolupan. </w:t>
      </w:r>
      <w:r>
        <w:rPr>
          <w:rFonts w:ascii="Calibri" w:eastAsia="Calibri" w:hAnsi="Calibri" w:cs="Times New Roman"/>
          <w:sz w:val="28"/>
          <w:szCs w:val="28"/>
        </w:rPr>
        <w:t>Además,</w:t>
      </w:r>
      <w:r w:rsidR="00C75FF3">
        <w:rPr>
          <w:rFonts w:ascii="Calibri" w:eastAsia="Calibri" w:hAnsi="Calibri" w:cs="Times New Roman"/>
          <w:sz w:val="28"/>
          <w:szCs w:val="28"/>
        </w:rPr>
        <w:t xml:space="preserve"> la FETRIXY se ha sentido muy molesta </w:t>
      </w:r>
      <w:r>
        <w:rPr>
          <w:rFonts w:ascii="Calibri" w:eastAsia="Calibri" w:hAnsi="Calibri" w:cs="Times New Roman"/>
          <w:sz w:val="28"/>
          <w:szCs w:val="28"/>
        </w:rPr>
        <w:t xml:space="preserve">recientemente </w:t>
      </w:r>
      <w:r w:rsidR="00C75FF3">
        <w:rPr>
          <w:rFonts w:ascii="Calibri" w:eastAsia="Calibri" w:hAnsi="Calibri" w:cs="Times New Roman"/>
          <w:sz w:val="28"/>
          <w:szCs w:val="28"/>
        </w:rPr>
        <w:t xml:space="preserve">por la determinación de las mayorías de la tribu La Candelaria de </w:t>
      </w:r>
      <w:r>
        <w:rPr>
          <w:rFonts w:ascii="Calibri" w:eastAsia="Calibri" w:hAnsi="Calibri" w:cs="Times New Roman"/>
          <w:sz w:val="28"/>
          <w:szCs w:val="28"/>
        </w:rPr>
        <w:t>contar con su propia personería jurídica para gestionar y canalizar apoyos y programas de desarrollo con justicia social y ambiental para la tribu sin tener que pasar por ninguna instancia mediadora. Esta actitud es calificada como intolerable de parte de aquellas instancias que siempre se han beneficiado de los bienes naturales de las tribus tolupanas sin que los recursos</w:t>
      </w:r>
      <w:r w:rsidR="002F3EA9">
        <w:rPr>
          <w:rFonts w:ascii="Calibri" w:eastAsia="Calibri" w:hAnsi="Calibri" w:cs="Times New Roman"/>
          <w:sz w:val="28"/>
          <w:szCs w:val="28"/>
        </w:rPr>
        <w:t xml:space="preserve"> percibidos</w:t>
      </w:r>
      <w:r>
        <w:rPr>
          <w:rFonts w:ascii="Calibri" w:eastAsia="Calibri" w:hAnsi="Calibri" w:cs="Times New Roman"/>
          <w:sz w:val="28"/>
          <w:szCs w:val="28"/>
        </w:rPr>
        <w:t xml:space="preserve"> terminen de llegar realmente a las familias indígenas necesitadas.</w:t>
      </w:r>
    </w:p>
    <w:p w:rsidR="00055F91" w:rsidRDefault="00055F91" w:rsidP="00846521">
      <w:pPr>
        <w:spacing w:before="240" w:line="360" w:lineRule="auto"/>
        <w:jc w:val="both"/>
        <w:rPr>
          <w:rFonts w:ascii="Calibri" w:eastAsia="Calibri" w:hAnsi="Calibri" w:cs="Times New Roman"/>
          <w:sz w:val="28"/>
          <w:szCs w:val="28"/>
        </w:rPr>
      </w:pPr>
    </w:p>
    <w:p w:rsidR="00846521" w:rsidRDefault="00055F91" w:rsidP="00055F91">
      <w:pPr>
        <w:spacing w:before="240" w:line="360" w:lineRule="auto"/>
        <w:jc w:val="center"/>
        <w:rPr>
          <w:rFonts w:ascii="Calibri" w:eastAsia="Calibri" w:hAnsi="Calibri" w:cs="Times New Roman"/>
          <w:b/>
          <w:sz w:val="28"/>
          <w:szCs w:val="28"/>
        </w:rPr>
      </w:pPr>
      <w:r>
        <w:rPr>
          <w:rFonts w:ascii="Calibri" w:eastAsia="Calibri" w:hAnsi="Calibri" w:cs="Times New Roman"/>
          <w:b/>
          <w:sz w:val="28"/>
          <w:szCs w:val="28"/>
        </w:rPr>
        <w:t>¿Quiénes son los responsables del atentado contra Luis Electerio?</w:t>
      </w:r>
    </w:p>
    <w:p w:rsidR="00055F91" w:rsidRDefault="00055F91" w:rsidP="00055F91">
      <w:pPr>
        <w:spacing w:before="240" w:line="360" w:lineRule="auto"/>
        <w:jc w:val="both"/>
        <w:rPr>
          <w:rFonts w:ascii="Calibri" w:eastAsia="Calibri" w:hAnsi="Calibri" w:cs="Times New Roman"/>
          <w:sz w:val="28"/>
          <w:szCs w:val="28"/>
        </w:rPr>
      </w:pPr>
      <w:r w:rsidRPr="00055F91">
        <w:rPr>
          <w:rFonts w:ascii="Calibri" w:eastAsia="Calibri" w:hAnsi="Calibri" w:cs="Times New Roman"/>
          <w:sz w:val="28"/>
          <w:szCs w:val="28"/>
        </w:rPr>
        <w:t xml:space="preserve">Al condenar enérgicamente </w:t>
      </w:r>
      <w:r>
        <w:rPr>
          <w:rFonts w:ascii="Calibri" w:eastAsia="Calibri" w:hAnsi="Calibri" w:cs="Times New Roman"/>
          <w:sz w:val="28"/>
          <w:szCs w:val="28"/>
        </w:rPr>
        <w:t>tal atentado criminal el movimiento Amplio no se pregunta úni</w:t>
      </w:r>
      <w:r w:rsidR="000D480D">
        <w:rPr>
          <w:rFonts w:ascii="Calibri" w:eastAsia="Calibri" w:hAnsi="Calibri" w:cs="Times New Roman"/>
          <w:sz w:val="28"/>
          <w:szCs w:val="28"/>
        </w:rPr>
        <w:t>camente por las manos asesinas que</w:t>
      </w:r>
      <w:r>
        <w:rPr>
          <w:rFonts w:ascii="Calibri" w:eastAsia="Calibri" w:hAnsi="Calibri" w:cs="Times New Roman"/>
          <w:sz w:val="28"/>
          <w:szCs w:val="28"/>
        </w:rPr>
        <w:t xml:space="preserve"> </w:t>
      </w:r>
      <w:r w:rsidR="000D480D">
        <w:rPr>
          <w:rFonts w:ascii="Calibri" w:eastAsia="Calibri" w:hAnsi="Calibri" w:cs="Times New Roman"/>
          <w:sz w:val="28"/>
          <w:szCs w:val="28"/>
        </w:rPr>
        <w:t>detonaron los proyectiles de 9 mm sobre la humilde residencia de Luis Electerio y amenazan con matarle si no abandona la tribu. El Movimiento Amplio también se pregunta por las autorías intelectuales que planifican atentados y por los poderes ocultos que financian la muerte de las personas que defienden sus hermanos y hermanas.</w:t>
      </w:r>
    </w:p>
    <w:p w:rsidR="000D480D" w:rsidRDefault="000D480D" w:rsidP="00055F91">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 xml:space="preserve">Es así que son responsables todas las instituciones públicas y privadas que hemos mencionado por cuanto de alguna forma se han prestado para </w:t>
      </w:r>
      <w:r w:rsidR="00962FD0">
        <w:rPr>
          <w:rFonts w:ascii="Calibri" w:eastAsia="Calibri" w:hAnsi="Calibri" w:cs="Times New Roman"/>
          <w:sz w:val="28"/>
          <w:szCs w:val="28"/>
        </w:rPr>
        <w:t>criminalizar</w:t>
      </w:r>
      <w:r>
        <w:rPr>
          <w:rFonts w:ascii="Calibri" w:eastAsia="Calibri" w:hAnsi="Calibri" w:cs="Times New Roman"/>
          <w:sz w:val="28"/>
          <w:szCs w:val="28"/>
        </w:rPr>
        <w:t xml:space="preserve"> a Luis Electerio por el mero hecho de asegurar la supervivencia de su tribu La Candelaria. Desde la transnacional AB-InBep/AZUNOSA, pasando por las instituciones públicas que han agredido y violentado a Luis Electerio en diferentes momentos como ser el INA y el ministerio Público, así como instancias más cercanas como ser las familias de pequeños terratenientes locales y la misma FETRIXY están llamadas a desmarcarse de la instancia criminal demostrando con hechos y colaborando en lo que sea posible</w:t>
      </w:r>
      <w:r w:rsidR="00E538FE">
        <w:rPr>
          <w:rFonts w:ascii="Calibri" w:eastAsia="Calibri" w:hAnsi="Calibri" w:cs="Times New Roman"/>
          <w:sz w:val="28"/>
          <w:szCs w:val="28"/>
        </w:rPr>
        <w:t xml:space="preserve">, de manera que se demuestre fehacientemente </w:t>
      </w:r>
      <w:r>
        <w:rPr>
          <w:rFonts w:ascii="Calibri" w:eastAsia="Calibri" w:hAnsi="Calibri" w:cs="Times New Roman"/>
          <w:sz w:val="28"/>
          <w:szCs w:val="28"/>
        </w:rPr>
        <w:t xml:space="preserve">que no están inmiscuidas en </w:t>
      </w:r>
      <w:r w:rsidR="00E538FE">
        <w:rPr>
          <w:rFonts w:ascii="Calibri" w:eastAsia="Calibri" w:hAnsi="Calibri" w:cs="Times New Roman"/>
          <w:sz w:val="28"/>
          <w:szCs w:val="28"/>
        </w:rPr>
        <w:t xml:space="preserve">este atentado. </w:t>
      </w:r>
    </w:p>
    <w:p w:rsidR="00E538FE" w:rsidRDefault="00E538FE" w:rsidP="00055F91">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 xml:space="preserve">El Movimiento Amplio se caracteriza por su sed de justicia y dignidad para toda persona; y no lo es menos ahora que se trata de defender la vida de uno de nuestros compañeros que se ha caracterizado por amar incondicionalmente a su tribu tolupan. </w:t>
      </w:r>
    </w:p>
    <w:p w:rsidR="00E538FE" w:rsidRDefault="00E538FE" w:rsidP="00055F91">
      <w:pPr>
        <w:spacing w:before="240" w:line="360" w:lineRule="auto"/>
        <w:jc w:val="both"/>
        <w:rPr>
          <w:rFonts w:ascii="Calibri" w:eastAsia="Calibri" w:hAnsi="Calibri" w:cs="Times New Roman"/>
          <w:sz w:val="28"/>
          <w:szCs w:val="28"/>
        </w:rPr>
      </w:pPr>
      <w:r>
        <w:rPr>
          <w:rFonts w:ascii="Calibri" w:eastAsia="Calibri" w:hAnsi="Calibri" w:cs="Times New Roman"/>
          <w:sz w:val="28"/>
          <w:szCs w:val="28"/>
        </w:rPr>
        <w:t>El Movimiento Amplio demanda la inmediata protección de Luis Electerio Mejía, el emprendimiento de una investigación profunda sobre los hechos acaecidos el pasado 12 de octubre en la tribu La Candelaria y el castigo a quienes están involucrados en tan injusta acción.</w:t>
      </w:r>
    </w:p>
    <w:p w:rsidR="00E538FE" w:rsidRDefault="00E538FE" w:rsidP="00055F91">
      <w:pPr>
        <w:spacing w:before="240" w:line="360" w:lineRule="auto"/>
        <w:jc w:val="both"/>
        <w:rPr>
          <w:rFonts w:ascii="Calibri" w:eastAsia="Calibri" w:hAnsi="Calibri" w:cs="Times New Roman"/>
          <w:sz w:val="28"/>
          <w:szCs w:val="28"/>
        </w:rPr>
      </w:pPr>
    </w:p>
    <w:p w:rsidR="00E538FE" w:rsidRDefault="00E538FE" w:rsidP="00E538FE">
      <w:pPr>
        <w:spacing w:before="240" w:line="360" w:lineRule="auto"/>
        <w:jc w:val="center"/>
        <w:rPr>
          <w:rFonts w:ascii="Calibri" w:eastAsia="Calibri" w:hAnsi="Calibri" w:cs="Times New Roman"/>
          <w:sz w:val="28"/>
          <w:szCs w:val="28"/>
        </w:rPr>
      </w:pPr>
      <w:r>
        <w:rPr>
          <w:rFonts w:ascii="Calibri" w:eastAsia="Calibri" w:hAnsi="Calibri" w:cs="Times New Roman"/>
          <w:sz w:val="28"/>
          <w:szCs w:val="28"/>
        </w:rPr>
        <w:t>San Pedro Sula, Honduras. 17 de octubre de 2017</w:t>
      </w:r>
    </w:p>
    <w:p w:rsidR="00E538FE" w:rsidRDefault="00E538FE" w:rsidP="00E538FE">
      <w:pPr>
        <w:spacing w:before="240" w:line="360" w:lineRule="auto"/>
        <w:jc w:val="center"/>
        <w:rPr>
          <w:rFonts w:ascii="Calibri" w:eastAsia="Calibri" w:hAnsi="Calibri" w:cs="Times New Roman"/>
          <w:sz w:val="28"/>
          <w:szCs w:val="28"/>
        </w:rPr>
      </w:pPr>
    </w:p>
    <w:p w:rsidR="00E538FE" w:rsidRPr="00055F91" w:rsidRDefault="00E538FE" w:rsidP="00E538FE">
      <w:pPr>
        <w:spacing w:before="240" w:line="360" w:lineRule="auto"/>
        <w:jc w:val="center"/>
        <w:rPr>
          <w:rFonts w:ascii="Calibri" w:eastAsia="Calibri" w:hAnsi="Calibri" w:cs="Times New Roman"/>
          <w:sz w:val="28"/>
          <w:szCs w:val="28"/>
        </w:rPr>
      </w:pPr>
      <w:r>
        <w:rPr>
          <w:rFonts w:ascii="Calibri" w:eastAsia="Calibri" w:hAnsi="Calibri" w:cs="Times New Roman"/>
          <w:sz w:val="28"/>
          <w:szCs w:val="28"/>
        </w:rPr>
        <w:t>Movimiento Amplio por la Dignidad y la Justicia</w:t>
      </w:r>
    </w:p>
    <w:sectPr w:rsidR="00E538FE" w:rsidRPr="00055F91" w:rsidSect="005478F7">
      <w:footerReference w:type="default" r:id="rId14"/>
      <w:headerReference w:type="first" r:id="rId15"/>
      <w:footerReference w:type="first" r:id="rId16"/>
      <w:pgSz w:w="12240" w:h="15840" w:code="1"/>
      <w:pgMar w:top="1417" w:right="1701" w:bottom="1417" w:left="1701" w:header="708"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285" w:rsidRDefault="00514285" w:rsidP="00884FA9">
      <w:pPr>
        <w:spacing w:after="0" w:line="240" w:lineRule="auto"/>
      </w:pPr>
      <w:r>
        <w:separator/>
      </w:r>
    </w:p>
  </w:endnote>
  <w:endnote w:type="continuationSeparator" w:id="0">
    <w:p w:rsidR="00514285" w:rsidRDefault="00514285" w:rsidP="00884F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Humanist777BT-RomanB-Identity-H">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961186"/>
      <w:docPartObj>
        <w:docPartGallery w:val="Page Numbers (Bottom of Page)"/>
        <w:docPartUnique/>
      </w:docPartObj>
    </w:sdtPr>
    <w:sdtEndPr/>
    <w:sdtContent>
      <w:p w:rsidR="000D480D" w:rsidRDefault="000D480D">
        <w:pPr>
          <w:pStyle w:val="Piedepgina"/>
          <w:jc w:val="right"/>
        </w:pPr>
        <w:r>
          <w:fldChar w:fldCharType="begin"/>
        </w:r>
        <w:r>
          <w:instrText>PAGE   \* MERGEFORMAT</w:instrText>
        </w:r>
        <w:r>
          <w:fldChar w:fldCharType="separate"/>
        </w:r>
        <w:r w:rsidR="00FC5488" w:rsidRPr="00FC5488">
          <w:rPr>
            <w:noProof/>
            <w:lang w:val="es-ES"/>
          </w:rPr>
          <w:t>2</w:t>
        </w:r>
        <w:r>
          <w:fldChar w:fldCharType="end"/>
        </w:r>
      </w:p>
    </w:sdtContent>
  </w:sdt>
  <w:p w:rsidR="000D480D" w:rsidRDefault="000D48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937448"/>
      <w:docPartObj>
        <w:docPartGallery w:val="Page Numbers (Bottom of Page)"/>
        <w:docPartUnique/>
      </w:docPartObj>
    </w:sdtPr>
    <w:sdtEndPr/>
    <w:sdtContent>
      <w:p w:rsidR="000D480D" w:rsidRDefault="000D480D">
        <w:pPr>
          <w:pStyle w:val="Piedepgina"/>
          <w:jc w:val="right"/>
        </w:pPr>
        <w:r>
          <w:fldChar w:fldCharType="begin"/>
        </w:r>
        <w:r>
          <w:instrText>PAGE   \* MERGEFORMAT</w:instrText>
        </w:r>
        <w:r>
          <w:fldChar w:fldCharType="separate"/>
        </w:r>
        <w:r w:rsidR="00FC5488" w:rsidRPr="00FC5488">
          <w:rPr>
            <w:noProof/>
            <w:lang w:val="es-ES"/>
          </w:rPr>
          <w:t>1</w:t>
        </w:r>
        <w:r>
          <w:fldChar w:fldCharType="end"/>
        </w:r>
      </w:p>
    </w:sdtContent>
  </w:sdt>
  <w:p w:rsidR="000D480D" w:rsidRDefault="000D48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285" w:rsidRDefault="00514285" w:rsidP="00884FA9">
      <w:pPr>
        <w:spacing w:after="0" w:line="240" w:lineRule="auto"/>
      </w:pPr>
      <w:r>
        <w:separator/>
      </w:r>
    </w:p>
  </w:footnote>
  <w:footnote w:type="continuationSeparator" w:id="0">
    <w:p w:rsidR="00514285" w:rsidRDefault="00514285" w:rsidP="00884F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D480D" w:rsidRDefault="000D480D">
    <w:pPr>
      <w:pStyle w:val="Encabezado"/>
    </w:pPr>
    <w:r w:rsidRPr="002E4467">
      <w:rPr>
        <w:noProof/>
        <w:lang w:eastAsia="es-HN"/>
      </w:rPr>
      <w:drawing>
        <wp:anchor distT="0" distB="0" distL="114300" distR="114300" simplePos="0" relativeHeight="251678720" behindDoc="0" locked="0" layoutInCell="1" allowOverlap="1" wp14:anchorId="69944892" wp14:editId="78B0FD2D">
          <wp:simplePos x="0" y="0"/>
          <wp:positionH relativeFrom="column">
            <wp:posOffset>-13970</wp:posOffset>
          </wp:positionH>
          <wp:positionV relativeFrom="paragraph">
            <wp:posOffset>78740</wp:posOffset>
          </wp:positionV>
          <wp:extent cx="1624330" cy="1285240"/>
          <wp:effectExtent l="0" t="0" r="0" b="0"/>
          <wp:wrapNone/>
          <wp:docPr id="3" name="Imagen 3" descr="D:\falok\MADJ\logo\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alok\MADJ\logo\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4330" cy="1285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HN"/>
      </w:rPr>
      <mc:AlternateContent>
        <mc:Choice Requires="wps">
          <w:drawing>
            <wp:anchor distT="45720" distB="45720" distL="114300" distR="114300" simplePos="0" relativeHeight="251682816" behindDoc="0" locked="0" layoutInCell="1" allowOverlap="1" wp14:anchorId="20AB93B4" wp14:editId="714E1DFB">
              <wp:simplePos x="0" y="0"/>
              <wp:positionH relativeFrom="column">
                <wp:posOffset>2218055</wp:posOffset>
              </wp:positionH>
              <wp:positionV relativeFrom="paragraph">
                <wp:posOffset>514350</wp:posOffset>
              </wp:positionV>
              <wp:extent cx="2243455" cy="356235"/>
              <wp:effectExtent l="0" t="0" r="0" b="571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356235"/>
                      </a:xfrm>
                      <a:prstGeom prst="rect">
                        <a:avLst/>
                      </a:prstGeom>
                      <a:noFill/>
                      <a:ln w="9525">
                        <a:noFill/>
                        <a:miter lim="800000"/>
                        <a:headEnd/>
                        <a:tailEnd/>
                      </a:ln>
                    </wps:spPr>
                    <wps:txbx>
                      <w:txbxContent>
                        <w:p w:rsidR="000D480D" w:rsidRPr="001E6DD4" w:rsidRDefault="000D480D" w:rsidP="001E6DD4">
                          <w:pPr>
                            <w:pStyle w:val="Sinespaciado"/>
                            <w:jc w:val="center"/>
                            <w:rPr>
                              <w:rFonts w:ascii="Arial" w:hAnsi="Arial" w:cs="Arial"/>
                              <w:i/>
                              <w:color w:val="404040" w:themeColor="text1" w:themeTint="BF"/>
                            </w:rPr>
                          </w:pPr>
                          <w:r>
                            <w:rPr>
                              <w:i/>
                              <w:color w:val="404040" w:themeColor="text1" w:themeTint="BF"/>
                            </w:rPr>
                            <w:t>¡</w:t>
                          </w:r>
                          <w:r w:rsidRPr="001E6DD4">
                            <w:rPr>
                              <w:i/>
                              <w:color w:val="404040" w:themeColor="text1" w:themeTint="BF"/>
                            </w:rPr>
                            <w:t>Por la dignidad y la justicia</w:t>
                          </w:r>
                          <w:r>
                            <w:rPr>
                              <w:i/>
                              <w:color w:val="404040" w:themeColor="text1" w:themeTint="B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AB93B4" id="_x0000_t202" coordsize="21600,21600" o:spt="202" path="m,l,21600r21600,l21600,xe">
              <v:stroke joinstyle="miter"/>
              <v:path gradientshapeok="t" o:connecttype="rect"/>
            </v:shapetype>
            <v:shape id="Cuadro de texto 4" o:spid="_x0000_s1026" type="#_x0000_t202" style="position:absolute;margin-left:174.65pt;margin-top:40.5pt;width:176.65pt;height:28.0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" filled="f" stroked="f">
              <v:textbox>
                <w:txbxContent>
                  <w:p w:rsidR="000D480D" w:rsidRPr="001E6DD4" w:rsidRDefault="000D480D" w:rsidP="001E6DD4">
                    <w:pPr>
                      <w:pStyle w:val="Sinespaciado"/>
                      <w:jc w:val="center"/>
                      <w:rPr>
                        <w:rFonts w:ascii="Arial" w:hAnsi="Arial" w:cs="Arial"/>
                        <w:i/>
                        <w:color w:val="404040" w:themeColor="text1" w:themeTint="BF"/>
                      </w:rPr>
                    </w:pPr>
                    <w:r>
                      <w:rPr>
                        <w:i/>
                        <w:color w:val="404040" w:themeColor="text1" w:themeTint="BF"/>
                      </w:rPr>
                      <w:t>¡</w:t>
                    </w:r>
                    <w:r w:rsidRPr="001E6DD4">
                      <w:rPr>
                        <w:i/>
                        <w:color w:val="404040" w:themeColor="text1" w:themeTint="BF"/>
                      </w:rPr>
                      <w:t>Por la dignidad y la justicia</w:t>
                    </w:r>
                    <w:r>
                      <w:rPr>
                        <w:i/>
                        <w:color w:val="404040" w:themeColor="text1" w:themeTint="BF"/>
                      </w:rPr>
                      <w:t>!</w:t>
                    </w:r>
                  </w:p>
                </w:txbxContent>
              </v:textbox>
            </v:shape>
          </w:pict>
        </mc:Fallback>
      </mc:AlternateContent>
    </w:r>
    <w:r>
      <w:rPr>
        <w:noProof/>
        <w:lang w:eastAsia="es-HN"/>
      </w:rPr>
      <mc:AlternateContent>
        <mc:Choice Requires="wps">
          <w:drawing>
            <wp:anchor distT="45720" distB="45720" distL="114300" distR="114300" simplePos="0" relativeHeight="251680768" behindDoc="0" locked="0" layoutInCell="1" allowOverlap="1" wp14:anchorId="7120FDAB" wp14:editId="19B06F53">
              <wp:simplePos x="0" y="0"/>
              <wp:positionH relativeFrom="column">
                <wp:posOffset>2219325</wp:posOffset>
              </wp:positionH>
              <wp:positionV relativeFrom="paragraph">
                <wp:posOffset>154443</wp:posOffset>
              </wp:positionV>
              <wp:extent cx="2243455" cy="421419"/>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3455" cy="421419"/>
                      </a:xfrm>
                      <a:prstGeom prst="rect">
                        <a:avLst/>
                      </a:prstGeom>
                      <a:noFill/>
                      <a:ln w="9525">
                        <a:noFill/>
                        <a:miter lim="800000"/>
                        <a:headEnd/>
                        <a:tailEnd/>
                      </a:ln>
                    </wps:spPr>
                    <wps:txbx>
                      <w:txbxContent>
                        <w:p w:rsidR="000D480D" w:rsidRPr="001E6DD4" w:rsidRDefault="000D480D" w:rsidP="001E6DD4">
                          <w:pPr>
                            <w:pStyle w:val="Ttulo1"/>
                            <w:spacing w:line="240" w:lineRule="auto"/>
                            <w:rPr>
                              <w:rFonts w:ascii="Arial" w:hAnsi="Arial" w:cs="Arial"/>
                              <w:b/>
                            </w:rPr>
                          </w:pPr>
                          <w:r w:rsidRPr="001E6DD4">
                            <w:rPr>
                              <w:b/>
                            </w:rPr>
                            <w:t>Movimiento Amplio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0FDAB" id="Cuadro de texto 2" o:spid="_x0000_s1027" type="#_x0000_t202" style="position:absolute;margin-left:174.75pt;margin-top:12.15pt;width:176.65pt;height:33.2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" filled="f" stroked="f">
              <v:textbox>
                <w:txbxContent>
                  <w:p w:rsidR="000D480D" w:rsidRPr="001E6DD4" w:rsidRDefault="000D480D" w:rsidP="001E6DD4">
                    <w:pPr>
                      <w:pStyle w:val="Ttulo1"/>
                      <w:spacing w:line="240" w:lineRule="auto"/>
                      <w:rPr>
                        <w:rFonts w:ascii="Arial" w:hAnsi="Arial" w:cs="Arial"/>
                        <w:b/>
                      </w:rPr>
                    </w:pPr>
                    <w:r w:rsidRPr="001E6DD4">
                      <w:rPr>
                        <w:b/>
                      </w:rPr>
                      <w:t>Movimiento Amplio</w:t>
                    </w:r>
                  </w:p>
                </w:txbxContent>
              </v:textbox>
            </v:shape>
          </w:pict>
        </mc:Fallback>
      </mc:AlternateContent>
    </w:r>
    <w:r w:rsidRPr="00696E5A">
      <w:rPr>
        <w:noProof/>
        <w:lang w:eastAsia="es-HN"/>
      </w:rPr>
      <w:drawing>
        <wp:anchor distT="0" distB="0" distL="114300" distR="114300" simplePos="0" relativeHeight="251661312" behindDoc="1" locked="0" layoutInCell="1" allowOverlap="1" wp14:anchorId="620697A1" wp14:editId="31F3EC2E">
          <wp:simplePos x="0" y="0"/>
          <wp:positionH relativeFrom="column">
            <wp:posOffset>-1068515</wp:posOffset>
          </wp:positionH>
          <wp:positionV relativeFrom="paragraph">
            <wp:posOffset>-490220</wp:posOffset>
          </wp:positionV>
          <wp:extent cx="7751928" cy="2120860"/>
          <wp:effectExtent l="0" t="0" r="1905" b="0"/>
          <wp:wrapNone/>
          <wp:docPr id="29" name="Imagen 29" descr="D:\falok\MADJ\membrete\membrete s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alok\MADJ\membrete\membrete su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1928" cy="21208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00689"/>
    <w:multiLevelType w:val="hybridMultilevel"/>
    <w:tmpl w:val="ADA06A04"/>
    <w:lvl w:ilvl="0" w:tplc="480A0005">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 w15:restartNumberingAfterBreak="0">
    <w:nsid w:val="12323F47"/>
    <w:multiLevelType w:val="hybridMultilevel"/>
    <w:tmpl w:val="8438BD4C"/>
    <w:lvl w:ilvl="0" w:tplc="480A0005">
      <w:start w:val="1"/>
      <w:numFmt w:val="bullet"/>
      <w:lvlText w:val=""/>
      <w:lvlJc w:val="left"/>
      <w:pPr>
        <w:ind w:left="1500" w:hanging="360"/>
      </w:pPr>
      <w:rPr>
        <w:rFonts w:ascii="Wingdings" w:hAnsi="Wingdings" w:hint="default"/>
      </w:rPr>
    </w:lvl>
    <w:lvl w:ilvl="1" w:tplc="480A0003" w:tentative="1">
      <w:start w:val="1"/>
      <w:numFmt w:val="bullet"/>
      <w:lvlText w:val="o"/>
      <w:lvlJc w:val="left"/>
      <w:pPr>
        <w:ind w:left="2220" w:hanging="360"/>
      </w:pPr>
      <w:rPr>
        <w:rFonts w:ascii="Courier New" w:hAnsi="Courier New" w:cs="Courier New" w:hint="default"/>
      </w:rPr>
    </w:lvl>
    <w:lvl w:ilvl="2" w:tplc="480A0005" w:tentative="1">
      <w:start w:val="1"/>
      <w:numFmt w:val="bullet"/>
      <w:lvlText w:val=""/>
      <w:lvlJc w:val="left"/>
      <w:pPr>
        <w:ind w:left="2940" w:hanging="360"/>
      </w:pPr>
      <w:rPr>
        <w:rFonts w:ascii="Wingdings" w:hAnsi="Wingdings" w:hint="default"/>
      </w:rPr>
    </w:lvl>
    <w:lvl w:ilvl="3" w:tplc="480A0001" w:tentative="1">
      <w:start w:val="1"/>
      <w:numFmt w:val="bullet"/>
      <w:lvlText w:val=""/>
      <w:lvlJc w:val="left"/>
      <w:pPr>
        <w:ind w:left="3660" w:hanging="360"/>
      </w:pPr>
      <w:rPr>
        <w:rFonts w:ascii="Symbol" w:hAnsi="Symbol" w:hint="default"/>
      </w:rPr>
    </w:lvl>
    <w:lvl w:ilvl="4" w:tplc="480A0003" w:tentative="1">
      <w:start w:val="1"/>
      <w:numFmt w:val="bullet"/>
      <w:lvlText w:val="o"/>
      <w:lvlJc w:val="left"/>
      <w:pPr>
        <w:ind w:left="4380" w:hanging="360"/>
      </w:pPr>
      <w:rPr>
        <w:rFonts w:ascii="Courier New" w:hAnsi="Courier New" w:cs="Courier New" w:hint="default"/>
      </w:rPr>
    </w:lvl>
    <w:lvl w:ilvl="5" w:tplc="480A0005" w:tentative="1">
      <w:start w:val="1"/>
      <w:numFmt w:val="bullet"/>
      <w:lvlText w:val=""/>
      <w:lvlJc w:val="left"/>
      <w:pPr>
        <w:ind w:left="5100" w:hanging="360"/>
      </w:pPr>
      <w:rPr>
        <w:rFonts w:ascii="Wingdings" w:hAnsi="Wingdings" w:hint="default"/>
      </w:rPr>
    </w:lvl>
    <w:lvl w:ilvl="6" w:tplc="480A0001" w:tentative="1">
      <w:start w:val="1"/>
      <w:numFmt w:val="bullet"/>
      <w:lvlText w:val=""/>
      <w:lvlJc w:val="left"/>
      <w:pPr>
        <w:ind w:left="5820" w:hanging="360"/>
      </w:pPr>
      <w:rPr>
        <w:rFonts w:ascii="Symbol" w:hAnsi="Symbol" w:hint="default"/>
      </w:rPr>
    </w:lvl>
    <w:lvl w:ilvl="7" w:tplc="480A0003" w:tentative="1">
      <w:start w:val="1"/>
      <w:numFmt w:val="bullet"/>
      <w:lvlText w:val="o"/>
      <w:lvlJc w:val="left"/>
      <w:pPr>
        <w:ind w:left="6540" w:hanging="360"/>
      </w:pPr>
      <w:rPr>
        <w:rFonts w:ascii="Courier New" w:hAnsi="Courier New" w:cs="Courier New" w:hint="default"/>
      </w:rPr>
    </w:lvl>
    <w:lvl w:ilvl="8" w:tplc="480A0005" w:tentative="1">
      <w:start w:val="1"/>
      <w:numFmt w:val="bullet"/>
      <w:lvlText w:val=""/>
      <w:lvlJc w:val="left"/>
      <w:pPr>
        <w:ind w:left="7260" w:hanging="360"/>
      </w:pPr>
      <w:rPr>
        <w:rFonts w:ascii="Wingdings" w:hAnsi="Wingdings" w:hint="default"/>
      </w:rPr>
    </w:lvl>
  </w:abstractNum>
  <w:abstractNum w:abstractNumId="2" w15:restartNumberingAfterBreak="0">
    <w:nsid w:val="155F1749"/>
    <w:multiLevelType w:val="hybridMultilevel"/>
    <w:tmpl w:val="EE469F9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15:restartNumberingAfterBreak="0">
    <w:nsid w:val="1AAC5EC1"/>
    <w:multiLevelType w:val="hybridMultilevel"/>
    <w:tmpl w:val="9DF65D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B3754F0"/>
    <w:multiLevelType w:val="hybridMultilevel"/>
    <w:tmpl w:val="AB6CBB2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B4A26C8"/>
    <w:multiLevelType w:val="hybridMultilevel"/>
    <w:tmpl w:val="A094B75C"/>
    <w:lvl w:ilvl="0" w:tplc="480A0005">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6" w15:restartNumberingAfterBreak="0">
    <w:nsid w:val="20AB6877"/>
    <w:multiLevelType w:val="hybridMultilevel"/>
    <w:tmpl w:val="D21E83CE"/>
    <w:lvl w:ilvl="0" w:tplc="480A0001">
      <w:start w:val="1"/>
      <w:numFmt w:val="bullet"/>
      <w:lvlText w:val=""/>
      <w:lvlJc w:val="left"/>
      <w:pPr>
        <w:ind w:left="780" w:hanging="360"/>
      </w:pPr>
      <w:rPr>
        <w:rFonts w:ascii="Symbol" w:hAnsi="Symbol" w:hint="default"/>
      </w:rPr>
    </w:lvl>
    <w:lvl w:ilvl="1" w:tplc="480A0003" w:tentative="1">
      <w:start w:val="1"/>
      <w:numFmt w:val="bullet"/>
      <w:lvlText w:val="o"/>
      <w:lvlJc w:val="left"/>
      <w:pPr>
        <w:ind w:left="1500" w:hanging="360"/>
      </w:pPr>
      <w:rPr>
        <w:rFonts w:ascii="Courier New" w:hAnsi="Courier New" w:cs="Courier New" w:hint="default"/>
      </w:rPr>
    </w:lvl>
    <w:lvl w:ilvl="2" w:tplc="480A0005" w:tentative="1">
      <w:start w:val="1"/>
      <w:numFmt w:val="bullet"/>
      <w:lvlText w:val=""/>
      <w:lvlJc w:val="left"/>
      <w:pPr>
        <w:ind w:left="2220" w:hanging="360"/>
      </w:pPr>
      <w:rPr>
        <w:rFonts w:ascii="Wingdings" w:hAnsi="Wingdings" w:hint="default"/>
      </w:rPr>
    </w:lvl>
    <w:lvl w:ilvl="3" w:tplc="480A0001" w:tentative="1">
      <w:start w:val="1"/>
      <w:numFmt w:val="bullet"/>
      <w:lvlText w:val=""/>
      <w:lvlJc w:val="left"/>
      <w:pPr>
        <w:ind w:left="2940" w:hanging="360"/>
      </w:pPr>
      <w:rPr>
        <w:rFonts w:ascii="Symbol" w:hAnsi="Symbol" w:hint="default"/>
      </w:rPr>
    </w:lvl>
    <w:lvl w:ilvl="4" w:tplc="480A0003" w:tentative="1">
      <w:start w:val="1"/>
      <w:numFmt w:val="bullet"/>
      <w:lvlText w:val="o"/>
      <w:lvlJc w:val="left"/>
      <w:pPr>
        <w:ind w:left="3660" w:hanging="360"/>
      </w:pPr>
      <w:rPr>
        <w:rFonts w:ascii="Courier New" w:hAnsi="Courier New" w:cs="Courier New" w:hint="default"/>
      </w:rPr>
    </w:lvl>
    <w:lvl w:ilvl="5" w:tplc="480A0005" w:tentative="1">
      <w:start w:val="1"/>
      <w:numFmt w:val="bullet"/>
      <w:lvlText w:val=""/>
      <w:lvlJc w:val="left"/>
      <w:pPr>
        <w:ind w:left="4380" w:hanging="360"/>
      </w:pPr>
      <w:rPr>
        <w:rFonts w:ascii="Wingdings" w:hAnsi="Wingdings" w:hint="default"/>
      </w:rPr>
    </w:lvl>
    <w:lvl w:ilvl="6" w:tplc="480A0001" w:tentative="1">
      <w:start w:val="1"/>
      <w:numFmt w:val="bullet"/>
      <w:lvlText w:val=""/>
      <w:lvlJc w:val="left"/>
      <w:pPr>
        <w:ind w:left="5100" w:hanging="360"/>
      </w:pPr>
      <w:rPr>
        <w:rFonts w:ascii="Symbol" w:hAnsi="Symbol" w:hint="default"/>
      </w:rPr>
    </w:lvl>
    <w:lvl w:ilvl="7" w:tplc="480A0003" w:tentative="1">
      <w:start w:val="1"/>
      <w:numFmt w:val="bullet"/>
      <w:lvlText w:val="o"/>
      <w:lvlJc w:val="left"/>
      <w:pPr>
        <w:ind w:left="5820" w:hanging="360"/>
      </w:pPr>
      <w:rPr>
        <w:rFonts w:ascii="Courier New" w:hAnsi="Courier New" w:cs="Courier New" w:hint="default"/>
      </w:rPr>
    </w:lvl>
    <w:lvl w:ilvl="8" w:tplc="480A0005" w:tentative="1">
      <w:start w:val="1"/>
      <w:numFmt w:val="bullet"/>
      <w:lvlText w:val=""/>
      <w:lvlJc w:val="left"/>
      <w:pPr>
        <w:ind w:left="6540" w:hanging="360"/>
      </w:pPr>
      <w:rPr>
        <w:rFonts w:ascii="Wingdings" w:hAnsi="Wingdings" w:hint="default"/>
      </w:rPr>
    </w:lvl>
  </w:abstractNum>
  <w:abstractNum w:abstractNumId="7" w15:restartNumberingAfterBreak="0">
    <w:nsid w:val="25CF39ED"/>
    <w:multiLevelType w:val="hybridMultilevel"/>
    <w:tmpl w:val="7FE2728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8" w15:restartNumberingAfterBreak="0">
    <w:nsid w:val="27535396"/>
    <w:multiLevelType w:val="hybridMultilevel"/>
    <w:tmpl w:val="C3A6610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9" w15:restartNumberingAfterBreak="0">
    <w:nsid w:val="2D8F0B9F"/>
    <w:multiLevelType w:val="hybridMultilevel"/>
    <w:tmpl w:val="0EB0D12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0" w15:restartNumberingAfterBreak="0">
    <w:nsid w:val="660D446A"/>
    <w:multiLevelType w:val="hybridMultilevel"/>
    <w:tmpl w:val="876EF66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1" w15:restartNumberingAfterBreak="0">
    <w:nsid w:val="6BF60029"/>
    <w:multiLevelType w:val="hybridMultilevel"/>
    <w:tmpl w:val="CAE409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7B937AB7"/>
    <w:multiLevelType w:val="hybridMultilevel"/>
    <w:tmpl w:val="25B4E1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15:restartNumberingAfterBreak="0">
    <w:nsid w:val="7D4C2D6E"/>
    <w:multiLevelType w:val="hybridMultilevel"/>
    <w:tmpl w:val="4454CBC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4" w15:restartNumberingAfterBreak="0">
    <w:nsid w:val="7F232EEF"/>
    <w:multiLevelType w:val="hybridMultilevel"/>
    <w:tmpl w:val="379CC13C"/>
    <w:lvl w:ilvl="0" w:tplc="480A0005">
      <w:start w:val="1"/>
      <w:numFmt w:val="bullet"/>
      <w:lvlText w:val=""/>
      <w:lvlJc w:val="left"/>
      <w:pPr>
        <w:ind w:left="1440" w:hanging="360"/>
      </w:pPr>
      <w:rPr>
        <w:rFonts w:ascii="Wingdings" w:hAnsi="Wingdings"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num w:numId="1">
    <w:abstractNumId w:val="2"/>
  </w:num>
  <w:num w:numId="2">
    <w:abstractNumId w:val="10"/>
  </w:num>
  <w:num w:numId="3">
    <w:abstractNumId w:val="1"/>
  </w:num>
  <w:num w:numId="4">
    <w:abstractNumId w:val="5"/>
  </w:num>
  <w:num w:numId="5">
    <w:abstractNumId w:val="7"/>
  </w:num>
  <w:num w:numId="6">
    <w:abstractNumId w:val="14"/>
  </w:num>
  <w:num w:numId="7">
    <w:abstractNumId w:val="0"/>
  </w:num>
  <w:num w:numId="8">
    <w:abstractNumId w:val="8"/>
  </w:num>
  <w:num w:numId="9">
    <w:abstractNumId w:val="9"/>
  </w:num>
  <w:num w:numId="10">
    <w:abstractNumId w:val="13"/>
  </w:num>
  <w:num w:numId="11">
    <w:abstractNumId w:val="6"/>
  </w:num>
  <w:num w:numId="12">
    <w:abstractNumId w:val="3"/>
  </w:num>
  <w:num w:numId="13">
    <w:abstractNumId w:val="4"/>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isplayBackgroundShap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A37"/>
    <w:rsid w:val="000530A5"/>
    <w:rsid w:val="00053155"/>
    <w:rsid w:val="00055F91"/>
    <w:rsid w:val="00082D93"/>
    <w:rsid w:val="00094E71"/>
    <w:rsid w:val="000D480D"/>
    <w:rsid w:val="0010671A"/>
    <w:rsid w:val="00113EE6"/>
    <w:rsid w:val="00130128"/>
    <w:rsid w:val="001707BD"/>
    <w:rsid w:val="001945F6"/>
    <w:rsid w:val="001A7B86"/>
    <w:rsid w:val="001C01A4"/>
    <w:rsid w:val="001C454A"/>
    <w:rsid w:val="001E571C"/>
    <w:rsid w:val="001E6DD4"/>
    <w:rsid w:val="00205167"/>
    <w:rsid w:val="00220A37"/>
    <w:rsid w:val="00222651"/>
    <w:rsid w:val="00236DD3"/>
    <w:rsid w:val="00283423"/>
    <w:rsid w:val="002A22C2"/>
    <w:rsid w:val="002B1A3B"/>
    <w:rsid w:val="002C1BDB"/>
    <w:rsid w:val="002E4467"/>
    <w:rsid w:val="002F3C7A"/>
    <w:rsid w:val="002F3EA9"/>
    <w:rsid w:val="003162C4"/>
    <w:rsid w:val="0032447C"/>
    <w:rsid w:val="00344E24"/>
    <w:rsid w:val="00364CC1"/>
    <w:rsid w:val="00366894"/>
    <w:rsid w:val="00373428"/>
    <w:rsid w:val="003A330F"/>
    <w:rsid w:val="003C0A0B"/>
    <w:rsid w:val="00400617"/>
    <w:rsid w:val="004371FA"/>
    <w:rsid w:val="00441FC9"/>
    <w:rsid w:val="0045313A"/>
    <w:rsid w:val="00466A08"/>
    <w:rsid w:val="004718C3"/>
    <w:rsid w:val="0048042D"/>
    <w:rsid w:val="004872E4"/>
    <w:rsid w:val="00494193"/>
    <w:rsid w:val="004954EE"/>
    <w:rsid w:val="00495599"/>
    <w:rsid w:val="00497F6B"/>
    <w:rsid w:val="004B07A5"/>
    <w:rsid w:val="004D7198"/>
    <w:rsid w:val="004E4D71"/>
    <w:rsid w:val="00501B39"/>
    <w:rsid w:val="00503AFC"/>
    <w:rsid w:val="005042A9"/>
    <w:rsid w:val="00514285"/>
    <w:rsid w:val="00527805"/>
    <w:rsid w:val="00530705"/>
    <w:rsid w:val="005478F7"/>
    <w:rsid w:val="00565884"/>
    <w:rsid w:val="005703D6"/>
    <w:rsid w:val="005853C8"/>
    <w:rsid w:val="00597ECB"/>
    <w:rsid w:val="005C0C3B"/>
    <w:rsid w:val="005F2564"/>
    <w:rsid w:val="005F60AC"/>
    <w:rsid w:val="005F6C72"/>
    <w:rsid w:val="005F7B1B"/>
    <w:rsid w:val="00607A85"/>
    <w:rsid w:val="00622249"/>
    <w:rsid w:val="00645CDC"/>
    <w:rsid w:val="006531E4"/>
    <w:rsid w:val="00655E10"/>
    <w:rsid w:val="00686C42"/>
    <w:rsid w:val="006873AA"/>
    <w:rsid w:val="006922A3"/>
    <w:rsid w:val="00696E5A"/>
    <w:rsid w:val="006B1611"/>
    <w:rsid w:val="006B414B"/>
    <w:rsid w:val="006B46A6"/>
    <w:rsid w:val="006B489F"/>
    <w:rsid w:val="006C115E"/>
    <w:rsid w:val="006C325A"/>
    <w:rsid w:val="006D2EA1"/>
    <w:rsid w:val="006D48A9"/>
    <w:rsid w:val="006D7E29"/>
    <w:rsid w:val="006E7C42"/>
    <w:rsid w:val="0072449E"/>
    <w:rsid w:val="0077511E"/>
    <w:rsid w:val="00782A29"/>
    <w:rsid w:val="00784B8A"/>
    <w:rsid w:val="00786492"/>
    <w:rsid w:val="00793AC7"/>
    <w:rsid w:val="00793C78"/>
    <w:rsid w:val="007B3330"/>
    <w:rsid w:val="007D1AC0"/>
    <w:rsid w:val="007D7F34"/>
    <w:rsid w:val="007E1823"/>
    <w:rsid w:val="00815F40"/>
    <w:rsid w:val="008307A3"/>
    <w:rsid w:val="008400BC"/>
    <w:rsid w:val="00840AAE"/>
    <w:rsid w:val="00842BFC"/>
    <w:rsid w:val="00846521"/>
    <w:rsid w:val="00847339"/>
    <w:rsid w:val="008509EB"/>
    <w:rsid w:val="00852AB4"/>
    <w:rsid w:val="00866B06"/>
    <w:rsid w:val="0087150F"/>
    <w:rsid w:val="00884FA9"/>
    <w:rsid w:val="008A4D7A"/>
    <w:rsid w:val="008C5014"/>
    <w:rsid w:val="008F1755"/>
    <w:rsid w:val="00936F6D"/>
    <w:rsid w:val="00962FD0"/>
    <w:rsid w:val="009840A1"/>
    <w:rsid w:val="00987B7F"/>
    <w:rsid w:val="00991085"/>
    <w:rsid w:val="00996308"/>
    <w:rsid w:val="009C3139"/>
    <w:rsid w:val="009C3AD0"/>
    <w:rsid w:val="009C5565"/>
    <w:rsid w:val="009D7617"/>
    <w:rsid w:val="00A03D7C"/>
    <w:rsid w:val="00A03E5C"/>
    <w:rsid w:val="00A14AA1"/>
    <w:rsid w:val="00A170DC"/>
    <w:rsid w:val="00A35AEC"/>
    <w:rsid w:val="00A35EB8"/>
    <w:rsid w:val="00A62C41"/>
    <w:rsid w:val="00A73270"/>
    <w:rsid w:val="00A74A65"/>
    <w:rsid w:val="00A841E5"/>
    <w:rsid w:val="00AA528F"/>
    <w:rsid w:val="00AB1BD0"/>
    <w:rsid w:val="00AD4AD1"/>
    <w:rsid w:val="00B01533"/>
    <w:rsid w:val="00B16689"/>
    <w:rsid w:val="00B16F55"/>
    <w:rsid w:val="00B2413B"/>
    <w:rsid w:val="00BD78C4"/>
    <w:rsid w:val="00BE55A8"/>
    <w:rsid w:val="00C012BD"/>
    <w:rsid w:val="00C124D8"/>
    <w:rsid w:val="00C12B18"/>
    <w:rsid w:val="00C16435"/>
    <w:rsid w:val="00C173AF"/>
    <w:rsid w:val="00C2038A"/>
    <w:rsid w:val="00C50470"/>
    <w:rsid w:val="00C50812"/>
    <w:rsid w:val="00C52465"/>
    <w:rsid w:val="00C546D2"/>
    <w:rsid w:val="00C75FF3"/>
    <w:rsid w:val="00C77328"/>
    <w:rsid w:val="00C96F0E"/>
    <w:rsid w:val="00CA18BC"/>
    <w:rsid w:val="00CA2D93"/>
    <w:rsid w:val="00CA6B26"/>
    <w:rsid w:val="00CA7EA0"/>
    <w:rsid w:val="00CE3861"/>
    <w:rsid w:val="00CF62EC"/>
    <w:rsid w:val="00D07FF2"/>
    <w:rsid w:val="00D10400"/>
    <w:rsid w:val="00D43C1A"/>
    <w:rsid w:val="00D559AB"/>
    <w:rsid w:val="00D57D1E"/>
    <w:rsid w:val="00D60864"/>
    <w:rsid w:val="00D726A0"/>
    <w:rsid w:val="00D95265"/>
    <w:rsid w:val="00DA5814"/>
    <w:rsid w:val="00DB61F0"/>
    <w:rsid w:val="00DD6DF2"/>
    <w:rsid w:val="00DE1E7F"/>
    <w:rsid w:val="00DF6EB2"/>
    <w:rsid w:val="00E2516D"/>
    <w:rsid w:val="00E452DA"/>
    <w:rsid w:val="00E45A14"/>
    <w:rsid w:val="00E538FE"/>
    <w:rsid w:val="00E643E0"/>
    <w:rsid w:val="00E66D27"/>
    <w:rsid w:val="00E67A1A"/>
    <w:rsid w:val="00E70BC7"/>
    <w:rsid w:val="00E75712"/>
    <w:rsid w:val="00E92B6B"/>
    <w:rsid w:val="00EB2827"/>
    <w:rsid w:val="00EC700A"/>
    <w:rsid w:val="00ED542A"/>
    <w:rsid w:val="00ED6BBB"/>
    <w:rsid w:val="00EE278E"/>
    <w:rsid w:val="00F31E26"/>
    <w:rsid w:val="00F646E2"/>
    <w:rsid w:val="00F64B1E"/>
    <w:rsid w:val="00F95DA3"/>
    <w:rsid w:val="00FC5488"/>
    <w:rsid w:val="00FE123F"/>
    <w:rsid w:val="00FE133A"/>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16D591-457D-43FC-B3E1-43AEF919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1E6DD4"/>
    <w:pPr>
      <w:keepNext/>
      <w:keepLines/>
      <w:spacing w:after="0"/>
      <w:outlineLvl w:val="0"/>
    </w:pPr>
    <w:rPr>
      <w:rFonts w:asciiTheme="majorHAnsi" w:eastAsiaTheme="majorEastAsia" w:hAnsiTheme="majorHAnsi" w:cstheme="majorBidi"/>
      <w:color w:val="2E74B5" w:themeColor="accent1" w:themeShade="BF"/>
      <w:sz w:val="40"/>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E6DD4"/>
    <w:rPr>
      <w:rFonts w:asciiTheme="majorHAnsi" w:eastAsiaTheme="majorEastAsia" w:hAnsiTheme="majorHAnsi" w:cstheme="majorBidi"/>
      <w:color w:val="2E74B5" w:themeColor="accent1" w:themeShade="BF"/>
      <w:sz w:val="40"/>
      <w:szCs w:val="32"/>
    </w:rPr>
  </w:style>
  <w:style w:type="paragraph" w:styleId="NormalWeb">
    <w:name w:val="Normal (Web)"/>
    <w:basedOn w:val="Normal"/>
    <w:uiPriority w:val="99"/>
    <w:semiHidden/>
    <w:unhideWhenUsed/>
    <w:rsid w:val="00607A85"/>
    <w:pPr>
      <w:spacing w:before="100" w:beforeAutospacing="1" w:after="100" w:afterAutospacing="1" w:line="240" w:lineRule="auto"/>
    </w:pPr>
    <w:rPr>
      <w:rFonts w:ascii="Times New Roman" w:eastAsiaTheme="minorEastAsia" w:hAnsi="Times New Roman" w:cs="Times New Roman"/>
      <w:sz w:val="24"/>
      <w:szCs w:val="24"/>
      <w:lang w:eastAsia="es-HN"/>
    </w:rPr>
  </w:style>
  <w:style w:type="paragraph" w:styleId="Sinespaciado">
    <w:name w:val="No Spacing"/>
    <w:uiPriority w:val="1"/>
    <w:qFormat/>
    <w:rsid w:val="009840A1"/>
    <w:pPr>
      <w:spacing w:after="0" w:line="240" w:lineRule="auto"/>
    </w:pPr>
  </w:style>
  <w:style w:type="paragraph" w:styleId="Encabezado">
    <w:name w:val="header"/>
    <w:basedOn w:val="Normal"/>
    <w:link w:val="EncabezadoCar"/>
    <w:uiPriority w:val="99"/>
    <w:unhideWhenUsed/>
    <w:rsid w:val="00884F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4FA9"/>
  </w:style>
  <w:style w:type="paragraph" w:styleId="Piedepgina">
    <w:name w:val="footer"/>
    <w:basedOn w:val="Normal"/>
    <w:link w:val="PiedepginaCar"/>
    <w:uiPriority w:val="99"/>
    <w:unhideWhenUsed/>
    <w:rsid w:val="00884F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4FA9"/>
  </w:style>
  <w:style w:type="paragraph" w:styleId="Textodeglobo">
    <w:name w:val="Balloon Text"/>
    <w:basedOn w:val="Normal"/>
    <w:link w:val="TextodegloboCar"/>
    <w:uiPriority w:val="99"/>
    <w:semiHidden/>
    <w:unhideWhenUsed/>
    <w:rsid w:val="004531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5313A"/>
    <w:rPr>
      <w:rFonts w:ascii="Segoe UI" w:hAnsi="Segoe UI" w:cs="Segoe UI"/>
      <w:sz w:val="18"/>
      <w:szCs w:val="18"/>
    </w:rPr>
  </w:style>
  <w:style w:type="character" w:styleId="Textoennegrita">
    <w:name w:val="Strong"/>
    <w:basedOn w:val="Fuentedeprrafopredeter"/>
    <w:uiPriority w:val="22"/>
    <w:qFormat/>
    <w:rsid w:val="001E6DD4"/>
    <w:rPr>
      <w:b/>
      <w:bCs/>
    </w:rPr>
  </w:style>
  <w:style w:type="paragraph" w:styleId="Prrafodelista">
    <w:name w:val="List Paragraph"/>
    <w:basedOn w:val="Normal"/>
    <w:uiPriority w:val="34"/>
    <w:qFormat/>
    <w:rsid w:val="009D7617"/>
    <w:pPr>
      <w:ind w:left="720"/>
      <w:contextualSpacing/>
    </w:pPr>
  </w:style>
  <w:style w:type="paragraph" w:styleId="Textonotapie">
    <w:name w:val="footnote text"/>
    <w:basedOn w:val="Normal"/>
    <w:link w:val="TextonotapieCar"/>
    <w:uiPriority w:val="99"/>
    <w:semiHidden/>
    <w:unhideWhenUsed/>
    <w:rsid w:val="009D761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D7617"/>
    <w:rPr>
      <w:sz w:val="20"/>
      <w:szCs w:val="20"/>
    </w:rPr>
  </w:style>
  <w:style w:type="character" w:styleId="Refdenotaalpie">
    <w:name w:val="footnote reference"/>
    <w:basedOn w:val="Fuentedeprrafopredeter"/>
    <w:uiPriority w:val="99"/>
    <w:semiHidden/>
    <w:unhideWhenUsed/>
    <w:rsid w:val="009D7617"/>
    <w:rPr>
      <w:vertAlign w:val="superscript"/>
    </w:rPr>
  </w:style>
  <w:style w:type="table" w:styleId="Tablaconcuadrcula">
    <w:name w:val="Table Grid"/>
    <w:basedOn w:val="Tablanormal"/>
    <w:uiPriority w:val="39"/>
    <w:rsid w:val="002B1A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6C325A"/>
    <w:rPr>
      <w:rFonts w:ascii="Humanist777BT-RomanB-Identity-H" w:hAnsi="Humanist777BT-RomanB-Identity-H" w:hint="default"/>
      <w:b w:val="0"/>
      <w:bCs w:val="0"/>
      <w:i w:val="0"/>
      <w:iCs w:val="0"/>
      <w:color w:val="37343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09924">
      <w:bodyDiv w:val="1"/>
      <w:marLeft w:val="0"/>
      <w:marRight w:val="0"/>
      <w:marTop w:val="0"/>
      <w:marBottom w:val="0"/>
      <w:divBdr>
        <w:top w:val="none" w:sz="0" w:space="0" w:color="auto"/>
        <w:left w:val="none" w:sz="0" w:space="0" w:color="auto"/>
        <w:bottom w:val="none" w:sz="0" w:space="0" w:color="auto"/>
        <w:right w:val="none" w:sz="0" w:space="0" w:color="auto"/>
      </w:divBdr>
    </w:div>
    <w:div w:id="790175289">
      <w:bodyDiv w:val="1"/>
      <w:marLeft w:val="0"/>
      <w:marRight w:val="0"/>
      <w:marTop w:val="0"/>
      <w:marBottom w:val="0"/>
      <w:divBdr>
        <w:top w:val="none" w:sz="0" w:space="0" w:color="auto"/>
        <w:left w:val="none" w:sz="0" w:space="0" w:color="auto"/>
        <w:bottom w:val="none" w:sz="0" w:space="0" w:color="auto"/>
        <w:right w:val="none" w:sz="0" w:space="0" w:color="auto"/>
      </w:divBdr>
    </w:div>
    <w:div w:id="1295913197">
      <w:bodyDiv w:val="1"/>
      <w:marLeft w:val="0"/>
      <w:marRight w:val="0"/>
      <w:marTop w:val="0"/>
      <w:marBottom w:val="0"/>
      <w:divBdr>
        <w:top w:val="none" w:sz="0" w:space="0" w:color="auto"/>
        <w:left w:val="none" w:sz="0" w:space="0" w:color="auto"/>
        <w:bottom w:val="none" w:sz="0" w:space="0" w:color="auto"/>
        <w:right w:val="none" w:sz="0" w:space="0" w:color="auto"/>
      </w:divBdr>
      <w:divsChild>
        <w:div w:id="2056856170">
          <w:marLeft w:val="225"/>
          <w:marRight w:val="225"/>
          <w:marTop w:val="30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C1F2B-696D-4E9C-9E9D-23839C98F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1944</Words>
  <Characters>10694</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Foto Estudio Alvalop7</dc:creator>
  <cp:keywords/>
  <dc:description/>
  <cp:lastModifiedBy>Karen Hudlet</cp:lastModifiedBy>
  <cp:revision>2</cp:revision>
  <cp:lastPrinted>2017-10-16T20:36:00Z</cp:lastPrinted>
  <dcterms:created xsi:type="dcterms:W3CDTF">2017-10-20T19:20:00Z</dcterms:created>
  <dcterms:modified xsi:type="dcterms:W3CDTF">2017-10-20T19:20:00Z</dcterms:modified>
</cp:coreProperties>
</file>