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9383EA" w14:textId="72FFE88C" w:rsidR="00320B55" w:rsidRPr="00093F2A" w:rsidRDefault="000F006C" w:rsidP="0044386A">
      <w:pPr>
        <w:spacing w:after="200" w:line="276" w:lineRule="auto"/>
        <w:ind w:right="-29"/>
        <w:rPr>
          <w:rFonts w:ascii="Verdana" w:hAnsi="Verdana"/>
          <w:sz w:val="18"/>
          <w:szCs w:val="18"/>
          <w:lang w:val="en-GB"/>
        </w:rPr>
      </w:pPr>
      <w:r w:rsidRPr="00093F2A">
        <w:rPr>
          <w:rFonts w:ascii="Verdana" w:hAnsi="Verdana"/>
          <w:noProof/>
          <w:sz w:val="18"/>
          <w:szCs w:val="18"/>
          <w:lang w:eastAsia="sv-SE"/>
        </w:rPr>
        <w:drawing>
          <wp:anchor distT="0" distB="0" distL="114300" distR="114300" simplePos="0" relativeHeight="251662336" behindDoc="1" locked="0" layoutInCell="1" allowOverlap="1" wp14:anchorId="3B5F3204" wp14:editId="1E65BF62">
            <wp:simplePos x="0" y="0"/>
            <wp:positionH relativeFrom="column">
              <wp:posOffset>3823970</wp:posOffset>
            </wp:positionH>
            <wp:positionV relativeFrom="paragraph">
              <wp:posOffset>-570230</wp:posOffset>
            </wp:positionV>
            <wp:extent cx="1518986" cy="203200"/>
            <wp:effectExtent l="0" t="0" r="5080" b="6350"/>
            <wp:wrapNone/>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k_logo_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8986" cy="203200"/>
                    </a:xfrm>
                    <a:prstGeom prst="rect">
                      <a:avLst/>
                    </a:prstGeom>
                  </pic:spPr>
                </pic:pic>
              </a:graphicData>
            </a:graphic>
            <wp14:sizeRelH relativeFrom="margin">
              <wp14:pctWidth>0</wp14:pctWidth>
            </wp14:sizeRelH>
            <wp14:sizeRelV relativeFrom="margin">
              <wp14:pctHeight>0</wp14:pctHeight>
            </wp14:sizeRelV>
          </wp:anchor>
        </w:drawing>
      </w:r>
      <w:r w:rsidRPr="00093F2A">
        <w:rPr>
          <w:rFonts w:ascii="Verdana" w:hAnsi="Verdana" w:cs="Calibri"/>
          <w:i/>
          <w:noProof/>
          <w:sz w:val="18"/>
          <w:szCs w:val="14"/>
          <w:lang w:eastAsia="sv-SE"/>
        </w:rPr>
        <w:drawing>
          <wp:anchor distT="0" distB="0" distL="114300" distR="114300" simplePos="0" relativeHeight="251661312" behindDoc="1" locked="0" layoutInCell="1" allowOverlap="1" wp14:anchorId="73DD079E" wp14:editId="5E8925FD">
            <wp:simplePos x="0" y="0"/>
            <wp:positionH relativeFrom="column">
              <wp:posOffset>1936750</wp:posOffset>
            </wp:positionH>
            <wp:positionV relativeFrom="paragraph">
              <wp:posOffset>-760730</wp:posOffset>
            </wp:positionV>
            <wp:extent cx="1485900" cy="360584"/>
            <wp:effectExtent l="0" t="0" r="0" b="1905"/>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gionernas nationella kansl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5900" cy="360584"/>
                    </a:xfrm>
                    <a:prstGeom prst="rect">
                      <a:avLst/>
                    </a:prstGeom>
                  </pic:spPr>
                </pic:pic>
              </a:graphicData>
            </a:graphic>
            <wp14:sizeRelH relativeFrom="margin">
              <wp14:pctWidth>0</wp14:pctWidth>
            </wp14:sizeRelH>
            <wp14:sizeRelV relativeFrom="margin">
              <wp14:pctHeight>0</wp14:pctHeight>
            </wp14:sizeRelV>
          </wp:anchor>
        </w:drawing>
      </w:r>
      <w:r w:rsidR="00445BFD" w:rsidRPr="00093F2A">
        <w:rPr>
          <w:noProof/>
          <w:lang w:eastAsia="sv-SE"/>
        </w:rPr>
        <w:drawing>
          <wp:anchor distT="0" distB="0" distL="114300" distR="114300" simplePos="0" relativeHeight="251660288" behindDoc="1" locked="0" layoutInCell="1" allowOverlap="1" wp14:anchorId="4950CFF5" wp14:editId="7C3A56BD">
            <wp:simplePos x="0" y="0"/>
            <wp:positionH relativeFrom="column">
              <wp:posOffset>36830</wp:posOffset>
            </wp:positionH>
            <wp:positionV relativeFrom="paragraph">
              <wp:posOffset>-593090</wp:posOffset>
            </wp:positionV>
            <wp:extent cx="1442085" cy="177800"/>
            <wp:effectExtent l="0" t="0" r="5715" b="0"/>
            <wp:wrapNone/>
            <wp:docPr id="11" name="Bildobjekt 11" descr="C:\Users\eeriksson\AppData\Local\Microsoft\Windows\INetCache\Content.Word\SKL_Kommentus_cmyk_ut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eeriksson\AppData\Local\Microsoft\Windows\INetCache\Content.Word\SKL_Kommentus_cmyk_uta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2085" cy="177800"/>
                    </a:xfrm>
                    <a:prstGeom prst="rect">
                      <a:avLst/>
                    </a:prstGeom>
                    <a:noFill/>
                    <a:ln>
                      <a:noFill/>
                    </a:ln>
                  </pic:spPr>
                </pic:pic>
              </a:graphicData>
            </a:graphic>
          </wp:anchor>
        </w:drawing>
      </w:r>
      <w:r w:rsidR="004C782E" w:rsidRPr="00093F2A">
        <w:rPr>
          <w:rFonts w:ascii="Verdana" w:hAnsi="Verdana"/>
          <w:noProof/>
          <w:sz w:val="18"/>
          <w:szCs w:val="18"/>
          <w:lang w:eastAsia="sv-SE"/>
        </w:rPr>
        <mc:AlternateContent>
          <mc:Choice Requires="wps">
            <w:drawing>
              <wp:anchor distT="45720" distB="45720" distL="114300" distR="114300" simplePos="0" relativeHeight="251657215" behindDoc="1" locked="0" layoutInCell="1" allowOverlap="1" wp14:anchorId="451CF7DE" wp14:editId="035DDCB7">
                <wp:simplePos x="0" y="0"/>
                <wp:positionH relativeFrom="page">
                  <wp:posOffset>-8112</wp:posOffset>
                </wp:positionH>
                <wp:positionV relativeFrom="page">
                  <wp:align>top</wp:align>
                </wp:positionV>
                <wp:extent cx="7559899" cy="1435994"/>
                <wp:effectExtent l="0" t="0" r="3175" b="0"/>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899" cy="1435994"/>
                        </a:xfrm>
                        <a:prstGeom prst="rect">
                          <a:avLst/>
                        </a:prstGeom>
                        <a:solidFill>
                          <a:schemeClr val="bg1">
                            <a:lumMod val="95000"/>
                          </a:schemeClr>
                        </a:solidFill>
                        <a:ln w="9525">
                          <a:noFill/>
                          <a:miter lim="800000"/>
                          <a:headEnd/>
                          <a:tailEnd/>
                        </a:ln>
                      </wps:spPr>
                      <wps:txbx>
                        <w:txbxContent>
                          <w:p w14:paraId="168E74C2" w14:textId="77777777" w:rsidR="0054438B" w:rsidRDefault="0054438B" w:rsidP="00180DB4">
                            <w:pPr>
                              <w:shd w:val="clear" w:color="auto" w:fill="F2F2F2" w:themeFill="background1" w:themeFillShade="F2"/>
                            </w:pPr>
                          </w:p>
                          <w:p w14:paraId="7221F171" w14:textId="77777777" w:rsidR="00320B55" w:rsidRDefault="00320B55" w:rsidP="004C782E">
                            <w:pPr>
                              <w:shd w:val="clear" w:color="auto" w:fill="F2F2F2" w:themeFill="background1" w:themeFillShade="F2"/>
                            </w:pPr>
                          </w:p>
                          <w:p w14:paraId="1B387A62" w14:textId="67D0420A" w:rsidR="00ED04D8" w:rsidRDefault="004C782E" w:rsidP="00180DB4">
                            <w:pPr>
                              <w:shd w:val="clear" w:color="auto" w:fill="F2F2F2" w:themeFill="background1" w:themeFillShade="F2"/>
                            </w:pPr>
                            <w:r>
                              <w:rPr>
                                <w:noProof/>
                                <w:lang w:eastAsia="sv-SE"/>
                              </w:rPr>
                              <w:t xml:space="preserve">     </w:t>
                            </w:r>
                            <w:r w:rsidR="005D12B0">
                              <w:rPr>
                                <w:noProof/>
                                <w:lang w:eastAsia="sv-SE"/>
                              </w:rPr>
                              <w:t xml:space="preserve">     </w:t>
                            </w:r>
                            <w:r>
                              <w:rPr>
                                <w:noProof/>
                                <w:lang w:eastAsia="sv-SE"/>
                              </w:rPr>
                              <w:t xml:space="preserve"> </w:t>
                            </w:r>
                            <w:r w:rsidR="005D12B0">
                              <w:rPr>
                                <w:noProof/>
                                <w:lang w:eastAsia="sv-SE"/>
                              </w:rPr>
                              <w:t xml:space="preserve">           </w:t>
                            </w:r>
                          </w:p>
                          <w:p w14:paraId="60BBBEAB" w14:textId="77777777" w:rsidR="00320B55" w:rsidRDefault="00320B55" w:rsidP="00180DB4">
                            <w:pPr>
                              <w:shd w:val="clear" w:color="auto" w:fill="F2F2F2" w:themeFill="background1" w:themeFillShade="F2"/>
                            </w:pPr>
                          </w:p>
                          <w:p w14:paraId="1D8E8163" w14:textId="77777777" w:rsidR="00320B55" w:rsidRDefault="00320B55" w:rsidP="00180DB4">
                            <w:pPr>
                              <w:shd w:val="clear" w:color="auto" w:fill="F2F2F2" w:themeFill="background1" w:themeFillShade="F2"/>
                            </w:pPr>
                          </w:p>
                          <w:p w14:paraId="7F066F94" w14:textId="77777777" w:rsidR="00ED04D8" w:rsidRDefault="00ED04D8" w:rsidP="00180DB4">
                            <w:pPr>
                              <w:shd w:val="clear" w:color="auto" w:fill="F2F2F2" w:themeFill="background1" w:themeFillShade="F2"/>
                            </w:pPr>
                          </w:p>
                          <w:p w14:paraId="34F37EF2" w14:textId="77777777" w:rsidR="00ED04D8" w:rsidRDefault="00ED04D8" w:rsidP="00ED04D8">
                            <w:pPr>
                              <w:shd w:val="clear" w:color="auto" w:fill="F2F2F2" w:themeFill="background1" w:themeFillShade="F2"/>
                              <w:jc w:val="center"/>
                            </w:pPr>
                            <w:r>
                              <w:rPr>
                                <w:noProof/>
                                <w:lang w:eastAsia="sv-SE"/>
                              </w:rPr>
                              <w:drawing>
                                <wp:inline distT="0" distB="0" distL="0" distR="0" wp14:anchorId="6B18D848" wp14:editId="332E310D">
                                  <wp:extent cx="1553129" cy="611747"/>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K_original_po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68" cy="626533"/>
                                          </a:xfrm>
                                          <a:prstGeom prst="rect">
                                            <a:avLst/>
                                          </a:prstGeom>
                                        </pic:spPr>
                                      </pic:pic>
                                    </a:graphicData>
                                  </a:graphic>
                                </wp:inline>
                              </w:drawing>
                            </w:r>
                          </w:p>
                          <w:p w14:paraId="7C59DF41" w14:textId="77777777" w:rsidR="00320B55" w:rsidRDefault="00320B55" w:rsidP="00ED04D8">
                            <w:pPr>
                              <w:shd w:val="clear" w:color="auto" w:fill="F2F2F2" w:themeFill="background1" w:themeFillShade="F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1CF7DE" id="_x0000_t202" coordsize="21600,21600" o:spt="202" path="m,l,21600r21600,l21600,xe">
                <v:stroke joinstyle="miter"/>
                <v:path gradientshapeok="t" o:connecttype="rect"/>
              </v:shapetype>
              <v:shape id="Textruta 2" o:spid="_x0000_s1026" type="#_x0000_t202" style="position:absolute;margin-left:-.65pt;margin-top:0;width:595.25pt;height:113.05pt;z-index:-251659265;visibility:visible;mso-wrap-style:square;mso-width-percent:0;mso-height-percent:0;mso-wrap-distance-left:9pt;mso-wrap-distance-top:3.6pt;mso-wrap-distance-right:9pt;mso-wrap-distance-bottom:3.6pt;mso-position-horizontal:absolute;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" fillcolor="#f2f2f2 [3052]" stroked="f">
                <v:textbox>
                  <w:txbxContent>
                    <w:p w14:paraId="168E74C2" w14:textId="77777777" w:rsidR="0054438B" w:rsidRDefault="0054438B" w:rsidP="00180DB4">
                      <w:pPr>
                        <w:shd w:val="clear" w:color="auto" w:fill="F2F2F2" w:themeFill="background1" w:themeFillShade="F2"/>
                      </w:pPr>
                    </w:p>
                    <w:p w14:paraId="7221F171" w14:textId="77777777" w:rsidR="00320B55" w:rsidRDefault="00320B55" w:rsidP="004C782E">
                      <w:pPr>
                        <w:shd w:val="clear" w:color="auto" w:fill="F2F2F2" w:themeFill="background1" w:themeFillShade="F2"/>
                      </w:pPr>
                    </w:p>
                    <w:p w14:paraId="1B387A62" w14:textId="67D0420A" w:rsidR="00ED04D8" w:rsidRDefault="004C782E" w:rsidP="00180DB4">
                      <w:pPr>
                        <w:shd w:val="clear" w:color="auto" w:fill="F2F2F2" w:themeFill="background1" w:themeFillShade="F2"/>
                      </w:pPr>
                      <w:r>
                        <w:rPr>
                          <w:noProof/>
                          <w:lang w:eastAsia="sv-SE"/>
                        </w:rPr>
                        <w:t xml:space="preserve">     </w:t>
                      </w:r>
                      <w:r w:rsidR="005D12B0">
                        <w:rPr>
                          <w:noProof/>
                          <w:lang w:eastAsia="sv-SE"/>
                        </w:rPr>
                        <w:t xml:space="preserve">     </w:t>
                      </w:r>
                      <w:r>
                        <w:rPr>
                          <w:noProof/>
                          <w:lang w:eastAsia="sv-SE"/>
                        </w:rPr>
                        <w:t xml:space="preserve"> </w:t>
                      </w:r>
                      <w:r w:rsidR="005D12B0">
                        <w:rPr>
                          <w:noProof/>
                          <w:lang w:eastAsia="sv-SE"/>
                        </w:rPr>
                        <w:t xml:space="preserve">           </w:t>
                      </w:r>
                    </w:p>
                    <w:p w14:paraId="60BBBEAB" w14:textId="77777777" w:rsidR="00320B55" w:rsidRDefault="00320B55" w:rsidP="00180DB4">
                      <w:pPr>
                        <w:shd w:val="clear" w:color="auto" w:fill="F2F2F2" w:themeFill="background1" w:themeFillShade="F2"/>
                      </w:pPr>
                    </w:p>
                    <w:p w14:paraId="1D8E8163" w14:textId="77777777" w:rsidR="00320B55" w:rsidRDefault="00320B55" w:rsidP="00180DB4">
                      <w:pPr>
                        <w:shd w:val="clear" w:color="auto" w:fill="F2F2F2" w:themeFill="background1" w:themeFillShade="F2"/>
                      </w:pPr>
                    </w:p>
                    <w:p w14:paraId="7F066F94" w14:textId="77777777" w:rsidR="00ED04D8" w:rsidRDefault="00ED04D8" w:rsidP="00180DB4">
                      <w:pPr>
                        <w:shd w:val="clear" w:color="auto" w:fill="F2F2F2" w:themeFill="background1" w:themeFillShade="F2"/>
                      </w:pPr>
                    </w:p>
                    <w:p w14:paraId="34F37EF2" w14:textId="77777777" w:rsidR="00ED04D8" w:rsidRDefault="00ED04D8" w:rsidP="00ED04D8">
                      <w:pPr>
                        <w:shd w:val="clear" w:color="auto" w:fill="F2F2F2" w:themeFill="background1" w:themeFillShade="F2"/>
                        <w:jc w:val="center"/>
                      </w:pPr>
                      <w:r>
                        <w:rPr>
                          <w:noProof/>
                          <w:lang w:eastAsia="sv-SE"/>
                        </w:rPr>
                        <w:drawing>
                          <wp:inline distT="0" distB="0" distL="0" distR="0" wp14:anchorId="6B18D848" wp14:editId="332E310D">
                            <wp:extent cx="1553129" cy="611747"/>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K_original_po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90668" cy="626533"/>
                                    </a:xfrm>
                                    <a:prstGeom prst="rect">
                                      <a:avLst/>
                                    </a:prstGeom>
                                  </pic:spPr>
                                </pic:pic>
                              </a:graphicData>
                            </a:graphic>
                          </wp:inline>
                        </w:drawing>
                      </w:r>
                    </w:p>
                    <w:p w14:paraId="7C59DF41" w14:textId="77777777" w:rsidR="00320B55" w:rsidRDefault="00320B55" w:rsidP="00ED04D8">
                      <w:pPr>
                        <w:shd w:val="clear" w:color="auto" w:fill="F2F2F2" w:themeFill="background1" w:themeFillShade="F2"/>
                      </w:pPr>
                    </w:p>
                  </w:txbxContent>
                </v:textbox>
                <w10:wrap anchorx="page" anchory="page"/>
              </v:shape>
            </w:pict>
          </mc:Fallback>
        </mc:AlternateContent>
      </w:r>
    </w:p>
    <w:p w14:paraId="08389243" w14:textId="3B6E1749" w:rsidR="00320B55" w:rsidRPr="00093F2A" w:rsidRDefault="00320B55" w:rsidP="0044386A">
      <w:pPr>
        <w:spacing w:after="200" w:line="276" w:lineRule="auto"/>
        <w:ind w:right="-29"/>
        <w:rPr>
          <w:rFonts w:ascii="Verdana" w:hAnsi="Verdana"/>
          <w:sz w:val="18"/>
          <w:szCs w:val="18"/>
          <w:lang w:val="en-GB"/>
        </w:rPr>
      </w:pPr>
    </w:p>
    <w:p w14:paraId="25A55C5C" w14:textId="39504871" w:rsidR="007A20FE" w:rsidRPr="00093F2A" w:rsidRDefault="007A20FE" w:rsidP="0044386A">
      <w:pPr>
        <w:spacing w:after="200" w:line="276" w:lineRule="auto"/>
        <w:ind w:right="-29"/>
        <w:rPr>
          <w:rFonts w:ascii="Verdana" w:hAnsi="Verdana"/>
          <w:sz w:val="18"/>
          <w:szCs w:val="18"/>
          <w:lang w:val="en-GB"/>
        </w:rPr>
      </w:pPr>
    </w:p>
    <w:p w14:paraId="0B6490AD" w14:textId="3162BB67" w:rsidR="007A20FE" w:rsidRPr="00093F2A" w:rsidRDefault="007A20FE" w:rsidP="0044386A">
      <w:pPr>
        <w:spacing w:after="200" w:line="276" w:lineRule="auto"/>
        <w:ind w:right="-29"/>
        <w:rPr>
          <w:rFonts w:ascii="Verdana" w:hAnsi="Verdana"/>
          <w:sz w:val="18"/>
          <w:szCs w:val="18"/>
          <w:lang w:val="en-GB"/>
        </w:rPr>
      </w:pPr>
    </w:p>
    <w:p w14:paraId="4C2785F0" w14:textId="3F34EACB" w:rsidR="007A20FE" w:rsidRPr="00263208" w:rsidRDefault="00EE5A43" w:rsidP="0044386A">
      <w:pPr>
        <w:spacing w:after="200" w:line="276" w:lineRule="auto"/>
        <w:ind w:right="-29"/>
        <w:rPr>
          <w:rFonts w:ascii="Verdana" w:hAnsi="Verdana"/>
          <w:sz w:val="18"/>
          <w:szCs w:val="14"/>
          <w:lang w:val="en-GB"/>
        </w:rPr>
      </w:pPr>
      <w:r w:rsidRPr="00093F2A">
        <w:rPr>
          <w:rFonts w:ascii="Verdana" w:hAnsi="Verdana"/>
          <w:sz w:val="18"/>
          <w:szCs w:val="14"/>
          <w:lang w:val="en-GB"/>
        </w:rPr>
        <w:t>[Date</w:t>
      </w:r>
      <w:r w:rsidR="007A20FE" w:rsidRPr="00093F2A">
        <w:rPr>
          <w:rFonts w:ascii="Verdana" w:hAnsi="Verdana"/>
          <w:sz w:val="18"/>
          <w:szCs w:val="14"/>
          <w:lang w:val="en-GB"/>
        </w:rPr>
        <w:t xml:space="preserve"> </w:t>
      </w:r>
      <w:r w:rsidRPr="00093F2A">
        <w:rPr>
          <w:rFonts w:ascii="Verdana" w:hAnsi="Verdana"/>
          <w:sz w:val="18"/>
          <w:szCs w:val="14"/>
          <w:lang w:val="en-GB"/>
        </w:rPr>
        <w:t>Month Year]</w:t>
      </w:r>
    </w:p>
    <w:p w14:paraId="45059927" w14:textId="3ABCBD39" w:rsidR="007A20FE" w:rsidRPr="00263208" w:rsidRDefault="007A20FE" w:rsidP="0044386A">
      <w:pPr>
        <w:spacing w:after="200" w:line="276" w:lineRule="auto"/>
        <w:ind w:right="-29"/>
        <w:rPr>
          <w:rFonts w:ascii="Verdana" w:hAnsi="Verdana" w:cs="Calibri"/>
          <w:b/>
          <w:sz w:val="18"/>
          <w:szCs w:val="14"/>
          <w:lang w:val="en-GB"/>
        </w:rPr>
      </w:pPr>
    </w:p>
    <w:p w14:paraId="38884C15" w14:textId="3F5357C5" w:rsidR="00C15A3D" w:rsidRPr="00263208" w:rsidRDefault="00C15A3D" w:rsidP="00C15A3D">
      <w:pPr>
        <w:spacing w:after="200" w:line="276" w:lineRule="auto"/>
        <w:rPr>
          <w:rFonts w:ascii="Verdana" w:hAnsi="Verdana" w:cs="Calibri"/>
          <w:b/>
          <w:sz w:val="18"/>
          <w:szCs w:val="14"/>
          <w:lang w:val="en-GB"/>
        </w:rPr>
      </w:pPr>
      <w:r w:rsidRPr="00263208">
        <w:rPr>
          <w:rFonts w:ascii="Verdana" w:hAnsi="Verdana" w:cs="Calibri"/>
          <w:b/>
          <w:sz w:val="18"/>
          <w:szCs w:val="14"/>
          <w:lang w:val="en-GB"/>
        </w:rPr>
        <w:t>FOLLOW-UP OF HUMAN RIGHTS ABUSES IN XINJIANG AND THE USE OF FORCED LABOUR OF UYGHUR AND OTHER TURKIC AND MUSLIM PEOPLES IN CHINA</w:t>
      </w:r>
    </w:p>
    <w:p w14:paraId="5FDBA61B" w14:textId="68364978" w:rsidR="00C15A3D" w:rsidRPr="00263208" w:rsidRDefault="00C15A3D" w:rsidP="00C15A3D">
      <w:pPr>
        <w:spacing w:after="200" w:line="276" w:lineRule="auto"/>
        <w:rPr>
          <w:rFonts w:ascii="Verdana" w:hAnsi="Verdana" w:cs="Calibri"/>
          <w:sz w:val="18"/>
          <w:szCs w:val="14"/>
          <w:lang w:val="en-GB"/>
        </w:rPr>
      </w:pPr>
      <w:r w:rsidRPr="00263208">
        <w:rPr>
          <w:rFonts w:ascii="Verdana" w:hAnsi="Verdana" w:cs="Calibri"/>
          <w:sz w:val="18"/>
          <w:szCs w:val="14"/>
          <w:lang w:val="en-GB"/>
        </w:rPr>
        <w:t xml:space="preserve">This communication is a joint initiative between [the Church of Sweden, SKL Kommentus and the Swedish Regions] (hereby “signatories”). </w:t>
      </w:r>
    </w:p>
    <w:p w14:paraId="088049E8" w14:textId="42E6CCD0" w:rsidR="00C15A3D" w:rsidRPr="00263208" w:rsidRDefault="00C15A3D" w:rsidP="00C15A3D">
      <w:pPr>
        <w:spacing w:after="200" w:line="276" w:lineRule="auto"/>
        <w:rPr>
          <w:rFonts w:ascii="Verdana" w:hAnsi="Verdana" w:cs="Calibri"/>
          <w:sz w:val="18"/>
          <w:szCs w:val="14"/>
          <w:lang w:val="en-GB"/>
        </w:rPr>
      </w:pPr>
      <w:r w:rsidRPr="00263208">
        <w:rPr>
          <w:rFonts w:ascii="Verdana" w:hAnsi="Verdana" w:cs="Calibri"/>
          <w:sz w:val="18"/>
          <w:szCs w:val="14"/>
          <w:lang w:val="en-GB"/>
        </w:rPr>
        <w:t xml:space="preserve">Our efforts are part of a larger follow-up of a number of suppliers in several </w:t>
      </w:r>
      <w:proofErr w:type="gramStart"/>
      <w:r w:rsidRPr="00263208">
        <w:rPr>
          <w:rFonts w:ascii="Verdana" w:hAnsi="Verdana" w:cs="Calibri"/>
          <w:sz w:val="18"/>
          <w:szCs w:val="14"/>
          <w:lang w:val="en-GB"/>
        </w:rPr>
        <w:t>industries</w:t>
      </w:r>
      <w:r w:rsidR="00FF0F38" w:rsidRPr="00263208">
        <w:rPr>
          <w:rFonts w:ascii="Verdana" w:hAnsi="Verdana" w:cs="Calibri"/>
          <w:sz w:val="18"/>
          <w:szCs w:val="14"/>
          <w:lang w:val="en-GB"/>
        </w:rPr>
        <w:t>[</w:t>
      </w:r>
      <w:proofErr w:type="gramEnd"/>
      <w:r w:rsidRPr="00263208">
        <w:rPr>
          <w:rFonts w:ascii="Verdana" w:hAnsi="Verdana" w:cs="Calibri"/>
          <w:sz w:val="18"/>
          <w:szCs w:val="14"/>
          <w:lang w:val="en-GB"/>
        </w:rPr>
        <w:t xml:space="preserve">, which also involves [the Church of Sweden, SKL Kommentus and the Swedish Regions]. </w:t>
      </w:r>
    </w:p>
    <w:p w14:paraId="3C9FF291" w14:textId="2AEB85D1" w:rsidR="00C15A3D" w:rsidRPr="00263208" w:rsidRDefault="00C15A3D" w:rsidP="00C15A3D">
      <w:pPr>
        <w:spacing w:after="200" w:line="276" w:lineRule="auto"/>
        <w:rPr>
          <w:rFonts w:ascii="Verdana" w:hAnsi="Verdana" w:cs="Calibri"/>
          <w:sz w:val="18"/>
          <w:szCs w:val="14"/>
          <w:lang w:val="en-GB"/>
        </w:rPr>
      </w:pPr>
      <w:r w:rsidRPr="00263208">
        <w:rPr>
          <w:rFonts w:ascii="Verdana" w:hAnsi="Verdana" w:cs="Calibri"/>
          <w:sz w:val="18"/>
          <w:szCs w:val="14"/>
          <w:lang w:val="en-GB"/>
        </w:rPr>
        <w:t xml:space="preserve">The document clarifies the procuring </w:t>
      </w:r>
      <w:r w:rsidR="00C1119E" w:rsidRPr="00263208">
        <w:rPr>
          <w:rFonts w:ascii="Verdana" w:hAnsi="Verdana" w:cs="Calibri"/>
          <w:sz w:val="18"/>
          <w:szCs w:val="14"/>
          <w:lang w:val="en-GB"/>
        </w:rPr>
        <w:t xml:space="preserve">organisations’ </w:t>
      </w:r>
      <w:r w:rsidRPr="00263208">
        <w:rPr>
          <w:rFonts w:ascii="Verdana" w:hAnsi="Verdana" w:cs="Calibri"/>
          <w:sz w:val="18"/>
          <w:szCs w:val="14"/>
          <w:lang w:val="en-GB"/>
        </w:rPr>
        <w:t xml:space="preserve">standpoint, reiterates the expectations on suppliers with regards to human rights due diligence and serves as a basis for follow-up of compliance with the </w:t>
      </w:r>
      <w:r w:rsidR="00C1119E" w:rsidRPr="00263208">
        <w:rPr>
          <w:rFonts w:ascii="Verdana" w:hAnsi="Verdana" w:cs="Calibri"/>
          <w:sz w:val="18"/>
          <w:szCs w:val="14"/>
          <w:lang w:val="en-GB"/>
        </w:rPr>
        <w:t xml:space="preserve">organisations’ </w:t>
      </w:r>
      <w:r w:rsidRPr="00263208">
        <w:rPr>
          <w:rFonts w:ascii="Verdana" w:hAnsi="Verdana" w:cs="Calibri"/>
          <w:sz w:val="18"/>
          <w:szCs w:val="14"/>
          <w:lang w:val="en-GB"/>
        </w:rPr>
        <w:t>agreement conditions.</w:t>
      </w:r>
    </w:p>
    <w:p w14:paraId="5F2981BC" w14:textId="71514617" w:rsidR="00C15A3D" w:rsidRPr="00263208" w:rsidRDefault="00C15A3D" w:rsidP="00C15A3D">
      <w:pPr>
        <w:spacing w:after="200" w:line="276" w:lineRule="auto"/>
        <w:rPr>
          <w:rFonts w:ascii="Verdana" w:hAnsi="Verdana" w:cs="Calibri"/>
          <w:i/>
          <w:sz w:val="18"/>
          <w:szCs w:val="14"/>
          <w:lang w:val="en-GB"/>
        </w:rPr>
      </w:pPr>
    </w:p>
    <w:p w14:paraId="5662FA10" w14:textId="77777777" w:rsidR="00C15A3D" w:rsidRPr="00263208" w:rsidRDefault="00C15A3D" w:rsidP="00C15A3D">
      <w:pPr>
        <w:spacing w:after="200" w:line="276" w:lineRule="auto"/>
        <w:rPr>
          <w:rFonts w:ascii="Verdana" w:hAnsi="Verdana" w:cs="Calibri"/>
          <w:b/>
          <w:sz w:val="18"/>
          <w:szCs w:val="14"/>
          <w:lang w:val="en-GB"/>
        </w:rPr>
      </w:pPr>
      <w:r w:rsidRPr="00263208">
        <w:rPr>
          <w:rFonts w:ascii="Verdana" w:hAnsi="Verdana" w:cs="Calibri"/>
          <w:b/>
          <w:sz w:val="18"/>
          <w:szCs w:val="14"/>
          <w:lang w:val="en-GB"/>
        </w:rPr>
        <w:t>Background</w:t>
      </w:r>
    </w:p>
    <w:p w14:paraId="2E201FD0" w14:textId="3DB4053D" w:rsidR="00C15A3D" w:rsidRPr="00263208" w:rsidRDefault="00C15A3D" w:rsidP="00C15A3D">
      <w:pPr>
        <w:spacing w:after="200" w:line="276" w:lineRule="auto"/>
        <w:rPr>
          <w:rFonts w:ascii="Verdana" w:hAnsi="Verdana" w:cs="Calibri"/>
          <w:sz w:val="18"/>
          <w:szCs w:val="14"/>
          <w:lang w:val="en-GB"/>
        </w:rPr>
      </w:pPr>
      <w:r w:rsidRPr="00263208">
        <w:rPr>
          <w:rFonts w:ascii="Verdana" w:hAnsi="Verdana" w:cs="Calibri"/>
          <w:sz w:val="18"/>
          <w:szCs w:val="14"/>
          <w:lang w:val="en-GB"/>
        </w:rPr>
        <w:t>There is credible evidence that the government of China is perpetrating human rights abuses on a massive scale in Xinjiang, known to local people as East Turkestan, targeting the Uyghur population and other Turkic and Muslim peoples on the basis of their religion and ethnicity.</w:t>
      </w:r>
      <w:r w:rsidRPr="00263208">
        <w:rPr>
          <w:rStyle w:val="Endnotenzeichen"/>
          <w:rFonts w:ascii="Verdana" w:hAnsi="Verdana" w:cs="Calibri"/>
          <w:sz w:val="18"/>
          <w:szCs w:val="14"/>
          <w:lang w:val="en-GB"/>
        </w:rPr>
        <w:endnoteReference w:id="1"/>
      </w:r>
      <w:r w:rsidRPr="00263208">
        <w:rPr>
          <w:rFonts w:ascii="Verdana" w:hAnsi="Verdana" w:cs="Calibri"/>
          <w:sz w:val="18"/>
          <w:szCs w:val="14"/>
          <w:lang w:val="en-GB"/>
        </w:rPr>
        <w:t xml:space="preserve"> These abuses include arbitrary mass detention of an estimated range of 1</w:t>
      </w:r>
      <w:r w:rsidR="007C7BC5" w:rsidRPr="00263208">
        <w:rPr>
          <w:rFonts w:ascii="Verdana" w:hAnsi="Verdana" w:cs="Calibri"/>
          <w:sz w:val="18"/>
          <w:szCs w:val="14"/>
          <w:lang w:val="en-GB"/>
        </w:rPr>
        <w:t> </w:t>
      </w:r>
      <w:r w:rsidRPr="00263208">
        <w:rPr>
          <w:rFonts w:ascii="Verdana" w:hAnsi="Verdana" w:cs="Calibri"/>
          <w:sz w:val="18"/>
          <w:szCs w:val="14"/>
          <w:lang w:val="en-GB"/>
        </w:rPr>
        <w:t>million to 1.8 million people</w:t>
      </w:r>
      <w:r w:rsidRPr="00263208">
        <w:rPr>
          <w:rStyle w:val="Endnotenzeichen"/>
          <w:rFonts w:ascii="Verdana" w:hAnsi="Verdana" w:cs="Calibri"/>
          <w:sz w:val="18"/>
          <w:szCs w:val="14"/>
          <w:lang w:val="en-GB"/>
        </w:rPr>
        <w:endnoteReference w:id="2"/>
      </w:r>
      <w:r w:rsidRPr="00263208">
        <w:rPr>
          <w:rFonts w:ascii="Verdana" w:hAnsi="Verdana" w:cs="Calibri"/>
          <w:sz w:val="18"/>
          <w:szCs w:val="14"/>
          <w:lang w:val="en-GB"/>
        </w:rPr>
        <w:t xml:space="preserve"> and a program to “cleanse” ethnic minorities of their “extremist” thoughts through re-education and forced labour.</w:t>
      </w:r>
      <w:r w:rsidRPr="00263208">
        <w:rPr>
          <w:rStyle w:val="Endnotenzeichen"/>
          <w:rFonts w:ascii="Verdana" w:hAnsi="Verdana" w:cs="Calibri"/>
          <w:sz w:val="18"/>
          <w:szCs w:val="14"/>
          <w:lang w:val="en-GB"/>
        </w:rPr>
        <w:endnoteReference w:id="3"/>
      </w:r>
      <w:r w:rsidRPr="00263208">
        <w:rPr>
          <w:rFonts w:ascii="Verdana" w:hAnsi="Verdana" w:cs="Calibri"/>
          <w:sz w:val="18"/>
          <w:szCs w:val="14"/>
          <w:lang w:val="en-GB"/>
        </w:rPr>
        <w:t xml:space="preserve"> </w:t>
      </w:r>
    </w:p>
    <w:p w14:paraId="21714CE6" w14:textId="6AD05278" w:rsidR="00C15A3D" w:rsidRPr="00263208" w:rsidRDefault="00C15A3D" w:rsidP="00C15A3D">
      <w:pPr>
        <w:spacing w:after="200" w:line="276" w:lineRule="auto"/>
        <w:rPr>
          <w:rFonts w:ascii="Verdana" w:hAnsi="Verdana" w:cs="Calibri"/>
          <w:sz w:val="18"/>
          <w:szCs w:val="14"/>
          <w:lang w:val="en-GB"/>
        </w:rPr>
      </w:pPr>
      <w:r w:rsidRPr="00263208">
        <w:rPr>
          <w:rFonts w:ascii="Verdana" w:hAnsi="Verdana" w:cs="Calibri"/>
          <w:sz w:val="18"/>
          <w:szCs w:val="14"/>
          <w:lang w:val="en-GB"/>
        </w:rPr>
        <w:t>The government’s poverty alleviation programs in Xinjiang include detainee labour inside these internment camps and multiple forms of involuntary labour at workplaces across the region. The programs are coupled with mutual pairing assistance programs, in which companies from east China are incentivized to establish satellite factories near the camps. Local governments also receive funds for each individual from the camps forced to work in these sites at a fraction of minimum wage or without compensation.</w:t>
      </w:r>
      <w:r w:rsidRPr="00263208">
        <w:rPr>
          <w:rStyle w:val="Endnotenzeichen"/>
          <w:rFonts w:ascii="Verdana" w:hAnsi="Verdana" w:cs="Calibri"/>
          <w:sz w:val="18"/>
          <w:szCs w:val="14"/>
          <w:lang w:val="en-GB"/>
        </w:rPr>
        <w:endnoteReference w:id="4"/>
      </w:r>
      <w:r w:rsidRPr="00263208">
        <w:rPr>
          <w:rFonts w:ascii="Verdana" w:hAnsi="Verdana" w:cs="Calibri"/>
          <w:sz w:val="18"/>
          <w:szCs w:val="14"/>
          <w:lang w:val="en-GB"/>
        </w:rPr>
        <w:t xml:space="preserve"> These repressive policies are then bolstered by a pervasive, technology-enabled system of surveillance.</w:t>
      </w:r>
      <w:r w:rsidRPr="00263208">
        <w:rPr>
          <w:rStyle w:val="Endnotenzeichen"/>
          <w:rFonts w:ascii="Verdana" w:hAnsi="Verdana" w:cs="Calibri"/>
          <w:sz w:val="18"/>
          <w:szCs w:val="14"/>
          <w:lang w:val="en-GB"/>
        </w:rPr>
        <w:endnoteReference w:id="5"/>
      </w:r>
      <w:r w:rsidRPr="00263208">
        <w:rPr>
          <w:rFonts w:ascii="Verdana" w:hAnsi="Verdana" w:cs="Calibri"/>
          <w:sz w:val="18"/>
          <w:szCs w:val="14"/>
          <w:lang w:val="en-GB"/>
        </w:rPr>
        <w:t xml:space="preserve"> </w:t>
      </w:r>
    </w:p>
    <w:p w14:paraId="129FE155" w14:textId="27B2203E" w:rsidR="00C15A3D" w:rsidRPr="00263208" w:rsidRDefault="00C15A3D" w:rsidP="00C15A3D">
      <w:pPr>
        <w:spacing w:after="200" w:line="276" w:lineRule="auto"/>
        <w:rPr>
          <w:rFonts w:ascii="Verdana" w:hAnsi="Verdana" w:cs="Calibri"/>
          <w:sz w:val="18"/>
          <w:szCs w:val="14"/>
          <w:lang w:val="en-GB"/>
        </w:rPr>
      </w:pPr>
      <w:r w:rsidRPr="00263208">
        <w:rPr>
          <w:rFonts w:ascii="Verdana" w:hAnsi="Verdana" w:cs="Calibri"/>
          <w:sz w:val="18"/>
          <w:szCs w:val="14"/>
          <w:lang w:val="en-GB"/>
        </w:rPr>
        <w:t xml:space="preserve">The government is furthermore transporting Uyghurs and other Turkic and Muslim peoples to other parts of China, where they are working in factories under conditions </w:t>
      </w:r>
      <w:r w:rsidR="007C7BC5" w:rsidRPr="00263208">
        <w:rPr>
          <w:rFonts w:ascii="Verdana" w:hAnsi="Verdana" w:cs="Calibri"/>
          <w:sz w:val="18"/>
          <w:szCs w:val="14"/>
          <w:lang w:val="en-GB"/>
        </w:rPr>
        <w:t>strongly indicating</w:t>
      </w:r>
      <w:r w:rsidRPr="00263208">
        <w:rPr>
          <w:rFonts w:ascii="Verdana" w:hAnsi="Verdana" w:cs="Calibri"/>
          <w:sz w:val="18"/>
          <w:szCs w:val="14"/>
          <w:lang w:val="en-GB"/>
        </w:rPr>
        <w:t xml:space="preserve"> forced labour. Reports in 2020 revealed that at least 80,000 Uyghurs or other Turkic and Muslim peoples have been transferred to factories across China where they cannot leave, are under constant surveillance, and must undergo “ideological training” to abandon their religion and culture.</w:t>
      </w:r>
      <w:r w:rsidRPr="00263208">
        <w:rPr>
          <w:rStyle w:val="Endnotenzeichen"/>
          <w:rFonts w:ascii="Verdana" w:hAnsi="Verdana" w:cs="Calibri"/>
          <w:sz w:val="18"/>
          <w:szCs w:val="14"/>
          <w:lang w:val="en-GB"/>
        </w:rPr>
        <w:endnoteReference w:id="6"/>
      </w:r>
    </w:p>
    <w:p w14:paraId="1A944230" w14:textId="77777777" w:rsidR="00C15A3D" w:rsidRPr="00263208" w:rsidRDefault="00C15A3D" w:rsidP="00C15A3D">
      <w:pPr>
        <w:spacing w:after="200" w:line="276" w:lineRule="auto"/>
        <w:rPr>
          <w:rFonts w:ascii="Verdana" w:hAnsi="Verdana" w:cs="Calibri"/>
          <w:i/>
          <w:sz w:val="18"/>
          <w:szCs w:val="14"/>
          <w:lang w:val="en-GB"/>
        </w:rPr>
      </w:pPr>
    </w:p>
    <w:p w14:paraId="44BBE9C7" w14:textId="77777777" w:rsidR="00C15A3D" w:rsidRPr="00263208" w:rsidRDefault="00C15A3D" w:rsidP="007C7BC5">
      <w:pPr>
        <w:keepNext/>
        <w:spacing w:after="200" w:line="276" w:lineRule="auto"/>
        <w:rPr>
          <w:rFonts w:ascii="Verdana" w:hAnsi="Verdana" w:cs="Calibri"/>
          <w:b/>
          <w:sz w:val="18"/>
          <w:szCs w:val="14"/>
          <w:lang w:val="en-GB"/>
        </w:rPr>
      </w:pPr>
      <w:r w:rsidRPr="00263208">
        <w:rPr>
          <w:rFonts w:ascii="Verdana" w:hAnsi="Verdana" w:cs="Calibri"/>
          <w:b/>
          <w:sz w:val="18"/>
          <w:szCs w:val="14"/>
          <w:lang w:val="en-GB"/>
        </w:rPr>
        <w:lastRenderedPageBreak/>
        <w:t>Signatories’ Supply Chains</w:t>
      </w:r>
    </w:p>
    <w:p w14:paraId="780455ED" w14:textId="4C48A9F3" w:rsidR="00C15A3D" w:rsidRPr="00263208" w:rsidRDefault="00C15A3D" w:rsidP="007C7BC5">
      <w:pPr>
        <w:keepNext/>
        <w:spacing w:after="200" w:line="276" w:lineRule="auto"/>
        <w:rPr>
          <w:rFonts w:ascii="Verdana" w:hAnsi="Verdana" w:cs="Calibri"/>
          <w:sz w:val="18"/>
          <w:szCs w:val="14"/>
          <w:lang w:val="en-GB"/>
        </w:rPr>
      </w:pPr>
      <w:r w:rsidRPr="00263208">
        <w:rPr>
          <w:rFonts w:ascii="Verdana" w:hAnsi="Verdana" w:cs="Calibri"/>
          <w:sz w:val="18"/>
          <w:szCs w:val="14"/>
          <w:lang w:val="en-GB"/>
        </w:rPr>
        <w:t xml:space="preserve">There is </w:t>
      </w:r>
      <w:r w:rsidR="00123A09" w:rsidRPr="00263208">
        <w:rPr>
          <w:rFonts w:ascii="Verdana" w:hAnsi="Verdana" w:cs="Calibri"/>
          <w:sz w:val="18"/>
          <w:szCs w:val="14"/>
          <w:lang w:val="en-GB"/>
        </w:rPr>
        <w:t xml:space="preserve">a </w:t>
      </w:r>
      <w:r w:rsidRPr="00263208">
        <w:rPr>
          <w:rFonts w:ascii="Verdana" w:hAnsi="Verdana" w:cs="Calibri"/>
          <w:sz w:val="18"/>
          <w:szCs w:val="14"/>
          <w:lang w:val="en-GB"/>
        </w:rPr>
        <w:t>grave risk that suppliers in the signatories’ supply chains are benefiting from human rights violations, including forced labour, both in and from Xinjiang. This is especially true in the textile and garment sectors. More than 80 percent of China’s cotton is grown in Xinjiang, approaching 20 percent of global production. Fabric made with cotton from Xinjiang is used by factories across China and the world.</w:t>
      </w:r>
      <w:r w:rsidRPr="00263208">
        <w:rPr>
          <w:rStyle w:val="Endnotenzeichen"/>
          <w:rFonts w:ascii="Verdana" w:hAnsi="Verdana" w:cs="Calibri"/>
          <w:sz w:val="18"/>
          <w:szCs w:val="14"/>
          <w:lang w:val="en-GB"/>
        </w:rPr>
        <w:endnoteReference w:id="7"/>
      </w:r>
      <w:r w:rsidRPr="00263208">
        <w:rPr>
          <w:rFonts w:ascii="Verdana" w:hAnsi="Verdana" w:cs="Calibri"/>
          <w:sz w:val="18"/>
          <w:szCs w:val="14"/>
          <w:lang w:val="en-GB"/>
        </w:rPr>
        <w:t xml:space="preserve"> </w:t>
      </w:r>
    </w:p>
    <w:p w14:paraId="59614EBF" w14:textId="5A8F2B60" w:rsidR="00C15A3D" w:rsidRPr="00263208" w:rsidRDefault="00C15A3D" w:rsidP="00C15A3D">
      <w:pPr>
        <w:spacing w:after="200" w:line="276" w:lineRule="auto"/>
        <w:rPr>
          <w:rFonts w:ascii="Verdana" w:hAnsi="Verdana" w:cs="Calibri"/>
          <w:sz w:val="18"/>
          <w:szCs w:val="14"/>
          <w:lang w:val="en-GB"/>
        </w:rPr>
      </w:pPr>
      <w:r w:rsidRPr="00263208">
        <w:rPr>
          <w:rFonts w:ascii="Verdana" w:hAnsi="Verdana" w:cs="Calibri"/>
          <w:sz w:val="18"/>
          <w:szCs w:val="14"/>
          <w:lang w:val="en-GB"/>
        </w:rPr>
        <w:t xml:space="preserve">Other sectors identified </w:t>
      </w:r>
      <w:r w:rsidR="00604FB0" w:rsidRPr="00263208">
        <w:rPr>
          <w:rFonts w:ascii="Verdana" w:hAnsi="Verdana" w:cs="Calibri"/>
          <w:sz w:val="18"/>
          <w:szCs w:val="14"/>
          <w:lang w:val="en-GB"/>
        </w:rPr>
        <w:t>as</w:t>
      </w:r>
      <w:r w:rsidRPr="00263208">
        <w:rPr>
          <w:rFonts w:ascii="Verdana" w:hAnsi="Verdana" w:cs="Calibri"/>
          <w:sz w:val="18"/>
          <w:szCs w:val="14"/>
          <w:lang w:val="en-GB"/>
        </w:rPr>
        <w:t xml:space="preserve"> high risk are electronics manufacturing, including cell phones and printing products, rare earth mining and other extractives, agricultural production, plastics, cleaning supplies and chemicals, medical equipment, electrical machinery, mechanical appliances, toys and sports equipment, and vehicles.</w:t>
      </w:r>
      <w:r w:rsidRPr="00263208">
        <w:rPr>
          <w:rStyle w:val="Endnotenzeichen"/>
          <w:rFonts w:ascii="Verdana" w:hAnsi="Verdana" w:cs="Calibri"/>
          <w:sz w:val="18"/>
          <w:szCs w:val="14"/>
          <w:lang w:val="en-GB"/>
        </w:rPr>
        <w:endnoteReference w:id="8"/>
      </w:r>
      <w:r w:rsidRPr="00263208">
        <w:rPr>
          <w:rFonts w:ascii="Verdana" w:hAnsi="Verdana" w:cs="Calibri"/>
          <w:sz w:val="18"/>
          <w:szCs w:val="14"/>
          <w:lang w:val="en-GB"/>
        </w:rPr>
        <w:t xml:space="preserve"> </w:t>
      </w:r>
    </w:p>
    <w:p w14:paraId="0516D3BA" w14:textId="77777777" w:rsidR="00C15A3D" w:rsidRPr="00263208" w:rsidRDefault="00C15A3D" w:rsidP="00C15A3D">
      <w:pPr>
        <w:spacing w:after="200" w:line="276" w:lineRule="auto"/>
        <w:rPr>
          <w:rFonts w:ascii="Verdana" w:hAnsi="Verdana" w:cs="Calibri"/>
          <w:i/>
          <w:sz w:val="18"/>
          <w:szCs w:val="14"/>
          <w:lang w:val="en-GB"/>
        </w:rPr>
      </w:pPr>
    </w:p>
    <w:p w14:paraId="57C52DFB" w14:textId="77777777" w:rsidR="00C15A3D" w:rsidRPr="00263208" w:rsidRDefault="00C15A3D" w:rsidP="00C15A3D">
      <w:pPr>
        <w:spacing w:after="200" w:line="276" w:lineRule="auto"/>
        <w:rPr>
          <w:rFonts w:ascii="Verdana" w:hAnsi="Verdana" w:cs="Calibri"/>
          <w:b/>
          <w:sz w:val="18"/>
          <w:szCs w:val="14"/>
          <w:lang w:val="en-GB"/>
        </w:rPr>
      </w:pPr>
      <w:r w:rsidRPr="00263208">
        <w:rPr>
          <w:rFonts w:ascii="Verdana" w:hAnsi="Verdana" w:cs="Calibri"/>
          <w:b/>
          <w:sz w:val="18"/>
          <w:szCs w:val="14"/>
          <w:lang w:val="en-GB"/>
        </w:rPr>
        <w:t>Signatories’ Agreement Conditions</w:t>
      </w:r>
    </w:p>
    <w:p w14:paraId="4281E4DA" w14:textId="77777777" w:rsidR="00C15A3D" w:rsidRPr="00263208" w:rsidRDefault="00C15A3D" w:rsidP="00C15A3D">
      <w:pPr>
        <w:spacing w:after="200" w:line="276" w:lineRule="auto"/>
        <w:rPr>
          <w:rFonts w:ascii="Verdana" w:hAnsi="Verdana" w:cs="Calibri"/>
          <w:sz w:val="18"/>
          <w:szCs w:val="14"/>
          <w:lang w:val="en-GB"/>
        </w:rPr>
      </w:pPr>
      <w:r w:rsidRPr="00263208">
        <w:rPr>
          <w:rFonts w:ascii="Verdana" w:hAnsi="Verdana" w:cs="Calibri"/>
          <w:sz w:val="18"/>
          <w:szCs w:val="14"/>
          <w:lang w:val="en-GB"/>
        </w:rPr>
        <w:t xml:space="preserve">All signatories require suppliers to perform contracts in accordance with the UN Declaration of Human Rights and the ILO core conventions, including: </w:t>
      </w:r>
    </w:p>
    <w:p w14:paraId="0C3563E7" w14:textId="0C85FF50" w:rsidR="00C15A3D" w:rsidRPr="00263208" w:rsidRDefault="00C15A3D" w:rsidP="00C15A3D">
      <w:pPr>
        <w:pStyle w:val="Listenabsatz"/>
        <w:numPr>
          <w:ilvl w:val="0"/>
          <w:numId w:val="13"/>
        </w:numPr>
        <w:spacing w:after="200" w:line="276" w:lineRule="auto"/>
        <w:rPr>
          <w:rFonts w:ascii="Verdana" w:hAnsi="Verdana" w:cs="Calibri"/>
          <w:sz w:val="18"/>
          <w:szCs w:val="14"/>
          <w:lang w:val="en-GB"/>
        </w:rPr>
      </w:pPr>
      <w:r w:rsidRPr="00263208">
        <w:rPr>
          <w:rFonts w:ascii="Verdana" w:hAnsi="Verdana" w:cs="Calibri"/>
          <w:sz w:val="18"/>
          <w:szCs w:val="14"/>
          <w:lang w:val="en-GB"/>
        </w:rPr>
        <w:t>Forced Labour Convention (No. 29)</w:t>
      </w:r>
    </w:p>
    <w:p w14:paraId="0BA0580A" w14:textId="77777777" w:rsidR="00C15A3D" w:rsidRPr="00263208" w:rsidRDefault="00C15A3D" w:rsidP="00C15A3D">
      <w:pPr>
        <w:pStyle w:val="Listenabsatz"/>
        <w:spacing w:after="200" w:line="276" w:lineRule="auto"/>
        <w:rPr>
          <w:rFonts w:ascii="Verdana" w:hAnsi="Verdana" w:cs="Calibri"/>
          <w:sz w:val="18"/>
          <w:szCs w:val="14"/>
          <w:lang w:val="en-GB"/>
        </w:rPr>
      </w:pPr>
    </w:p>
    <w:p w14:paraId="5BB87B44" w14:textId="569C4165" w:rsidR="00C15A3D" w:rsidRPr="00263208" w:rsidRDefault="00C15A3D" w:rsidP="00C15A3D">
      <w:pPr>
        <w:pStyle w:val="Listenabsatz"/>
        <w:numPr>
          <w:ilvl w:val="0"/>
          <w:numId w:val="13"/>
        </w:numPr>
        <w:spacing w:after="200" w:line="276" w:lineRule="auto"/>
        <w:rPr>
          <w:rFonts w:ascii="Verdana" w:hAnsi="Verdana" w:cs="Calibri"/>
          <w:sz w:val="18"/>
          <w:szCs w:val="14"/>
          <w:lang w:val="en-GB"/>
        </w:rPr>
      </w:pPr>
      <w:r w:rsidRPr="00263208">
        <w:rPr>
          <w:rFonts w:ascii="Verdana" w:hAnsi="Verdana" w:cs="Calibri"/>
          <w:sz w:val="18"/>
          <w:szCs w:val="14"/>
          <w:lang w:val="en-GB"/>
        </w:rPr>
        <w:t xml:space="preserve">Abolition of Forced Labour Convention (No. 105) </w:t>
      </w:r>
    </w:p>
    <w:p w14:paraId="3F8AEE2E" w14:textId="77777777" w:rsidR="00C15A3D" w:rsidRPr="00263208" w:rsidRDefault="00C15A3D" w:rsidP="00C15A3D">
      <w:pPr>
        <w:pStyle w:val="Listenabsatz"/>
        <w:rPr>
          <w:rFonts w:ascii="Verdana" w:hAnsi="Verdana" w:cs="Calibri"/>
          <w:sz w:val="18"/>
          <w:szCs w:val="14"/>
          <w:lang w:val="en-GB"/>
        </w:rPr>
      </w:pPr>
    </w:p>
    <w:p w14:paraId="5F0C1416" w14:textId="77777777" w:rsidR="00C15A3D" w:rsidRPr="00263208" w:rsidRDefault="00C15A3D" w:rsidP="00C15A3D">
      <w:pPr>
        <w:pStyle w:val="Listenabsatz"/>
        <w:numPr>
          <w:ilvl w:val="0"/>
          <w:numId w:val="13"/>
        </w:numPr>
        <w:spacing w:after="200" w:line="276" w:lineRule="auto"/>
        <w:rPr>
          <w:rFonts w:ascii="Verdana" w:hAnsi="Verdana" w:cs="Calibri"/>
          <w:sz w:val="18"/>
          <w:szCs w:val="14"/>
          <w:lang w:val="en-GB"/>
        </w:rPr>
      </w:pPr>
      <w:r w:rsidRPr="00263208">
        <w:rPr>
          <w:rFonts w:ascii="Verdana" w:hAnsi="Verdana" w:cs="Calibri"/>
          <w:sz w:val="18"/>
          <w:szCs w:val="14"/>
          <w:lang w:val="en-GB"/>
        </w:rPr>
        <w:t>Discrimination (Employment and Occupation) Convention (No. 111)</w:t>
      </w:r>
    </w:p>
    <w:p w14:paraId="6D6B6E53" w14:textId="274B28F3" w:rsidR="00C15A3D" w:rsidRPr="00263208" w:rsidRDefault="00C15A3D" w:rsidP="00C15A3D">
      <w:pPr>
        <w:spacing w:after="200" w:line="276" w:lineRule="auto"/>
        <w:rPr>
          <w:rFonts w:ascii="Verdana" w:hAnsi="Verdana" w:cs="Calibri"/>
          <w:sz w:val="18"/>
          <w:szCs w:val="14"/>
          <w:lang w:val="en-GB"/>
        </w:rPr>
      </w:pPr>
      <w:r w:rsidRPr="00263208">
        <w:rPr>
          <w:rFonts w:ascii="Verdana" w:hAnsi="Verdana" w:cs="Calibri"/>
          <w:sz w:val="18"/>
          <w:szCs w:val="14"/>
          <w:lang w:val="en-GB"/>
        </w:rPr>
        <w:t>All signatories also require suppliers to ensure that sub-suppliers satisfy these requirements. The suppliers must furthermore take reasonable measures to comply with international regulations, if they provide stronger protection than national legislation.</w:t>
      </w:r>
    </w:p>
    <w:p w14:paraId="4D745A4A" w14:textId="55D236C5" w:rsidR="00C15A3D" w:rsidRPr="00263208" w:rsidRDefault="00414872" w:rsidP="00C15A3D">
      <w:pPr>
        <w:spacing w:after="200" w:line="276" w:lineRule="auto"/>
        <w:rPr>
          <w:rFonts w:ascii="Verdana" w:hAnsi="Verdana" w:cs="Calibri"/>
          <w:sz w:val="18"/>
          <w:szCs w:val="14"/>
          <w:lang w:val="en-GB"/>
        </w:rPr>
      </w:pPr>
      <w:r w:rsidRPr="00263208">
        <w:rPr>
          <w:rFonts w:ascii="Verdana" w:hAnsi="Verdana" w:cs="Calibri"/>
          <w:sz w:val="18"/>
          <w:szCs w:val="14"/>
          <w:lang w:val="en-GB"/>
        </w:rPr>
        <w:t>Lastly, a</w:t>
      </w:r>
      <w:r w:rsidR="00C15A3D" w:rsidRPr="00263208">
        <w:rPr>
          <w:rFonts w:ascii="Verdana" w:hAnsi="Verdana" w:cs="Calibri"/>
          <w:sz w:val="18"/>
          <w:szCs w:val="14"/>
          <w:lang w:val="en-GB"/>
        </w:rPr>
        <w:t>ll signatories require suppliers to have policies and processes for human rights due diligence in place. Many of the signatories’ agreements explicitly refer to the UN Guiding Principles on Business and Human Rights, or equivalent guidelines such as the OECD Due Diligence Guidance for Responsible Business Conduct.</w:t>
      </w:r>
    </w:p>
    <w:p w14:paraId="03B8B7B5" w14:textId="77777777" w:rsidR="00C15A3D" w:rsidRPr="00263208" w:rsidRDefault="00C15A3D" w:rsidP="00C15A3D">
      <w:pPr>
        <w:spacing w:after="200" w:line="276" w:lineRule="auto"/>
        <w:rPr>
          <w:rFonts w:ascii="Verdana" w:hAnsi="Verdana" w:cs="Calibri"/>
          <w:i/>
          <w:sz w:val="18"/>
          <w:szCs w:val="14"/>
          <w:lang w:val="en-GB"/>
        </w:rPr>
      </w:pPr>
    </w:p>
    <w:p w14:paraId="606C40AA" w14:textId="77777777" w:rsidR="00C15A3D" w:rsidRPr="00263208" w:rsidRDefault="00C15A3D" w:rsidP="00C15A3D">
      <w:pPr>
        <w:spacing w:after="200" w:line="276" w:lineRule="auto"/>
        <w:rPr>
          <w:rFonts w:ascii="Verdana" w:hAnsi="Verdana" w:cs="Calibri"/>
          <w:b/>
          <w:sz w:val="18"/>
          <w:szCs w:val="14"/>
          <w:lang w:val="en-GB"/>
        </w:rPr>
      </w:pPr>
      <w:r w:rsidRPr="00263208">
        <w:rPr>
          <w:rFonts w:ascii="Verdana" w:hAnsi="Verdana" w:cs="Calibri"/>
          <w:b/>
          <w:sz w:val="18"/>
          <w:szCs w:val="14"/>
          <w:lang w:val="en-GB"/>
        </w:rPr>
        <w:t>Human Rights Due Diligence</w:t>
      </w:r>
    </w:p>
    <w:p w14:paraId="33F9B684" w14:textId="77777777" w:rsidR="00C15A3D" w:rsidRPr="00263208" w:rsidRDefault="00C15A3D" w:rsidP="00C15A3D">
      <w:pPr>
        <w:spacing w:after="200" w:line="276" w:lineRule="auto"/>
        <w:rPr>
          <w:rFonts w:ascii="Verdana" w:hAnsi="Verdana" w:cs="Calibri"/>
          <w:sz w:val="18"/>
          <w:szCs w:val="14"/>
          <w:lang w:val="en-GB"/>
        </w:rPr>
      </w:pPr>
      <w:r w:rsidRPr="00263208">
        <w:rPr>
          <w:rFonts w:ascii="Verdana" w:hAnsi="Verdana" w:cs="Calibri"/>
          <w:sz w:val="18"/>
          <w:szCs w:val="14"/>
          <w:lang w:val="en-GB"/>
        </w:rPr>
        <w:t xml:space="preserve">In accordance with the signatories’ agreement conditions, suppliers must actively monitor the above human rights risks including the risk of forced labour. </w:t>
      </w:r>
    </w:p>
    <w:p w14:paraId="0DDBA9FE" w14:textId="595CF5AD" w:rsidR="00C15A3D" w:rsidRPr="00263208" w:rsidRDefault="00C15A3D" w:rsidP="00C15A3D">
      <w:pPr>
        <w:spacing w:after="200" w:line="276" w:lineRule="auto"/>
        <w:rPr>
          <w:rFonts w:ascii="Verdana" w:hAnsi="Verdana" w:cs="Calibri"/>
          <w:sz w:val="18"/>
          <w:szCs w:val="14"/>
          <w:lang w:val="en-GB"/>
        </w:rPr>
      </w:pPr>
      <w:r w:rsidRPr="00263208">
        <w:rPr>
          <w:rFonts w:ascii="Verdana" w:hAnsi="Verdana" w:cs="Calibri"/>
          <w:sz w:val="18"/>
          <w:szCs w:val="14"/>
          <w:lang w:val="en-GB"/>
        </w:rPr>
        <w:t>While human rights due diligence best practices typically include having the ability to conduct independent onsite inspections and working with sub-suppliers to remediate forced and abusive labour practices, the repressive conditions in Xinjiang make it unlikely that suppliers will have the necessary access to sub-suppliers. Third-party audits may not be a credible source of information for the following reasons:</w:t>
      </w:r>
    </w:p>
    <w:p w14:paraId="3F15260D" w14:textId="65C7B174" w:rsidR="00C15A3D" w:rsidRPr="00263208" w:rsidRDefault="00C15A3D" w:rsidP="00C15A3D">
      <w:pPr>
        <w:pStyle w:val="Listenabsatz"/>
        <w:numPr>
          <w:ilvl w:val="0"/>
          <w:numId w:val="14"/>
        </w:numPr>
        <w:spacing w:after="200" w:line="276" w:lineRule="auto"/>
        <w:rPr>
          <w:rFonts w:ascii="Verdana" w:hAnsi="Verdana" w:cs="Calibri"/>
          <w:sz w:val="18"/>
          <w:szCs w:val="14"/>
          <w:lang w:val="en-GB"/>
        </w:rPr>
      </w:pPr>
      <w:r w:rsidRPr="00263208">
        <w:rPr>
          <w:rFonts w:ascii="Verdana" w:hAnsi="Verdana" w:cs="Calibri"/>
          <w:sz w:val="18"/>
          <w:szCs w:val="14"/>
          <w:lang w:val="en-GB"/>
        </w:rPr>
        <w:t>Auditors have reportedly been detained, harassed, threatened or stopped at the airport.</w:t>
      </w:r>
    </w:p>
    <w:p w14:paraId="38EFA8FA" w14:textId="77777777" w:rsidR="00C15A3D" w:rsidRPr="00263208" w:rsidRDefault="00C15A3D" w:rsidP="00C15A3D">
      <w:pPr>
        <w:pStyle w:val="Listenabsatz"/>
        <w:spacing w:after="200" w:line="276" w:lineRule="auto"/>
        <w:rPr>
          <w:rFonts w:ascii="Verdana" w:hAnsi="Verdana" w:cs="Calibri"/>
          <w:sz w:val="18"/>
          <w:szCs w:val="14"/>
          <w:lang w:val="en-GB"/>
        </w:rPr>
      </w:pPr>
    </w:p>
    <w:p w14:paraId="2961A414" w14:textId="3AF1B3EC" w:rsidR="00C15A3D" w:rsidRPr="00263208" w:rsidRDefault="00C15A3D" w:rsidP="00C15A3D">
      <w:pPr>
        <w:pStyle w:val="Listenabsatz"/>
        <w:numPr>
          <w:ilvl w:val="0"/>
          <w:numId w:val="14"/>
        </w:numPr>
        <w:spacing w:after="200" w:line="276" w:lineRule="auto"/>
        <w:rPr>
          <w:rFonts w:ascii="Verdana" w:hAnsi="Verdana" w:cs="Calibri"/>
          <w:sz w:val="18"/>
          <w:szCs w:val="14"/>
          <w:lang w:val="en-GB"/>
        </w:rPr>
      </w:pPr>
      <w:r w:rsidRPr="00263208">
        <w:rPr>
          <w:rFonts w:ascii="Verdana" w:hAnsi="Verdana" w:cs="Calibri"/>
          <w:sz w:val="18"/>
          <w:szCs w:val="14"/>
          <w:lang w:val="en-GB"/>
        </w:rPr>
        <w:t>Auditors may be required to use a government translator who conveys misinformation or does not speak in workers’ first language.</w:t>
      </w:r>
    </w:p>
    <w:p w14:paraId="58882D0D" w14:textId="77777777" w:rsidR="00C15A3D" w:rsidRPr="00263208" w:rsidRDefault="00C15A3D" w:rsidP="00C15A3D">
      <w:pPr>
        <w:pStyle w:val="Listenabsatz"/>
        <w:rPr>
          <w:rFonts w:ascii="Verdana" w:hAnsi="Verdana" w:cs="Calibri"/>
          <w:sz w:val="18"/>
          <w:szCs w:val="14"/>
          <w:lang w:val="en-GB"/>
        </w:rPr>
      </w:pPr>
    </w:p>
    <w:p w14:paraId="21E06790" w14:textId="70754A65" w:rsidR="00C15A3D" w:rsidRPr="00263208" w:rsidRDefault="00C15A3D" w:rsidP="00C15A3D">
      <w:pPr>
        <w:pStyle w:val="Listenabsatz"/>
        <w:numPr>
          <w:ilvl w:val="0"/>
          <w:numId w:val="14"/>
        </w:numPr>
        <w:spacing w:after="200" w:line="276" w:lineRule="auto"/>
        <w:rPr>
          <w:rFonts w:ascii="Verdana" w:hAnsi="Verdana" w:cs="Calibri"/>
          <w:sz w:val="18"/>
          <w:szCs w:val="14"/>
          <w:lang w:val="en-GB"/>
        </w:rPr>
      </w:pPr>
      <w:r w:rsidRPr="00263208">
        <w:rPr>
          <w:rFonts w:ascii="Verdana" w:hAnsi="Verdana" w:cs="Calibri"/>
          <w:sz w:val="18"/>
          <w:szCs w:val="14"/>
          <w:lang w:val="en-GB"/>
        </w:rPr>
        <w:t>Auditor interviews with workers cannot be relied upon given the pervasive surveillance and evidence of workers’ fear of sharing accurate information.</w:t>
      </w:r>
      <w:r w:rsidRPr="00263208">
        <w:rPr>
          <w:rStyle w:val="Endnotenzeichen"/>
          <w:rFonts w:ascii="Verdana" w:hAnsi="Verdana" w:cs="Calibri"/>
          <w:sz w:val="18"/>
          <w:szCs w:val="14"/>
          <w:lang w:val="en-GB"/>
        </w:rPr>
        <w:endnoteReference w:id="9"/>
      </w:r>
    </w:p>
    <w:p w14:paraId="38F1C00D" w14:textId="6CD873DD" w:rsidR="00C15A3D" w:rsidRPr="00263208" w:rsidRDefault="00C15A3D" w:rsidP="00C15A3D">
      <w:pPr>
        <w:spacing w:after="200" w:line="276" w:lineRule="auto"/>
        <w:rPr>
          <w:rFonts w:ascii="Verdana" w:hAnsi="Verdana" w:cs="Calibri"/>
          <w:sz w:val="18"/>
          <w:szCs w:val="14"/>
          <w:lang w:val="en-GB"/>
        </w:rPr>
      </w:pPr>
      <w:r w:rsidRPr="00263208">
        <w:rPr>
          <w:rFonts w:ascii="Verdana" w:hAnsi="Verdana" w:cs="Calibri"/>
          <w:sz w:val="18"/>
          <w:szCs w:val="14"/>
          <w:lang w:val="en-GB"/>
        </w:rPr>
        <w:t>If suppliers are not able to identify, prevent and mitigate human rights violations including forced labour, suppliers may need to end relationships with sub-suppliers in order to meet the corporate responsibility to respect human rights. Both the UN Guiding Principles on Business and Human Rights (Principle 19) and the OECD Due Diligence Guidance (3.2) note that businesses should end or disengage from business relationships where prevention or mitigation of harm is not possible by other means</w:t>
      </w:r>
      <w:r w:rsidR="001B2A28" w:rsidRPr="00263208">
        <w:rPr>
          <w:rFonts w:ascii="Verdana" w:hAnsi="Verdana" w:cs="Calibri"/>
          <w:sz w:val="18"/>
          <w:szCs w:val="14"/>
          <w:lang w:val="en-GB"/>
        </w:rPr>
        <w:t>,</w:t>
      </w:r>
      <w:r w:rsidR="001B2A28" w:rsidRPr="00263208">
        <w:rPr>
          <w:lang w:val="en-GB"/>
        </w:rPr>
        <w:t xml:space="preserve"> </w:t>
      </w:r>
      <w:r w:rsidR="001B2A28" w:rsidRPr="00263208">
        <w:rPr>
          <w:rFonts w:ascii="Verdana" w:hAnsi="Verdana" w:cs="Calibri"/>
          <w:sz w:val="18"/>
          <w:szCs w:val="14"/>
          <w:lang w:val="en-GB"/>
        </w:rPr>
        <w:t xml:space="preserve">while assessing </w:t>
      </w:r>
      <w:r w:rsidR="008924CD" w:rsidRPr="00263208">
        <w:rPr>
          <w:rFonts w:ascii="Verdana" w:hAnsi="Verdana" w:cs="Calibri"/>
          <w:sz w:val="18"/>
          <w:szCs w:val="14"/>
          <w:lang w:val="en-GB"/>
        </w:rPr>
        <w:t>potential adverse human rights impacts</w:t>
      </w:r>
      <w:r w:rsidR="001B2A28" w:rsidRPr="00263208">
        <w:rPr>
          <w:rFonts w:ascii="Verdana" w:hAnsi="Verdana" w:cs="Calibri"/>
          <w:sz w:val="18"/>
          <w:szCs w:val="14"/>
          <w:lang w:val="en-GB"/>
        </w:rPr>
        <w:t xml:space="preserve"> of doing so</w:t>
      </w:r>
      <w:r w:rsidRPr="00263208">
        <w:rPr>
          <w:rFonts w:ascii="Verdana" w:hAnsi="Verdana" w:cs="Calibri"/>
          <w:sz w:val="18"/>
          <w:szCs w:val="14"/>
          <w:lang w:val="en-GB"/>
        </w:rPr>
        <w:t>.</w:t>
      </w:r>
    </w:p>
    <w:p w14:paraId="2D618A2A" w14:textId="77777777" w:rsidR="00C15A3D" w:rsidRPr="00263208" w:rsidRDefault="00C15A3D" w:rsidP="00C15A3D">
      <w:pPr>
        <w:spacing w:after="200" w:line="276" w:lineRule="auto"/>
        <w:rPr>
          <w:rFonts w:ascii="Verdana" w:hAnsi="Verdana" w:cs="Calibri"/>
          <w:sz w:val="18"/>
          <w:szCs w:val="14"/>
          <w:lang w:val="en-GB"/>
        </w:rPr>
      </w:pPr>
    </w:p>
    <w:p w14:paraId="11FE4620" w14:textId="77777777" w:rsidR="00C15A3D" w:rsidRPr="00263208" w:rsidRDefault="00C15A3D" w:rsidP="00C15A3D">
      <w:pPr>
        <w:spacing w:after="200" w:line="276" w:lineRule="auto"/>
        <w:rPr>
          <w:rFonts w:ascii="Verdana" w:hAnsi="Verdana" w:cs="Calibri"/>
          <w:b/>
          <w:sz w:val="18"/>
          <w:szCs w:val="14"/>
          <w:lang w:val="en-GB"/>
        </w:rPr>
      </w:pPr>
      <w:r w:rsidRPr="00263208">
        <w:rPr>
          <w:rFonts w:ascii="Verdana" w:hAnsi="Verdana" w:cs="Calibri"/>
          <w:b/>
          <w:sz w:val="18"/>
          <w:szCs w:val="14"/>
          <w:lang w:val="en-GB"/>
        </w:rPr>
        <w:t>Required Actions</w:t>
      </w:r>
    </w:p>
    <w:p w14:paraId="62D4FD6F" w14:textId="548C26A5" w:rsidR="00C15A3D" w:rsidRPr="00263208" w:rsidRDefault="00C15A3D" w:rsidP="00C15A3D">
      <w:pPr>
        <w:pStyle w:val="Listenabsatz"/>
        <w:numPr>
          <w:ilvl w:val="0"/>
          <w:numId w:val="5"/>
        </w:numPr>
        <w:ind w:left="709"/>
        <w:rPr>
          <w:rFonts w:ascii="Verdana" w:hAnsi="Verdana" w:cs="Calibri"/>
          <w:sz w:val="18"/>
          <w:szCs w:val="14"/>
          <w:lang w:val="en-GB"/>
        </w:rPr>
      </w:pPr>
      <w:r w:rsidRPr="00263208">
        <w:rPr>
          <w:rFonts w:ascii="Verdana" w:hAnsi="Verdana" w:cs="Calibri"/>
          <w:sz w:val="18"/>
          <w:szCs w:val="14"/>
          <w:lang w:val="en-GB"/>
        </w:rPr>
        <w:t xml:space="preserve">In order to ensure compliance with the agreement conditions, suppliers must investigate whether forced labour of Uyghur and other Turkic and Muslim groups occurs in the supply chains of the signatories' </w:t>
      </w:r>
      <w:r w:rsidRPr="003B560E">
        <w:rPr>
          <w:rFonts w:ascii="Verdana" w:hAnsi="Verdana" w:cs="Calibri"/>
          <w:i/>
          <w:sz w:val="18"/>
          <w:szCs w:val="14"/>
          <w:lang w:val="en-GB"/>
        </w:rPr>
        <w:t>subject matters of procurement</w:t>
      </w:r>
      <w:r w:rsidRPr="00263208">
        <w:rPr>
          <w:rFonts w:ascii="Verdana" w:hAnsi="Verdana" w:cs="Calibri"/>
          <w:sz w:val="18"/>
          <w:szCs w:val="14"/>
          <w:lang w:val="en-GB"/>
        </w:rPr>
        <w:t xml:space="preserve">. The investigation </w:t>
      </w:r>
      <w:r w:rsidR="00C169A8" w:rsidRPr="00263208">
        <w:rPr>
          <w:rFonts w:ascii="Verdana" w:hAnsi="Verdana" w:cs="Calibri"/>
          <w:sz w:val="18"/>
          <w:szCs w:val="14"/>
          <w:lang w:val="en-GB"/>
        </w:rPr>
        <w:t>should</w:t>
      </w:r>
      <w:r w:rsidRPr="00263208">
        <w:rPr>
          <w:rFonts w:ascii="Verdana" w:hAnsi="Verdana" w:cs="Calibri"/>
          <w:sz w:val="18"/>
          <w:szCs w:val="14"/>
          <w:lang w:val="en-GB"/>
        </w:rPr>
        <w:t xml:space="preserve"> at least include:</w:t>
      </w:r>
    </w:p>
    <w:p w14:paraId="200B73ED" w14:textId="77777777" w:rsidR="00C15A3D" w:rsidRPr="00263208" w:rsidRDefault="00C15A3D" w:rsidP="00C15A3D">
      <w:pPr>
        <w:pStyle w:val="Listenabsatz"/>
        <w:ind w:left="709"/>
        <w:rPr>
          <w:rFonts w:ascii="Verdana" w:hAnsi="Verdana" w:cs="Calibri"/>
          <w:sz w:val="18"/>
          <w:szCs w:val="14"/>
          <w:lang w:val="en-GB"/>
        </w:rPr>
      </w:pPr>
    </w:p>
    <w:p w14:paraId="726B1473" w14:textId="77777777" w:rsidR="00C15A3D" w:rsidRPr="00263208" w:rsidRDefault="00C15A3D" w:rsidP="00C15A3D">
      <w:pPr>
        <w:pStyle w:val="Listenabsatz"/>
        <w:numPr>
          <w:ilvl w:val="0"/>
          <w:numId w:val="2"/>
        </w:numPr>
        <w:spacing w:after="200" w:line="276" w:lineRule="auto"/>
        <w:rPr>
          <w:rFonts w:ascii="Verdana" w:hAnsi="Verdana" w:cs="Calibri"/>
          <w:sz w:val="18"/>
          <w:szCs w:val="14"/>
          <w:lang w:val="en-GB"/>
        </w:rPr>
      </w:pPr>
      <w:r w:rsidRPr="00263208">
        <w:rPr>
          <w:rFonts w:ascii="Verdana" w:hAnsi="Verdana" w:cs="Calibri"/>
          <w:sz w:val="18"/>
          <w:szCs w:val="14"/>
          <w:lang w:val="en-GB"/>
        </w:rPr>
        <w:t>Manufacturers with production facilities located in Xinjiang.</w:t>
      </w:r>
    </w:p>
    <w:p w14:paraId="10FC7950" w14:textId="77777777" w:rsidR="00C15A3D" w:rsidRPr="00263208" w:rsidRDefault="00C15A3D" w:rsidP="00C15A3D">
      <w:pPr>
        <w:pStyle w:val="Listenabsatz"/>
        <w:spacing w:after="200" w:line="276" w:lineRule="auto"/>
        <w:ind w:left="1080"/>
        <w:rPr>
          <w:rFonts w:ascii="Verdana" w:hAnsi="Verdana" w:cs="Calibri"/>
          <w:sz w:val="18"/>
          <w:szCs w:val="14"/>
          <w:lang w:val="en-GB"/>
        </w:rPr>
      </w:pPr>
    </w:p>
    <w:p w14:paraId="40C6BD84" w14:textId="77777777" w:rsidR="00C15A3D" w:rsidRPr="00263208" w:rsidRDefault="00C15A3D" w:rsidP="00C15A3D">
      <w:pPr>
        <w:pStyle w:val="Listenabsatz"/>
        <w:numPr>
          <w:ilvl w:val="0"/>
          <w:numId w:val="2"/>
        </w:numPr>
        <w:spacing w:after="200" w:line="276" w:lineRule="auto"/>
        <w:rPr>
          <w:rFonts w:ascii="Verdana" w:hAnsi="Verdana" w:cs="Calibri"/>
          <w:sz w:val="18"/>
          <w:szCs w:val="14"/>
          <w:lang w:val="en-GB"/>
        </w:rPr>
      </w:pPr>
      <w:r w:rsidRPr="00263208">
        <w:rPr>
          <w:rFonts w:ascii="Verdana" w:hAnsi="Verdana" w:cs="Calibri"/>
          <w:sz w:val="18"/>
          <w:szCs w:val="14"/>
          <w:lang w:val="en-GB"/>
        </w:rPr>
        <w:t xml:space="preserve">Manufacturers that have employed, at a workplace outside Xinjiang, workers from Xinjiang who were sent by the government. </w:t>
      </w:r>
    </w:p>
    <w:p w14:paraId="2361476C" w14:textId="77777777" w:rsidR="00C15A3D" w:rsidRPr="00263208" w:rsidRDefault="00C15A3D" w:rsidP="00C15A3D">
      <w:pPr>
        <w:pStyle w:val="Listenabsatz"/>
        <w:rPr>
          <w:rFonts w:ascii="Verdana" w:hAnsi="Verdana" w:cs="Calibri"/>
          <w:sz w:val="18"/>
          <w:szCs w:val="14"/>
          <w:lang w:val="en-GB"/>
        </w:rPr>
      </w:pPr>
    </w:p>
    <w:p w14:paraId="65FDC53C" w14:textId="77777777" w:rsidR="00C15A3D" w:rsidRPr="00263208" w:rsidRDefault="00C15A3D" w:rsidP="00C15A3D">
      <w:pPr>
        <w:pStyle w:val="Listenabsatz"/>
        <w:numPr>
          <w:ilvl w:val="0"/>
          <w:numId w:val="2"/>
        </w:numPr>
        <w:spacing w:after="200" w:line="276" w:lineRule="auto"/>
        <w:rPr>
          <w:rFonts w:ascii="Verdana" w:hAnsi="Verdana" w:cs="Calibri"/>
          <w:sz w:val="18"/>
          <w:szCs w:val="14"/>
          <w:lang w:val="en-GB"/>
        </w:rPr>
      </w:pPr>
      <w:r w:rsidRPr="00263208">
        <w:rPr>
          <w:rFonts w:ascii="Verdana" w:hAnsi="Verdana" w:cs="Calibri"/>
          <w:sz w:val="18"/>
          <w:szCs w:val="14"/>
          <w:lang w:val="en-GB"/>
        </w:rPr>
        <w:t>Manufacturers that source inputs produced in Xinjiang, such as but not limited to fabric, yarn or cotton.</w:t>
      </w:r>
    </w:p>
    <w:p w14:paraId="1E693071" w14:textId="77777777" w:rsidR="00C15A3D" w:rsidRPr="00263208" w:rsidRDefault="00C15A3D" w:rsidP="00997472">
      <w:pPr>
        <w:spacing w:after="200" w:line="276" w:lineRule="auto"/>
        <w:ind w:firstLine="720"/>
        <w:rPr>
          <w:rFonts w:ascii="Verdana" w:hAnsi="Verdana" w:cs="Calibri"/>
          <w:sz w:val="18"/>
          <w:szCs w:val="14"/>
          <w:lang w:val="en-GB"/>
        </w:rPr>
      </w:pPr>
    </w:p>
    <w:p w14:paraId="44742FD3" w14:textId="09A9975A" w:rsidR="00C15A3D" w:rsidRPr="00263208" w:rsidRDefault="00C15A3D" w:rsidP="00C15A3D">
      <w:pPr>
        <w:pStyle w:val="Listenabsatz"/>
        <w:numPr>
          <w:ilvl w:val="0"/>
          <w:numId w:val="5"/>
        </w:numPr>
        <w:spacing w:after="200" w:line="276" w:lineRule="auto"/>
        <w:ind w:left="709"/>
        <w:rPr>
          <w:rFonts w:ascii="Verdana" w:hAnsi="Verdana" w:cs="Calibri"/>
          <w:sz w:val="18"/>
          <w:szCs w:val="14"/>
          <w:lang w:val="en-GB"/>
        </w:rPr>
      </w:pPr>
      <w:r w:rsidRPr="00263208">
        <w:rPr>
          <w:rFonts w:ascii="Verdana" w:hAnsi="Verdana" w:cs="Calibri"/>
          <w:sz w:val="18"/>
          <w:szCs w:val="14"/>
          <w:lang w:val="en-GB"/>
        </w:rPr>
        <w:t xml:space="preserve">Upon identification of any of the business relationships enumerated above, suppliers </w:t>
      </w:r>
      <w:r w:rsidR="00E03A10" w:rsidRPr="00263208">
        <w:rPr>
          <w:rFonts w:ascii="Verdana" w:hAnsi="Verdana" w:cs="Calibri"/>
          <w:sz w:val="18"/>
          <w:szCs w:val="14"/>
          <w:lang w:val="en-GB"/>
        </w:rPr>
        <w:t xml:space="preserve">should </w:t>
      </w:r>
      <w:r w:rsidRPr="00263208">
        <w:rPr>
          <w:rFonts w:ascii="Verdana" w:hAnsi="Verdana" w:cs="Calibri"/>
          <w:sz w:val="18"/>
          <w:szCs w:val="14"/>
          <w:lang w:val="en-GB"/>
        </w:rPr>
        <w:t xml:space="preserve">operate on the assumption that its supply chain is linked to the forced labour of Uyghur and other Turkic and Muslim groups, and take the following actions in accordance with </w:t>
      </w:r>
      <w:r w:rsidR="003B2ABA" w:rsidRPr="00263208">
        <w:rPr>
          <w:rFonts w:ascii="Verdana" w:hAnsi="Verdana" w:cs="Calibri"/>
          <w:sz w:val="18"/>
          <w:szCs w:val="14"/>
          <w:lang w:val="en-GB"/>
        </w:rPr>
        <w:t>international best practice</w:t>
      </w:r>
      <w:r w:rsidRPr="00263208">
        <w:rPr>
          <w:rFonts w:ascii="Verdana" w:hAnsi="Verdana" w:cs="Calibri"/>
          <w:sz w:val="18"/>
          <w:szCs w:val="14"/>
          <w:lang w:val="en-GB"/>
        </w:rPr>
        <w:t>:</w:t>
      </w:r>
    </w:p>
    <w:p w14:paraId="385B8426" w14:textId="77777777" w:rsidR="00C15A3D" w:rsidRPr="00263208" w:rsidRDefault="00C15A3D" w:rsidP="00C15A3D">
      <w:pPr>
        <w:pStyle w:val="Listenabsatz"/>
        <w:spacing w:after="200" w:line="276" w:lineRule="auto"/>
        <w:rPr>
          <w:rFonts w:ascii="Verdana" w:hAnsi="Verdana" w:cs="Calibri"/>
          <w:sz w:val="18"/>
          <w:szCs w:val="14"/>
          <w:lang w:val="en-GB"/>
        </w:rPr>
      </w:pPr>
    </w:p>
    <w:p w14:paraId="29E97F1F" w14:textId="77777777" w:rsidR="00C15A3D" w:rsidRPr="00263208" w:rsidRDefault="00C15A3D" w:rsidP="00C15A3D">
      <w:pPr>
        <w:pStyle w:val="Listenabsatz"/>
        <w:numPr>
          <w:ilvl w:val="0"/>
          <w:numId w:val="3"/>
        </w:numPr>
        <w:spacing w:after="200" w:line="276" w:lineRule="auto"/>
        <w:rPr>
          <w:rFonts w:ascii="Verdana" w:hAnsi="Verdana" w:cs="Calibri"/>
          <w:sz w:val="18"/>
          <w:szCs w:val="14"/>
          <w:lang w:val="en-GB"/>
        </w:rPr>
      </w:pPr>
      <w:r w:rsidRPr="00263208">
        <w:rPr>
          <w:rFonts w:ascii="Verdana" w:hAnsi="Verdana" w:cs="Calibri"/>
          <w:sz w:val="18"/>
          <w:szCs w:val="14"/>
          <w:lang w:val="en-GB"/>
        </w:rPr>
        <w:t xml:space="preserve">Disengage from manufacturers with production facilities located in Xinjiang, unless there is credible evidence that the manufacturer is </w:t>
      </w:r>
      <w:r w:rsidRPr="00263208">
        <w:rPr>
          <w:rFonts w:ascii="Verdana" w:hAnsi="Verdana" w:cs="Calibri"/>
          <w:i/>
          <w:sz w:val="18"/>
          <w:szCs w:val="14"/>
          <w:lang w:val="en-GB"/>
        </w:rPr>
        <w:t>not</w:t>
      </w:r>
      <w:r w:rsidRPr="00263208">
        <w:rPr>
          <w:rFonts w:ascii="Verdana" w:hAnsi="Verdana" w:cs="Calibri"/>
          <w:sz w:val="18"/>
          <w:szCs w:val="14"/>
          <w:lang w:val="en-GB"/>
        </w:rPr>
        <w:t xml:space="preserve"> complicit in human rights violations including forced labour. </w:t>
      </w:r>
    </w:p>
    <w:p w14:paraId="7DBE8F84" w14:textId="77777777" w:rsidR="00C15A3D" w:rsidRPr="00263208" w:rsidRDefault="00C15A3D" w:rsidP="00C15A3D">
      <w:pPr>
        <w:pStyle w:val="Listenabsatz"/>
        <w:spacing w:after="200" w:line="276" w:lineRule="auto"/>
        <w:ind w:left="1080"/>
        <w:rPr>
          <w:rFonts w:ascii="Verdana" w:hAnsi="Verdana" w:cs="Calibri"/>
          <w:sz w:val="18"/>
          <w:szCs w:val="14"/>
          <w:lang w:val="en-GB"/>
        </w:rPr>
      </w:pPr>
    </w:p>
    <w:p w14:paraId="1294B131" w14:textId="77777777" w:rsidR="00C15A3D" w:rsidRPr="00263208" w:rsidRDefault="00C15A3D" w:rsidP="00C15A3D">
      <w:pPr>
        <w:pStyle w:val="Listenabsatz"/>
        <w:numPr>
          <w:ilvl w:val="0"/>
          <w:numId w:val="3"/>
        </w:numPr>
        <w:spacing w:after="200" w:line="276" w:lineRule="auto"/>
        <w:rPr>
          <w:rFonts w:ascii="Verdana" w:hAnsi="Verdana" w:cs="Calibri"/>
          <w:sz w:val="18"/>
          <w:szCs w:val="14"/>
          <w:lang w:val="en-GB"/>
        </w:rPr>
      </w:pPr>
      <w:r w:rsidRPr="00263208">
        <w:rPr>
          <w:rFonts w:ascii="Verdana" w:hAnsi="Verdana" w:cs="Calibri"/>
          <w:sz w:val="18"/>
          <w:szCs w:val="14"/>
          <w:lang w:val="en-GB"/>
        </w:rPr>
        <w:t xml:space="preserve">Disengage from manufacturers whereby there is credible evidence that the manufacturer has employed, at a workplace outside Xinjiang, workers from Xinjiang </w:t>
      </w:r>
      <w:r w:rsidRPr="00263208">
        <w:rPr>
          <w:rFonts w:ascii="Verdana" w:hAnsi="Verdana" w:cs="Calibri"/>
          <w:sz w:val="18"/>
          <w:szCs w:val="18"/>
          <w:lang w:val="en-GB"/>
        </w:rPr>
        <w:t>who were sent by the government.</w:t>
      </w:r>
    </w:p>
    <w:p w14:paraId="6D5E708D" w14:textId="77777777" w:rsidR="00C15A3D" w:rsidRPr="00263208" w:rsidRDefault="00C15A3D" w:rsidP="00C15A3D">
      <w:pPr>
        <w:pStyle w:val="Listenabsatz"/>
        <w:rPr>
          <w:rFonts w:ascii="Verdana" w:hAnsi="Verdana" w:cs="Calibri"/>
          <w:sz w:val="18"/>
          <w:szCs w:val="14"/>
          <w:lang w:val="en-GB"/>
        </w:rPr>
      </w:pPr>
    </w:p>
    <w:p w14:paraId="5B10C390" w14:textId="638E7CD1" w:rsidR="00C15A3D" w:rsidRPr="00263208" w:rsidRDefault="00C15A3D" w:rsidP="00C15A3D">
      <w:pPr>
        <w:pStyle w:val="Listenabsatz"/>
        <w:numPr>
          <w:ilvl w:val="0"/>
          <w:numId w:val="3"/>
        </w:numPr>
        <w:spacing w:after="200" w:line="276" w:lineRule="auto"/>
        <w:rPr>
          <w:rFonts w:ascii="Verdana" w:hAnsi="Verdana" w:cs="Calibri"/>
          <w:sz w:val="18"/>
          <w:szCs w:val="14"/>
          <w:lang w:val="en-GB"/>
        </w:rPr>
      </w:pPr>
      <w:bookmarkStart w:id="0" w:name="OLE_LINK3"/>
      <w:r w:rsidRPr="00263208">
        <w:rPr>
          <w:rFonts w:ascii="Verdana" w:hAnsi="Verdana" w:cs="Calibri"/>
          <w:sz w:val="18"/>
          <w:szCs w:val="14"/>
          <w:lang w:val="en-GB"/>
        </w:rPr>
        <w:t xml:space="preserve">Instruct all manufacturers to end all sourcing of inputs produced in Xinjiang for the signatories’ products, such as but not limited to fabric, yarn or cotton, unless there is credible evidence that the input-supplier is </w:t>
      </w:r>
      <w:r w:rsidRPr="00263208">
        <w:rPr>
          <w:rFonts w:ascii="Verdana" w:hAnsi="Verdana" w:cs="Calibri"/>
          <w:i/>
          <w:sz w:val="18"/>
          <w:szCs w:val="14"/>
          <w:lang w:val="en-GB"/>
        </w:rPr>
        <w:t>not</w:t>
      </w:r>
      <w:r w:rsidRPr="00263208">
        <w:rPr>
          <w:rFonts w:ascii="Verdana" w:hAnsi="Verdana" w:cs="Calibri"/>
          <w:sz w:val="18"/>
          <w:szCs w:val="14"/>
          <w:lang w:val="en-GB"/>
        </w:rPr>
        <w:t xml:space="preserve"> complicit in human rights violations including forced labour</w:t>
      </w:r>
      <w:bookmarkEnd w:id="0"/>
      <w:r w:rsidRPr="00263208">
        <w:rPr>
          <w:rFonts w:ascii="Verdana" w:hAnsi="Verdana" w:cs="Calibri"/>
          <w:sz w:val="18"/>
          <w:szCs w:val="14"/>
          <w:lang w:val="en-GB"/>
        </w:rPr>
        <w:t xml:space="preserve">. If a manufacturer does not agree to take these </w:t>
      </w:r>
      <w:proofErr w:type="gramStart"/>
      <w:r w:rsidRPr="00263208">
        <w:rPr>
          <w:rFonts w:ascii="Verdana" w:hAnsi="Verdana" w:cs="Calibri"/>
          <w:sz w:val="18"/>
          <w:szCs w:val="14"/>
          <w:lang w:val="en-GB"/>
        </w:rPr>
        <w:t xml:space="preserve">steps, </w:t>
      </w:r>
      <w:r w:rsidR="00AE6208" w:rsidRPr="00263208">
        <w:rPr>
          <w:rFonts w:ascii="Verdana" w:hAnsi="Verdana" w:cs="Calibri"/>
          <w:sz w:val="18"/>
          <w:szCs w:val="14"/>
          <w:lang w:val="en-GB"/>
        </w:rPr>
        <w:t>or</w:t>
      </w:r>
      <w:proofErr w:type="gramEnd"/>
      <w:r w:rsidR="00AE6208" w:rsidRPr="00263208">
        <w:rPr>
          <w:rFonts w:ascii="Verdana" w:hAnsi="Verdana" w:cs="Calibri"/>
          <w:sz w:val="18"/>
          <w:szCs w:val="14"/>
          <w:lang w:val="en-GB"/>
        </w:rPr>
        <w:t xml:space="preserve"> </w:t>
      </w:r>
      <w:r w:rsidRPr="00263208">
        <w:rPr>
          <w:rFonts w:ascii="Verdana" w:hAnsi="Verdana" w:cs="Calibri"/>
          <w:sz w:val="18"/>
          <w:szCs w:val="14"/>
          <w:lang w:val="en-GB"/>
        </w:rPr>
        <w:t xml:space="preserve">does not provide proof that it has done so, disengage from the manufacturer. </w:t>
      </w:r>
    </w:p>
    <w:p w14:paraId="2D2B4C59" w14:textId="77777777" w:rsidR="00C15A3D" w:rsidRPr="00263208" w:rsidRDefault="00C15A3D" w:rsidP="00C15A3D">
      <w:pPr>
        <w:pStyle w:val="Listenabsatz"/>
        <w:spacing w:after="200" w:line="276" w:lineRule="auto"/>
        <w:ind w:left="1080"/>
        <w:rPr>
          <w:rFonts w:ascii="Verdana" w:hAnsi="Verdana" w:cs="Calibri"/>
          <w:sz w:val="18"/>
          <w:szCs w:val="14"/>
          <w:lang w:val="en-GB"/>
        </w:rPr>
      </w:pPr>
    </w:p>
    <w:p w14:paraId="711CAE6C" w14:textId="23A52023" w:rsidR="00C15A3D" w:rsidRPr="00263208" w:rsidRDefault="00C15A3D" w:rsidP="00E10B3C">
      <w:pPr>
        <w:pStyle w:val="Listenabsatz"/>
        <w:numPr>
          <w:ilvl w:val="0"/>
          <w:numId w:val="3"/>
        </w:numPr>
        <w:spacing w:after="200" w:line="276" w:lineRule="auto"/>
        <w:rPr>
          <w:rFonts w:ascii="Verdana" w:hAnsi="Verdana" w:cs="Calibri"/>
          <w:sz w:val="18"/>
          <w:szCs w:val="14"/>
          <w:lang w:val="en-US"/>
        </w:rPr>
      </w:pPr>
      <w:r w:rsidRPr="00263208">
        <w:rPr>
          <w:rFonts w:ascii="Verdana" w:hAnsi="Verdana" w:cs="Calibri"/>
          <w:sz w:val="18"/>
          <w:szCs w:val="14"/>
          <w:lang w:val="en-GB"/>
        </w:rPr>
        <w:t xml:space="preserve">Suppliers to the signatories may refrain from ending the relationships in a), b) and c) if the manufacturer or input-supplier stops the use of forced labour and remediation is provided. Suppliers shall also </w:t>
      </w:r>
      <w:bookmarkStart w:id="1" w:name="OLE_LINK1"/>
      <w:r w:rsidRPr="00263208">
        <w:rPr>
          <w:rFonts w:ascii="Verdana" w:hAnsi="Verdana" w:cs="Calibri"/>
          <w:sz w:val="18"/>
          <w:szCs w:val="14"/>
          <w:lang w:val="en-GB"/>
        </w:rPr>
        <w:t xml:space="preserve">direct all manufacturers not to use </w:t>
      </w:r>
      <w:r w:rsidR="00263208">
        <w:rPr>
          <w:rFonts w:ascii="Verdana" w:hAnsi="Verdana" w:cs="Calibri"/>
          <w:sz w:val="18"/>
          <w:szCs w:val="14"/>
          <w:lang w:val="en-GB"/>
        </w:rPr>
        <w:t xml:space="preserve">government-provided </w:t>
      </w:r>
      <w:proofErr w:type="spellStart"/>
      <w:r w:rsidR="003B560E">
        <w:rPr>
          <w:rFonts w:ascii="Verdana" w:hAnsi="Verdana" w:cs="Calibri"/>
          <w:sz w:val="18"/>
          <w:szCs w:val="14"/>
          <w:lang w:val="en-US"/>
        </w:rPr>
        <w:t>labour</w:t>
      </w:r>
      <w:proofErr w:type="spellEnd"/>
      <w:r w:rsidR="00E10B3C" w:rsidRPr="00263208">
        <w:rPr>
          <w:rFonts w:ascii="Verdana" w:hAnsi="Verdana" w:cs="Calibri"/>
          <w:sz w:val="18"/>
          <w:szCs w:val="14"/>
          <w:lang w:val="en-US"/>
        </w:rPr>
        <w:t xml:space="preserve"> from Xinjiang </w:t>
      </w:r>
      <w:r w:rsidRPr="00263208">
        <w:rPr>
          <w:rFonts w:ascii="Verdana" w:hAnsi="Verdana" w:cs="Calibri"/>
          <w:sz w:val="18"/>
          <w:szCs w:val="14"/>
          <w:lang w:val="en-US"/>
        </w:rPr>
        <w:t xml:space="preserve">for the production of the signatories’ products </w:t>
      </w:r>
      <w:bookmarkEnd w:id="1"/>
      <w:r w:rsidRPr="00263208">
        <w:rPr>
          <w:rFonts w:ascii="Verdana" w:hAnsi="Verdana" w:cs="Calibri"/>
          <w:sz w:val="18"/>
          <w:szCs w:val="14"/>
          <w:lang w:val="en-US"/>
        </w:rPr>
        <w:t xml:space="preserve">and shall </w:t>
      </w:r>
      <w:bookmarkStart w:id="2" w:name="OLE_LINK2"/>
      <w:r w:rsidRPr="00263208">
        <w:rPr>
          <w:rFonts w:ascii="Verdana" w:hAnsi="Verdana" w:cs="Calibri"/>
          <w:sz w:val="18"/>
          <w:szCs w:val="14"/>
          <w:lang w:val="en-US"/>
        </w:rPr>
        <w:t xml:space="preserve">conduct verification of facilities used for the manufacture of the products via credible methods developed to detect this </w:t>
      </w:r>
      <w:r w:rsidR="00AD2C44" w:rsidRPr="00263208">
        <w:rPr>
          <w:rFonts w:ascii="Verdana" w:hAnsi="Verdana" w:cs="Calibri"/>
          <w:sz w:val="18"/>
          <w:szCs w:val="14"/>
          <w:lang w:val="en-US"/>
        </w:rPr>
        <w:t xml:space="preserve">specific </w:t>
      </w:r>
      <w:r w:rsidRPr="00263208">
        <w:rPr>
          <w:rFonts w:ascii="Verdana" w:hAnsi="Verdana" w:cs="Calibri"/>
          <w:sz w:val="18"/>
          <w:szCs w:val="14"/>
          <w:lang w:val="en-US"/>
        </w:rPr>
        <w:t xml:space="preserve">type of state-imposed forced </w:t>
      </w:r>
      <w:proofErr w:type="spellStart"/>
      <w:r w:rsidRPr="00263208">
        <w:rPr>
          <w:rFonts w:ascii="Verdana" w:hAnsi="Verdana" w:cs="Calibri"/>
          <w:sz w:val="18"/>
          <w:szCs w:val="14"/>
          <w:lang w:val="en-US"/>
        </w:rPr>
        <w:t>labour</w:t>
      </w:r>
      <w:proofErr w:type="spellEnd"/>
      <w:r w:rsidRPr="00263208">
        <w:rPr>
          <w:rFonts w:ascii="Verdana" w:hAnsi="Verdana" w:cs="Calibri"/>
          <w:sz w:val="18"/>
          <w:szCs w:val="14"/>
          <w:lang w:val="en-US"/>
        </w:rPr>
        <w:t xml:space="preserve">. </w:t>
      </w:r>
      <w:r w:rsidR="00AD2C44" w:rsidRPr="00263208">
        <w:rPr>
          <w:rFonts w:ascii="Verdana" w:hAnsi="Verdana" w:cs="Calibri"/>
          <w:sz w:val="18"/>
          <w:szCs w:val="14"/>
          <w:lang w:val="en-US"/>
        </w:rPr>
        <w:t>See Annex 1 for relevant indicators.</w:t>
      </w:r>
    </w:p>
    <w:bookmarkEnd w:id="2"/>
    <w:p w14:paraId="10E5709B" w14:textId="77777777" w:rsidR="00EE68A8" w:rsidRPr="00263208" w:rsidRDefault="00EE68A8" w:rsidP="00EE68A8">
      <w:pPr>
        <w:pStyle w:val="Listenabsatz"/>
        <w:rPr>
          <w:rFonts w:ascii="Verdana" w:hAnsi="Verdana" w:cs="Calibri"/>
          <w:sz w:val="18"/>
          <w:szCs w:val="14"/>
          <w:lang w:val="en-US"/>
        </w:rPr>
      </w:pPr>
    </w:p>
    <w:p w14:paraId="6E08809F" w14:textId="49C63F36" w:rsidR="00EE68A8" w:rsidRPr="00263208" w:rsidRDefault="00EE68A8" w:rsidP="00EE68A8">
      <w:pPr>
        <w:pStyle w:val="Listenabsatz"/>
        <w:numPr>
          <w:ilvl w:val="0"/>
          <w:numId w:val="3"/>
        </w:numPr>
        <w:spacing w:after="200" w:line="276" w:lineRule="auto"/>
        <w:rPr>
          <w:rFonts w:ascii="Verdana" w:hAnsi="Verdana" w:cs="Calibri"/>
          <w:sz w:val="18"/>
          <w:szCs w:val="14"/>
          <w:lang w:val="en-GB"/>
        </w:rPr>
      </w:pPr>
      <w:r w:rsidRPr="00263208">
        <w:rPr>
          <w:rFonts w:ascii="Verdana" w:hAnsi="Verdana" w:cs="Calibri"/>
          <w:sz w:val="18"/>
          <w:szCs w:val="14"/>
          <w:lang w:val="en-US"/>
        </w:rPr>
        <w:t xml:space="preserve">Suppliers to the signatories may also refrain from ending the relationships in a), b) and c) if the manufacturer or input-supplier is a </w:t>
      </w:r>
      <w:r w:rsidRPr="00263208">
        <w:rPr>
          <w:rFonts w:ascii="Verdana" w:hAnsi="Verdana" w:cs="Calibri"/>
          <w:i/>
          <w:sz w:val="18"/>
          <w:szCs w:val="14"/>
          <w:lang w:val="en-US"/>
        </w:rPr>
        <w:t>crucial business relationship</w:t>
      </w:r>
      <w:r w:rsidRPr="00263208">
        <w:rPr>
          <w:rFonts w:ascii="Verdana" w:hAnsi="Verdana" w:cs="Calibri"/>
          <w:sz w:val="18"/>
          <w:szCs w:val="14"/>
          <w:lang w:val="en-US"/>
        </w:rPr>
        <w:t xml:space="preserve">. A relationship could be deemed crucial if it provides a product or service that is essential to the supplier’s business, and for which no reasonable alternative source exists. </w:t>
      </w:r>
    </w:p>
    <w:p w14:paraId="745C58FF" w14:textId="77777777" w:rsidR="00C15A3D" w:rsidRPr="00263208" w:rsidRDefault="00C15A3D" w:rsidP="00C15A3D">
      <w:pPr>
        <w:pStyle w:val="Listenabsatz"/>
        <w:spacing w:after="200" w:line="276" w:lineRule="auto"/>
        <w:ind w:left="1080"/>
        <w:rPr>
          <w:rFonts w:ascii="Verdana" w:hAnsi="Verdana" w:cs="Calibri"/>
          <w:sz w:val="18"/>
          <w:szCs w:val="14"/>
          <w:lang w:val="en-GB"/>
        </w:rPr>
      </w:pPr>
    </w:p>
    <w:p w14:paraId="15CF20E8" w14:textId="678F40DC" w:rsidR="00C15A3D" w:rsidRPr="00263208" w:rsidRDefault="00C15A3D" w:rsidP="008924CD">
      <w:pPr>
        <w:pStyle w:val="Listenabsatz"/>
        <w:numPr>
          <w:ilvl w:val="0"/>
          <w:numId w:val="3"/>
        </w:numPr>
        <w:rPr>
          <w:rFonts w:ascii="Verdana" w:hAnsi="Verdana" w:cs="Calibri"/>
          <w:sz w:val="18"/>
          <w:szCs w:val="14"/>
          <w:lang w:val="en-GB"/>
        </w:rPr>
      </w:pPr>
      <w:r w:rsidRPr="00263208">
        <w:rPr>
          <w:rFonts w:ascii="Verdana" w:hAnsi="Verdana" w:cs="Calibri"/>
          <w:sz w:val="18"/>
          <w:szCs w:val="14"/>
          <w:lang w:val="en-GB"/>
        </w:rPr>
        <w:t xml:space="preserve">Where exit of relationships is </w:t>
      </w:r>
      <w:r w:rsidR="00AD2C44" w:rsidRPr="00263208">
        <w:rPr>
          <w:rFonts w:ascii="Verdana" w:hAnsi="Verdana" w:cs="Calibri"/>
          <w:sz w:val="18"/>
          <w:szCs w:val="14"/>
          <w:lang w:val="en-GB"/>
        </w:rPr>
        <w:t>deemed necessary</w:t>
      </w:r>
      <w:r w:rsidRPr="00263208">
        <w:rPr>
          <w:rFonts w:ascii="Verdana" w:hAnsi="Verdana" w:cs="Calibri"/>
          <w:sz w:val="18"/>
          <w:szCs w:val="14"/>
          <w:lang w:val="en-GB"/>
        </w:rPr>
        <w:t xml:space="preserve">, suppliers shall </w:t>
      </w:r>
      <w:r w:rsidR="008924CD" w:rsidRPr="00263208">
        <w:rPr>
          <w:rFonts w:ascii="Verdana" w:hAnsi="Verdana" w:cs="Calibri"/>
          <w:sz w:val="18"/>
          <w:szCs w:val="14"/>
          <w:lang w:val="en-GB"/>
        </w:rPr>
        <w:t xml:space="preserve">assess potential adverse human rights impacts of </w:t>
      </w:r>
      <w:r w:rsidR="00AF6CF6" w:rsidRPr="00263208">
        <w:rPr>
          <w:rFonts w:ascii="Verdana" w:hAnsi="Verdana" w:cs="Calibri"/>
          <w:sz w:val="18"/>
          <w:szCs w:val="14"/>
          <w:lang w:val="en-GB"/>
        </w:rPr>
        <w:t>exiting</w:t>
      </w:r>
      <w:r w:rsidRPr="00263208">
        <w:rPr>
          <w:rFonts w:ascii="Verdana" w:hAnsi="Verdana" w:cs="Calibri"/>
          <w:sz w:val="18"/>
          <w:szCs w:val="14"/>
          <w:lang w:val="en-GB"/>
        </w:rPr>
        <w:t xml:space="preserve">. </w:t>
      </w:r>
    </w:p>
    <w:p w14:paraId="462E17E8" w14:textId="77777777" w:rsidR="00C15A3D" w:rsidRPr="004845A3" w:rsidRDefault="00C15A3D" w:rsidP="00C15A3D">
      <w:pPr>
        <w:pStyle w:val="Listenabsatz"/>
        <w:rPr>
          <w:rFonts w:ascii="Verdana" w:hAnsi="Verdana" w:cs="Calibri"/>
          <w:sz w:val="18"/>
          <w:szCs w:val="14"/>
          <w:lang w:val="en-GB"/>
        </w:rPr>
      </w:pPr>
    </w:p>
    <w:p w14:paraId="57DA41F9" w14:textId="77777777" w:rsidR="00C15A3D" w:rsidRPr="004845A3" w:rsidRDefault="00C15A3D" w:rsidP="00C15A3D">
      <w:pPr>
        <w:pStyle w:val="Listenabsatz"/>
        <w:rPr>
          <w:rFonts w:ascii="Verdana" w:hAnsi="Verdana" w:cs="Calibri"/>
          <w:sz w:val="18"/>
          <w:szCs w:val="14"/>
          <w:lang w:val="en-GB"/>
        </w:rPr>
      </w:pPr>
    </w:p>
    <w:p w14:paraId="5D5751A3" w14:textId="15D50DD1" w:rsidR="004845A3" w:rsidRDefault="00C15A3D" w:rsidP="004845A3">
      <w:pPr>
        <w:pStyle w:val="Listenabsatz"/>
        <w:numPr>
          <w:ilvl w:val="0"/>
          <w:numId w:val="5"/>
        </w:numPr>
        <w:ind w:left="709"/>
        <w:rPr>
          <w:rFonts w:ascii="Verdana" w:hAnsi="Verdana" w:cs="Calibri"/>
          <w:sz w:val="18"/>
          <w:szCs w:val="14"/>
          <w:lang w:val="en-GB"/>
        </w:rPr>
      </w:pPr>
      <w:r w:rsidRPr="004845A3">
        <w:rPr>
          <w:rFonts w:ascii="Verdana" w:hAnsi="Verdana" w:cs="Calibri"/>
          <w:sz w:val="18"/>
          <w:szCs w:val="14"/>
          <w:lang w:val="en-GB"/>
        </w:rPr>
        <w:t xml:space="preserve">Suppliers shall </w:t>
      </w:r>
      <w:r w:rsidR="00AE1348" w:rsidRPr="004845A3">
        <w:rPr>
          <w:rFonts w:ascii="Verdana" w:hAnsi="Verdana" w:cs="Calibri"/>
          <w:sz w:val="18"/>
          <w:szCs w:val="14"/>
          <w:lang w:val="en-GB"/>
        </w:rPr>
        <w:t xml:space="preserve">report </w:t>
      </w:r>
      <w:r w:rsidRPr="004845A3">
        <w:rPr>
          <w:rFonts w:ascii="Verdana" w:hAnsi="Verdana" w:cs="Calibri"/>
          <w:sz w:val="18"/>
          <w:szCs w:val="14"/>
          <w:lang w:val="en-GB"/>
        </w:rPr>
        <w:t>[monthly/quarterly/six-monthly/</w:t>
      </w:r>
      <w:proofErr w:type="gramStart"/>
      <w:r w:rsidRPr="004845A3">
        <w:rPr>
          <w:rFonts w:ascii="Verdana" w:hAnsi="Verdana" w:cs="Calibri"/>
          <w:sz w:val="18"/>
          <w:szCs w:val="14"/>
          <w:lang w:val="en-GB"/>
        </w:rPr>
        <w:t xml:space="preserve">yearly] </w:t>
      </w:r>
      <w:r w:rsidR="00263208" w:rsidRPr="004845A3">
        <w:rPr>
          <w:rFonts w:ascii="Verdana" w:hAnsi="Verdana" w:cs="Calibri"/>
          <w:sz w:val="18"/>
          <w:szCs w:val="14"/>
          <w:lang w:val="en-GB"/>
        </w:rPr>
        <w:t xml:space="preserve"> to</w:t>
      </w:r>
      <w:proofErr w:type="gramEnd"/>
      <w:r w:rsidR="00263208" w:rsidRPr="004845A3">
        <w:rPr>
          <w:rFonts w:ascii="Verdana" w:hAnsi="Verdana" w:cs="Calibri"/>
          <w:sz w:val="18"/>
          <w:szCs w:val="14"/>
          <w:lang w:val="en-GB"/>
        </w:rPr>
        <w:t xml:space="preserve"> the signatories’ contact point</w:t>
      </w:r>
      <w:r w:rsidRPr="004845A3">
        <w:rPr>
          <w:rFonts w:ascii="Verdana" w:hAnsi="Verdana" w:cs="Calibri"/>
          <w:sz w:val="18"/>
          <w:szCs w:val="14"/>
          <w:lang w:val="en-GB"/>
        </w:rPr>
        <w:t xml:space="preserve"> </w:t>
      </w:r>
      <w:r w:rsidR="00263208" w:rsidRPr="004845A3">
        <w:rPr>
          <w:rFonts w:ascii="Verdana" w:hAnsi="Verdana" w:cs="Calibri"/>
          <w:sz w:val="18"/>
          <w:szCs w:val="14"/>
          <w:lang w:val="en-GB"/>
        </w:rPr>
        <w:t>in accordance with the attached “Template for follow-up in China”</w:t>
      </w:r>
      <w:r w:rsidR="00263208" w:rsidRPr="004845A3">
        <w:rPr>
          <w:rFonts w:ascii="Verdana" w:hAnsi="Verdana" w:cs="Calibri"/>
          <w:i/>
          <w:sz w:val="18"/>
          <w:szCs w:val="14"/>
          <w:lang w:val="en-GB"/>
        </w:rPr>
        <w:t>.</w:t>
      </w:r>
      <w:r w:rsidR="004845A3" w:rsidRPr="004845A3">
        <w:rPr>
          <w:rFonts w:ascii="Verdana" w:hAnsi="Verdana" w:cs="Calibri"/>
          <w:i/>
          <w:sz w:val="18"/>
          <w:szCs w:val="14"/>
          <w:lang w:val="en-GB"/>
        </w:rPr>
        <w:t xml:space="preserve"> </w:t>
      </w:r>
      <w:r w:rsidR="004845A3" w:rsidRPr="004845A3">
        <w:rPr>
          <w:rFonts w:ascii="Verdana" w:hAnsi="Verdana" w:cs="Calibri"/>
          <w:sz w:val="18"/>
          <w:szCs w:val="14"/>
          <w:lang w:val="en-GB"/>
        </w:rPr>
        <w:t xml:space="preserve">The reporting shall include all manufacturers listed under 1 a), b) and c), including </w:t>
      </w:r>
      <w:r w:rsidR="00C45F0C">
        <w:rPr>
          <w:rFonts w:ascii="Verdana" w:hAnsi="Verdana" w:cs="Calibri"/>
          <w:sz w:val="18"/>
          <w:szCs w:val="14"/>
          <w:lang w:val="en-GB"/>
        </w:rPr>
        <w:t xml:space="preserve">any relevant </w:t>
      </w:r>
      <w:r w:rsidR="005A20ED">
        <w:rPr>
          <w:rFonts w:ascii="Verdana" w:hAnsi="Verdana" w:cs="Calibri"/>
          <w:sz w:val="18"/>
          <w:szCs w:val="14"/>
          <w:lang w:val="en-GB"/>
        </w:rPr>
        <w:t>m</w:t>
      </w:r>
      <w:r w:rsidR="00C45F0C">
        <w:rPr>
          <w:rFonts w:ascii="Verdana" w:hAnsi="Verdana" w:cs="Calibri"/>
          <w:sz w:val="18"/>
          <w:szCs w:val="14"/>
          <w:lang w:val="en-GB"/>
        </w:rPr>
        <w:t>anufacturer</w:t>
      </w:r>
      <w:r w:rsidR="00AE1348">
        <w:rPr>
          <w:rFonts w:ascii="Verdana" w:hAnsi="Verdana" w:cs="Calibri"/>
          <w:sz w:val="18"/>
          <w:szCs w:val="14"/>
          <w:lang w:val="en-GB"/>
        </w:rPr>
        <w:t>s</w:t>
      </w:r>
      <w:r w:rsidR="004845A3" w:rsidRPr="004845A3">
        <w:rPr>
          <w:rFonts w:ascii="Verdana" w:hAnsi="Verdana" w:cs="Calibri"/>
          <w:sz w:val="18"/>
          <w:szCs w:val="14"/>
          <w:lang w:val="en-GB"/>
        </w:rPr>
        <w:t xml:space="preserve"> in Annex 2.</w:t>
      </w:r>
      <w:r w:rsidR="00263208" w:rsidRPr="004845A3">
        <w:rPr>
          <w:rFonts w:ascii="Verdana" w:hAnsi="Verdana" w:cs="Calibri"/>
          <w:sz w:val="18"/>
          <w:szCs w:val="14"/>
          <w:lang w:val="en-GB"/>
        </w:rPr>
        <w:t xml:space="preserve"> </w:t>
      </w:r>
    </w:p>
    <w:p w14:paraId="3FE0F4AD" w14:textId="77777777" w:rsidR="004845A3" w:rsidRPr="004845A3" w:rsidRDefault="004845A3" w:rsidP="004845A3">
      <w:pPr>
        <w:ind w:left="349"/>
        <w:rPr>
          <w:rFonts w:ascii="Verdana" w:hAnsi="Verdana" w:cs="Calibri"/>
          <w:sz w:val="18"/>
          <w:szCs w:val="14"/>
          <w:lang w:val="en-GB"/>
        </w:rPr>
      </w:pPr>
    </w:p>
    <w:p w14:paraId="07A620C6" w14:textId="730D54D2" w:rsidR="00C15A3D" w:rsidRPr="00093F2A" w:rsidRDefault="00C15A3D" w:rsidP="00093F2A">
      <w:pPr>
        <w:rPr>
          <w:rFonts w:ascii="Verdana" w:hAnsi="Verdana" w:cs="Calibri"/>
          <w:sz w:val="18"/>
          <w:szCs w:val="14"/>
          <w:lang w:val="en-GB"/>
        </w:rPr>
      </w:pPr>
      <w:r w:rsidRPr="00093F2A">
        <w:rPr>
          <w:rFonts w:ascii="Verdana" w:hAnsi="Verdana" w:cs="Calibri"/>
          <w:sz w:val="18"/>
          <w:szCs w:val="14"/>
          <w:lang w:val="en-GB"/>
        </w:rPr>
        <w:t xml:space="preserve">These obligations remain in force until the signatories are satisfied that suppliers have reached a reasonable level of credibility in terms of the absence of forced labour of Uyghur and other Turkic and Muslim groups in supply chains. </w:t>
      </w:r>
    </w:p>
    <w:p w14:paraId="63805DDA" w14:textId="68AEF66E" w:rsidR="00C15A3D" w:rsidRPr="004845A3" w:rsidRDefault="00C15A3D" w:rsidP="00C15A3D">
      <w:pPr>
        <w:rPr>
          <w:rFonts w:ascii="Verdana" w:hAnsi="Verdana" w:cs="Calibri"/>
          <w:sz w:val="18"/>
          <w:szCs w:val="14"/>
          <w:lang w:val="en-GB"/>
        </w:rPr>
      </w:pPr>
      <w:r w:rsidRPr="004845A3">
        <w:rPr>
          <w:rFonts w:ascii="Verdana" w:hAnsi="Verdana" w:cs="Calibri"/>
          <w:sz w:val="18"/>
          <w:szCs w:val="14"/>
          <w:lang w:val="en-GB"/>
        </w:rPr>
        <w:t xml:space="preserve">Signatories’ suppliers are also encouraged to collaborate with industry and multi-stakeholder groups to exercise leverage to address and prevent human rights abuses in their supply chains, including the sharing of information, the development of capacity to research indicators of forced </w:t>
      </w:r>
      <w:proofErr w:type="spellStart"/>
      <w:r w:rsidRPr="004845A3">
        <w:rPr>
          <w:rFonts w:ascii="Verdana" w:hAnsi="Verdana" w:cs="Calibri"/>
          <w:sz w:val="18"/>
          <w:szCs w:val="14"/>
          <w:lang w:val="en-GB"/>
        </w:rPr>
        <w:t>labor</w:t>
      </w:r>
      <w:proofErr w:type="spellEnd"/>
      <w:r w:rsidRPr="004845A3">
        <w:rPr>
          <w:rFonts w:ascii="Verdana" w:hAnsi="Verdana" w:cs="Calibri"/>
          <w:sz w:val="18"/>
          <w:szCs w:val="14"/>
          <w:lang w:val="en-GB"/>
        </w:rPr>
        <w:t xml:space="preserve"> in Chinese languages, and the building of relationships with manufacturers and input-suppliers to understand their possible involvement in poverty-alleviation programs and mutual pairing assistance programs.</w:t>
      </w:r>
    </w:p>
    <w:p w14:paraId="48B30116" w14:textId="3A2743A0" w:rsidR="00C15A3D" w:rsidRPr="004845A3" w:rsidRDefault="00C15A3D" w:rsidP="00C15A3D">
      <w:pPr>
        <w:rPr>
          <w:rFonts w:ascii="Verdana" w:hAnsi="Verdana" w:cs="Calibri"/>
          <w:sz w:val="18"/>
          <w:szCs w:val="14"/>
          <w:lang w:val="en-GB"/>
        </w:rPr>
      </w:pPr>
      <w:r w:rsidRPr="004845A3">
        <w:rPr>
          <w:rFonts w:ascii="Verdana" w:hAnsi="Verdana" w:cs="Calibri"/>
          <w:sz w:val="18"/>
          <w:szCs w:val="14"/>
          <w:lang w:val="en-GB"/>
        </w:rPr>
        <w:t>Any information suppliers report within this context will be shared among the signatories.</w:t>
      </w:r>
    </w:p>
    <w:p w14:paraId="163D7AAB" w14:textId="77777777" w:rsidR="00C15A3D" w:rsidRPr="004845A3" w:rsidRDefault="00C15A3D" w:rsidP="00C15A3D">
      <w:pPr>
        <w:spacing w:after="200" w:line="276" w:lineRule="auto"/>
        <w:rPr>
          <w:rFonts w:ascii="Verdana" w:hAnsi="Verdana" w:cs="Calibri"/>
          <w:sz w:val="18"/>
          <w:szCs w:val="14"/>
          <w:lang w:val="en-GB"/>
        </w:rPr>
      </w:pPr>
    </w:p>
    <w:p w14:paraId="4F97A526" w14:textId="77777777" w:rsidR="00C15A3D" w:rsidRPr="004845A3" w:rsidRDefault="00C15A3D" w:rsidP="00C15A3D">
      <w:pPr>
        <w:spacing w:after="200" w:line="276" w:lineRule="auto"/>
        <w:rPr>
          <w:rFonts w:ascii="Verdana" w:hAnsi="Verdana" w:cs="Calibri"/>
          <w:sz w:val="18"/>
          <w:szCs w:val="14"/>
          <w:lang w:val="en-GB"/>
        </w:rPr>
      </w:pPr>
      <w:r w:rsidRPr="004845A3">
        <w:rPr>
          <w:rFonts w:ascii="Verdana" w:hAnsi="Verdana" w:cs="Calibri"/>
          <w:sz w:val="18"/>
          <w:szCs w:val="14"/>
          <w:lang w:val="en-GB"/>
        </w:rPr>
        <w:t>[Church of Sweden</w:t>
      </w:r>
    </w:p>
    <w:p w14:paraId="3DA80BA9" w14:textId="77777777" w:rsidR="00C15A3D" w:rsidRPr="004845A3" w:rsidRDefault="00C15A3D" w:rsidP="00C15A3D">
      <w:pPr>
        <w:spacing w:after="200" w:line="276" w:lineRule="auto"/>
        <w:rPr>
          <w:rFonts w:ascii="Verdana" w:hAnsi="Verdana" w:cs="Calibri"/>
          <w:sz w:val="18"/>
          <w:szCs w:val="14"/>
          <w:lang w:val="en-GB"/>
        </w:rPr>
      </w:pPr>
      <w:r w:rsidRPr="004845A3">
        <w:rPr>
          <w:rFonts w:ascii="Verdana" w:hAnsi="Verdana" w:cs="Calibri"/>
          <w:sz w:val="18"/>
          <w:szCs w:val="14"/>
          <w:lang w:val="en-GB"/>
        </w:rPr>
        <w:t>SKL Kommentus</w:t>
      </w:r>
    </w:p>
    <w:p w14:paraId="3A31E322" w14:textId="2F3F1BB9" w:rsidR="00C15A3D" w:rsidRPr="00093F2A" w:rsidRDefault="00BB275A" w:rsidP="00C15A3D">
      <w:pPr>
        <w:spacing w:after="200" w:line="276" w:lineRule="auto"/>
        <w:rPr>
          <w:rFonts w:ascii="Verdana" w:hAnsi="Verdana" w:cs="Calibri"/>
          <w:sz w:val="18"/>
          <w:szCs w:val="14"/>
          <w:lang w:val="en-GB"/>
        </w:rPr>
      </w:pPr>
      <w:r>
        <w:rPr>
          <w:rFonts w:ascii="Verdana" w:hAnsi="Verdana" w:cs="Calibri"/>
          <w:sz w:val="18"/>
          <w:szCs w:val="14"/>
          <w:lang w:val="en-GB"/>
        </w:rPr>
        <w:t xml:space="preserve">The </w:t>
      </w:r>
      <w:r w:rsidR="00C15A3D" w:rsidRPr="004845A3">
        <w:rPr>
          <w:rFonts w:ascii="Verdana" w:hAnsi="Verdana" w:cs="Calibri"/>
          <w:sz w:val="18"/>
          <w:szCs w:val="14"/>
          <w:lang w:val="en-GB"/>
        </w:rPr>
        <w:t>Swedish Regions]</w:t>
      </w:r>
    </w:p>
    <w:p w14:paraId="26E3564F" w14:textId="77777777" w:rsidR="00C15A3D" w:rsidRPr="00093F2A" w:rsidRDefault="00C15A3D" w:rsidP="00C15A3D">
      <w:pPr>
        <w:spacing w:after="200" w:line="276" w:lineRule="auto"/>
        <w:rPr>
          <w:rFonts w:ascii="Verdana" w:hAnsi="Verdana" w:cs="Calibri"/>
          <w:sz w:val="18"/>
          <w:szCs w:val="14"/>
          <w:lang w:val="en-GB"/>
        </w:rPr>
      </w:pPr>
    </w:p>
    <w:p w14:paraId="012173DB" w14:textId="77777777" w:rsidR="002411D1" w:rsidRPr="00093F2A" w:rsidRDefault="002411D1" w:rsidP="00C15A3D">
      <w:pPr>
        <w:spacing w:after="200" w:line="276" w:lineRule="auto"/>
        <w:ind w:right="-29"/>
        <w:rPr>
          <w:rFonts w:ascii="Verdana" w:hAnsi="Verdana"/>
          <w:sz w:val="18"/>
          <w:szCs w:val="14"/>
          <w:lang w:val="en-GB"/>
        </w:rPr>
      </w:pPr>
    </w:p>
    <w:sectPr w:rsidR="002411D1" w:rsidRPr="00093F2A" w:rsidSect="00E00505">
      <w:footerReference w:type="default" r:id="rId12"/>
      <w:pgSz w:w="11907" w:h="16839" w:code="9"/>
      <w:pgMar w:top="2268" w:right="1644" w:bottom="1701" w:left="192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D450A2" w14:textId="77777777" w:rsidR="00B73FA4" w:rsidRDefault="00B73FA4" w:rsidP="00EE1961">
      <w:pPr>
        <w:spacing w:after="0" w:line="240" w:lineRule="auto"/>
      </w:pPr>
      <w:r>
        <w:separator/>
      </w:r>
    </w:p>
  </w:endnote>
  <w:endnote w:type="continuationSeparator" w:id="0">
    <w:p w14:paraId="18127D5F" w14:textId="77777777" w:rsidR="00B73FA4" w:rsidRDefault="00B73FA4" w:rsidP="00EE1961">
      <w:pPr>
        <w:spacing w:after="0" w:line="240" w:lineRule="auto"/>
      </w:pPr>
      <w:r>
        <w:continuationSeparator/>
      </w:r>
    </w:p>
  </w:endnote>
  <w:endnote w:id="1">
    <w:p w14:paraId="7DD42906" w14:textId="77777777" w:rsidR="00C15A3D" w:rsidRPr="00C15A3D" w:rsidRDefault="00C15A3D" w:rsidP="00C15A3D">
      <w:pPr>
        <w:pStyle w:val="Endnotentext"/>
        <w:rPr>
          <w:rFonts w:ascii="Verdana" w:hAnsi="Verdana" w:cs="Calibri"/>
          <w:sz w:val="14"/>
          <w:lang w:val="en-US"/>
        </w:rPr>
      </w:pPr>
      <w:r w:rsidRPr="00C15A3D">
        <w:rPr>
          <w:rStyle w:val="Endnotenzeichen"/>
          <w:rFonts w:ascii="Verdana" w:hAnsi="Verdana" w:cs="Calibri"/>
          <w:sz w:val="14"/>
        </w:rPr>
        <w:endnoteRef/>
      </w:r>
      <w:r w:rsidRPr="00C15A3D">
        <w:rPr>
          <w:rFonts w:ascii="Verdana" w:hAnsi="Verdana" w:cs="Calibri"/>
          <w:sz w:val="14"/>
          <w:lang w:val="en-US"/>
        </w:rPr>
        <w:t xml:space="preserve"> </w:t>
      </w:r>
      <w:hyperlink r:id="rId1" w:history="1">
        <w:proofErr w:type="gramStart"/>
        <w:r w:rsidRPr="00C15A3D">
          <w:rPr>
            <w:rStyle w:val="Hyperlink"/>
            <w:rFonts w:ascii="Verdana" w:hAnsi="Verdana" w:cs="Calibri"/>
            <w:sz w:val="14"/>
            <w:lang w:val="en-US"/>
          </w:rPr>
          <w:t>”Concluding</w:t>
        </w:r>
        <w:proofErr w:type="gramEnd"/>
        <w:r w:rsidRPr="00C15A3D">
          <w:rPr>
            <w:rStyle w:val="Hyperlink"/>
            <w:rFonts w:ascii="Verdana" w:hAnsi="Verdana" w:cs="Calibri"/>
            <w:sz w:val="14"/>
            <w:lang w:val="en-US"/>
          </w:rPr>
          <w:t xml:space="preserve"> observations on the combined fourteenth to seventeenth periodic reports of China (including Hong Kong, China and Macao, China)”</w:t>
        </w:r>
      </w:hyperlink>
      <w:r w:rsidRPr="00C15A3D">
        <w:rPr>
          <w:rFonts w:ascii="Verdana" w:hAnsi="Verdana" w:cs="Calibri"/>
          <w:sz w:val="14"/>
          <w:lang w:val="en-US"/>
        </w:rPr>
        <w:t xml:space="preserve">, United Nations Committee on the Elimination of Racial Discrimination, 19 September 2019. </w:t>
      </w:r>
    </w:p>
  </w:endnote>
  <w:endnote w:id="2">
    <w:p w14:paraId="4F36BBB9" w14:textId="77777777" w:rsidR="00C15A3D" w:rsidRPr="00C15A3D" w:rsidRDefault="00C15A3D" w:rsidP="00C15A3D">
      <w:pPr>
        <w:pStyle w:val="Endnotentext"/>
        <w:rPr>
          <w:rFonts w:ascii="Verdana" w:hAnsi="Verdana" w:cs="Calibri"/>
          <w:sz w:val="14"/>
          <w:lang w:val="en-US"/>
        </w:rPr>
      </w:pPr>
      <w:r w:rsidRPr="00C15A3D">
        <w:rPr>
          <w:rStyle w:val="Endnotenzeichen"/>
          <w:rFonts w:ascii="Verdana" w:hAnsi="Verdana" w:cs="Calibri"/>
          <w:sz w:val="14"/>
        </w:rPr>
        <w:endnoteRef/>
      </w:r>
      <w:r w:rsidRPr="00C15A3D">
        <w:rPr>
          <w:rFonts w:ascii="Verdana" w:hAnsi="Verdana" w:cs="Calibri"/>
          <w:sz w:val="14"/>
          <w:lang w:val="en-US"/>
        </w:rPr>
        <w:t xml:space="preserve"> Luke Adams, Steve Andrews, Scott </w:t>
      </w:r>
      <w:proofErr w:type="spellStart"/>
      <w:r w:rsidRPr="00C15A3D">
        <w:rPr>
          <w:rFonts w:ascii="Verdana" w:hAnsi="Verdana" w:cs="Calibri"/>
          <w:sz w:val="14"/>
          <w:lang w:val="en-US"/>
        </w:rPr>
        <w:t>Flipse</w:t>
      </w:r>
      <w:proofErr w:type="spellEnd"/>
      <w:r w:rsidRPr="00C15A3D">
        <w:rPr>
          <w:rFonts w:ascii="Verdana" w:hAnsi="Verdana" w:cs="Calibri"/>
          <w:sz w:val="14"/>
          <w:lang w:val="en-US"/>
        </w:rPr>
        <w:t xml:space="preserve">, Megan Fluker, and Amy </w:t>
      </w:r>
      <w:proofErr w:type="spellStart"/>
      <w:r w:rsidRPr="00C15A3D">
        <w:rPr>
          <w:rFonts w:ascii="Verdana" w:hAnsi="Verdana" w:cs="Calibri"/>
          <w:sz w:val="14"/>
          <w:lang w:val="en-US"/>
        </w:rPr>
        <w:t>Reger</w:t>
      </w:r>
      <w:proofErr w:type="spellEnd"/>
      <w:r w:rsidRPr="00C15A3D">
        <w:rPr>
          <w:rFonts w:ascii="Verdana" w:hAnsi="Verdana" w:cs="Calibri"/>
          <w:sz w:val="14"/>
          <w:lang w:val="en-US"/>
        </w:rPr>
        <w:t xml:space="preserve">, </w:t>
      </w:r>
      <w:hyperlink r:id="rId2" w:history="1">
        <w:r w:rsidRPr="00C15A3D">
          <w:rPr>
            <w:rStyle w:val="Hyperlink"/>
            <w:rFonts w:ascii="Verdana" w:hAnsi="Verdana" w:cs="Calibri"/>
            <w:sz w:val="14"/>
            <w:lang w:val="en-US"/>
          </w:rPr>
          <w:t>”Staff Research Report: Global Supply Chains, Forced Labor, and the Xinjiang Uyghur Autonomous Region”</w:t>
        </w:r>
      </w:hyperlink>
      <w:r w:rsidRPr="00C15A3D">
        <w:rPr>
          <w:rFonts w:ascii="Verdana" w:hAnsi="Verdana" w:cs="Calibri"/>
          <w:sz w:val="14"/>
          <w:lang w:val="en-US"/>
        </w:rPr>
        <w:t xml:space="preserve">, Congressional-Executive Commission on China, March 2020; Adrian </w:t>
      </w:r>
      <w:proofErr w:type="spellStart"/>
      <w:r w:rsidRPr="00C15A3D">
        <w:rPr>
          <w:rFonts w:ascii="Verdana" w:hAnsi="Verdana" w:cs="Calibri"/>
          <w:sz w:val="14"/>
          <w:lang w:val="en-US"/>
        </w:rPr>
        <w:t>Zenz</w:t>
      </w:r>
      <w:proofErr w:type="spellEnd"/>
      <w:r w:rsidRPr="00C15A3D">
        <w:rPr>
          <w:rFonts w:ascii="Verdana" w:hAnsi="Verdana" w:cs="Calibri"/>
          <w:sz w:val="14"/>
          <w:lang w:val="en-US"/>
        </w:rPr>
        <w:t xml:space="preserve">, </w:t>
      </w:r>
      <w:hyperlink r:id="rId3" w:history="1">
        <w:r w:rsidRPr="00C15A3D">
          <w:rPr>
            <w:rStyle w:val="Hyperlink"/>
            <w:rFonts w:ascii="Verdana" w:hAnsi="Verdana" w:cs="Calibri"/>
            <w:sz w:val="14"/>
            <w:lang w:val="en-US"/>
          </w:rPr>
          <w:t>“‘Wash Brains, Cleanse Hearts’: Evidence from Chinese Government Documents about the Nature and Extent of Xinjiang’s Extrajudicial Internment Campaign”</w:t>
        </w:r>
      </w:hyperlink>
      <w:r w:rsidRPr="00C15A3D">
        <w:rPr>
          <w:rFonts w:ascii="Verdana" w:hAnsi="Verdana" w:cs="Calibri"/>
          <w:sz w:val="14"/>
          <w:lang w:val="en-US"/>
        </w:rPr>
        <w:t xml:space="preserve">, Journal of Political Risk, 7 (11), November 2019; Fergus Ryan, Danielle Cave, and Nathan </w:t>
      </w:r>
      <w:proofErr w:type="spellStart"/>
      <w:r w:rsidRPr="00C15A3D">
        <w:rPr>
          <w:rFonts w:ascii="Verdana" w:hAnsi="Verdana" w:cs="Calibri"/>
          <w:sz w:val="14"/>
          <w:lang w:val="en-US"/>
        </w:rPr>
        <w:t>Ruser</w:t>
      </w:r>
      <w:proofErr w:type="spellEnd"/>
      <w:r w:rsidRPr="00C15A3D">
        <w:rPr>
          <w:rFonts w:ascii="Verdana" w:hAnsi="Verdana" w:cs="Calibri"/>
          <w:sz w:val="14"/>
          <w:lang w:val="en-US"/>
        </w:rPr>
        <w:t xml:space="preserve">, </w:t>
      </w:r>
      <w:hyperlink r:id="rId4" w:history="1">
        <w:r w:rsidRPr="00C15A3D">
          <w:rPr>
            <w:rStyle w:val="Hyperlink"/>
            <w:rFonts w:ascii="Verdana" w:hAnsi="Verdana" w:cs="Calibri"/>
            <w:sz w:val="14"/>
            <w:lang w:val="en-US"/>
          </w:rPr>
          <w:t xml:space="preserve">“Mapping Xinjiang’s </w:t>
        </w:r>
        <w:proofErr w:type="spellStart"/>
        <w:r w:rsidRPr="00C15A3D">
          <w:rPr>
            <w:rStyle w:val="Hyperlink"/>
            <w:rFonts w:ascii="Verdana" w:hAnsi="Verdana" w:cs="Calibri"/>
            <w:sz w:val="14"/>
            <w:lang w:val="en-US"/>
          </w:rPr>
          <w:t>‘Re</w:t>
        </w:r>
        <w:proofErr w:type="spellEnd"/>
        <w:r w:rsidRPr="00C15A3D">
          <w:rPr>
            <w:rStyle w:val="Hyperlink"/>
            <w:rFonts w:ascii="Verdana" w:hAnsi="Verdana" w:cs="Calibri"/>
            <w:sz w:val="14"/>
            <w:lang w:val="en-US"/>
          </w:rPr>
          <w:t>-Education’ Camps”</w:t>
        </w:r>
      </w:hyperlink>
      <w:r w:rsidRPr="00C15A3D">
        <w:rPr>
          <w:rFonts w:ascii="Verdana" w:hAnsi="Verdana" w:cs="Calibri"/>
          <w:sz w:val="14"/>
          <w:lang w:val="en-US"/>
        </w:rPr>
        <w:t xml:space="preserve">, Australian Strategic Policy Institute, 1 November 2018; </w:t>
      </w:r>
      <w:hyperlink r:id="rId5" w:history="1">
        <w:r w:rsidRPr="00C15A3D">
          <w:rPr>
            <w:rStyle w:val="Hyperlink"/>
            <w:rFonts w:ascii="Verdana" w:hAnsi="Verdana" w:cs="Calibri"/>
            <w:sz w:val="14"/>
            <w:lang w:val="en-US"/>
          </w:rPr>
          <w:t>“World Report 2019: Events of 2018: China”</w:t>
        </w:r>
      </w:hyperlink>
      <w:r w:rsidRPr="00C15A3D">
        <w:rPr>
          <w:rFonts w:ascii="Verdana" w:hAnsi="Verdana" w:cs="Calibri"/>
          <w:sz w:val="14"/>
          <w:lang w:val="en-US"/>
        </w:rPr>
        <w:t xml:space="preserve">, Human Rights Watch, 2019. </w:t>
      </w:r>
    </w:p>
  </w:endnote>
  <w:endnote w:id="3">
    <w:p w14:paraId="01CC7B75" w14:textId="77777777" w:rsidR="00C15A3D" w:rsidRPr="00C15A3D" w:rsidRDefault="00C15A3D" w:rsidP="00C15A3D">
      <w:pPr>
        <w:pStyle w:val="Endnotentext"/>
        <w:rPr>
          <w:rFonts w:ascii="Verdana" w:hAnsi="Verdana" w:cs="Calibri"/>
          <w:sz w:val="14"/>
          <w:lang w:val="en-US"/>
        </w:rPr>
      </w:pPr>
      <w:r w:rsidRPr="00C15A3D">
        <w:rPr>
          <w:rStyle w:val="Endnotenzeichen"/>
          <w:rFonts w:ascii="Verdana" w:hAnsi="Verdana" w:cs="Calibri"/>
          <w:sz w:val="14"/>
        </w:rPr>
        <w:endnoteRef/>
      </w:r>
      <w:r w:rsidRPr="00C15A3D">
        <w:rPr>
          <w:rFonts w:ascii="Verdana" w:hAnsi="Verdana" w:cs="Calibri"/>
          <w:sz w:val="14"/>
          <w:lang w:val="en-US"/>
        </w:rPr>
        <w:t xml:space="preserve"> The Chinese government’s terminology, see, for example, </w:t>
      </w:r>
      <w:hyperlink r:id="rId6" w:history="1">
        <w:r w:rsidRPr="00C15A3D">
          <w:rPr>
            <w:rStyle w:val="Hyperlink"/>
            <w:rFonts w:ascii="Verdana" w:hAnsi="Verdana" w:cs="Calibri"/>
            <w:sz w:val="14"/>
            <w:lang w:val="en-US"/>
          </w:rPr>
          <w:t>“‘Eradicating Ideological Viruses’: China’s Campaign of Repression Against Xinjiang’s Muslims”</w:t>
        </w:r>
      </w:hyperlink>
      <w:r w:rsidRPr="00C15A3D">
        <w:rPr>
          <w:rFonts w:ascii="Verdana" w:hAnsi="Verdana" w:cs="Calibri"/>
          <w:sz w:val="14"/>
          <w:lang w:val="en-US"/>
        </w:rPr>
        <w:t xml:space="preserve">, Human Rights Watch, 9 September 2018. </w:t>
      </w:r>
    </w:p>
  </w:endnote>
  <w:endnote w:id="4">
    <w:p w14:paraId="1CA8E36A" w14:textId="77777777" w:rsidR="00C15A3D" w:rsidRPr="00C15A3D" w:rsidRDefault="00C15A3D" w:rsidP="00C15A3D">
      <w:pPr>
        <w:pStyle w:val="Endnotentext"/>
        <w:rPr>
          <w:rFonts w:ascii="Verdana" w:hAnsi="Verdana"/>
          <w:sz w:val="14"/>
          <w:lang w:val="en-US"/>
        </w:rPr>
      </w:pPr>
      <w:r w:rsidRPr="00C15A3D">
        <w:rPr>
          <w:rStyle w:val="Endnotenzeichen"/>
          <w:rFonts w:ascii="Verdana" w:hAnsi="Verdana"/>
          <w:sz w:val="14"/>
        </w:rPr>
        <w:endnoteRef/>
      </w:r>
      <w:r w:rsidRPr="00C15A3D">
        <w:rPr>
          <w:rFonts w:ascii="Verdana" w:hAnsi="Verdana"/>
          <w:sz w:val="14"/>
          <w:lang w:val="en-US"/>
        </w:rPr>
        <w:t xml:space="preserve"> </w:t>
      </w:r>
      <w:hyperlink r:id="rId7" w:history="1">
        <w:r w:rsidRPr="00C15A3D">
          <w:rPr>
            <w:rStyle w:val="Hyperlink"/>
            <w:rFonts w:ascii="Verdana" w:hAnsi="Verdana" w:cs="Calibri"/>
            <w:sz w:val="14"/>
            <w:lang w:val="en-US"/>
          </w:rPr>
          <w:t>“Xinjiang Supply Chain Business Advisory”</w:t>
        </w:r>
      </w:hyperlink>
      <w:r w:rsidRPr="00C15A3D">
        <w:rPr>
          <w:rFonts w:ascii="Verdana" w:hAnsi="Verdana" w:cs="Calibri"/>
          <w:sz w:val="14"/>
          <w:lang w:val="en-US"/>
        </w:rPr>
        <w:t xml:space="preserve">, U.S. Department of Commerce, 1 July 2020. </w:t>
      </w:r>
    </w:p>
  </w:endnote>
  <w:endnote w:id="5">
    <w:p w14:paraId="16291DEC" w14:textId="77777777" w:rsidR="00C15A3D" w:rsidRPr="00C15A3D" w:rsidRDefault="00C15A3D" w:rsidP="00C15A3D">
      <w:pPr>
        <w:pStyle w:val="Endnotentext"/>
        <w:rPr>
          <w:rFonts w:ascii="Verdana" w:hAnsi="Verdana" w:cs="Calibri"/>
          <w:sz w:val="14"/>
          <w:lang w:val="en-US"/>
        </w:rPr>
      </w:pPr>
      <w:r w:rsidRPr="00C15A3D">
        <w:rPr>
          <w:rStyle w:val="Endnotenzeichen"/>
          <w:rFonts w:ascii="Verdana" w:hAnsi="Verdana" w:cs="Calibri"/>
          <w:sz w:val="14"/>
        </w:rPr>
        <w:endnoteRef/>
      </w:r>
      <w:r w:rsidRPr="00C15A3D">
        <w:rPr>
          <w:rFonts w:ascii="Verdana" w:hAnsi="Verdana" w:cs="Calibri"/>
          <w:sz w:val="14"/>
          <w:lang w:val="en-US"/>
        </w:rPr>
        <w:t xml:space="preserve"> Chris Buckley and Paul </w:t>
      </w:r>
      <w:proofErr w:type="spellStart"/>
      <w:r w:rsidRPr="00C15A3D">
        <w:rPr>
          <w:rFonts w:ascii="Verdana" w:hAnsi="Verdana" w:cs="Calibri"/>
          <w:sz w:val="14"/>
          <w:lang w:val="en-US"/>
        </w:rPr>
        <w:t>Mozur</w:t>
      </w:r>
      <w:proofErr w:type="spellEnd"/>
      <w:r w:rsidRPr="00C15A3D">
        <w:rPr>
          <w:rFonts w:ascii="Verdana" w:hAnsi="Verdana" w:cs="Calibri"/>
          <w:sz w:val="14"/>
          <w:lang w:val="en-US"/>
        </w:rPr>
        <w:t xml:space="preserve">, </w:t>
      </w:r>
      <w:hyperlink r:id="rId8" w:history="1">
        <w:r w:rsidRPr="00C15A3D">
          <w:rPr>
            <w:rStyle w:val="Hyperlink"/>
            <w:rFonts w:ascii="Verdana" w:hAnsi="Verdana" w:cs="Calibri"/>
            <w:sz w:val="14"/>
            <w:lang w:val="en-US"/>
          </w:rPr>
          <w:t>“How China Uses High-Tech Surveillance to Subdue Minorities”</w:t>
        </w:r>
      </w:hyperlink>
      <w:r w:rsidRPr="00C15A3D">
        <w:rPr>
          <w:rFonts w:ascii="Verdana" w:hAnsi="Verdana" w:cs="Calibri"/>
          <w:sz w:val="14"/>
          <w:lang w:val="en-US"/>
        </w:rPr>
        <w:t>, The New York Times, 22 May 2019.</w:t>
      </w:r>
    </w:p>
  </w:endnote>
  <w:endnote w:id="6">
    <w:p w14:paraId="426DAAFF" w14:textId="77777777" w:rsidR="00C15A3D" w:rsidRPr="00C15A3D" w:rsidRDefault="00C15A3D" w:rsidP="00C15A3D">
      <w:pPr>
        <w:pStyle w:val="Endnotentext"/>
        <w:rPr>
          <w:rFonts w:ascii="Verdana" w:hAnsi="Verdana" w:cs="Calibri"/>
          <w:sz w:val="14"/>
          <w:lang w:val="en-US"/>
        </w:rPr>
      </w:pPr>
      <w:r w:rsidRPr="00C15A3D">
        <w:rPr>
          <w:rStyle w:val="Endnotenzeichen"/>
          <w:rFonts w:ascii="Verdana" w:hAnsi="Verdana" w:cs="Calibri"/>
          <w:sz w:val="14"/>
        </w:rPr>
        <w:endnoteRef/>
      </w:r>
      <w:r w:rsidRPr="00C15A3D">
        <w:rPr>
          <w:rFonts w:ascii="Verdana" w:hAnsi="Verdana" w:cs="Calibri"/>
          <w:sz w:val="14"/>
          <w:lang w:val="en-US"/>
        </w:rPr>
        <w:t xml:space="preserve"> Vicky </w:t>
      </w:r>
      <w:proofErr w:type="spellStart"/>
      <w:r w:rsidRPr="00C15A3D">
        <w:rPr>
          <w:rFonts w:ascii="Verdana" w:hAnsi="Verdana" w:cs="Calibri"/>
          <w:sz w:val="14"/>
          <w:lang w:val="en-US"/>
        </w:rPr>
        <w:t>Xiuzhong</w:t>
      </w:r>
      <w:proofErr w:type="spellEnd"/>
      <w:r w:rsidRPr="00C15A3D">
        <w:rPr>
          <w:rFonts w:ascii="Verdana" w:hAnsi="Verdana" w:cs="Calibri"/>
          <w:sz w:val="14"/>
          <w:lang w:val="en-US"/>
        </w:rPr>
        <w:t xml:space="preserve"> Xu, Danielle Cave, James </w:t>
      </w:r>
      <w:proofErr w:type="spellStart"/>
      <w:r w:rsidRPr="00C15A3D">
        <w:rPr>
          <w:rFonts w:ascii="Verdana" w:hAnsi="Verdana" w:cs="Calibri"/>
          <w:sz w:val="14"/>
          <w:lang w:val="en-US"/>
        </w:rPr>
        <w:t>Leibold</w:t>
      </w:r>
      <w:proofErr w:type="spellEnd"/>
      <w:r w:rsidRPr="00C15A3D">
        <w:rPr>
          <w:rFonts w:ascii="Verdana" w:hAnsi="Verdana" w:cs="Calibri"/>
          <w:sz w:val="14"/>
          <w:lang w:val="en-US"/>
        </w:rPr>
        <w:t xml:space="preserve">, Kelsey Munro, and Nathan </w:t>
      </w:r>
      <w:proofErr w:type="spellStart"/>
      <w:r w:rsidRPr="00C15A3D">
        <w:rPr>
          <w:rFonts w:ascii="Verdana" w:hAnsi="Verdana" w:cs="Calibri"/>
          <w:sz w:val="14"/>
          <w:lang w:val="en-US"/>
        </w:rPr>
        <w:t>Ruser</w:t>
      </w:r>
      <w:proofErr w:type="spellEnd"/>
      <w:r w:rsidRPr="00C15A3D">
        <w:rPr>
          <w:rFonts w:ascii="Verdana" w:hAnsi="Verdana" w:cs="Calibri"/>
          <w:sz w:val="14"/>
          <w:lang w:val="en-US"/>
        </w:rPr>
        <w:t xml:space="preserve">, </w:t>
      </w:r>
      <w:hyperlink r:id="rId9" w:history="1">
        <w:r w:rsidRPr="00C15A3D">
          <w:rPr>
            <w:rStyle w:val="Hyperlink"/>
            <w:rFonts w:ascii="Verdana" w:hAnsi="Verdana" w:cs="Calibri"/>
            <w:sz w:val="14"/>
            <w:lang w:val="en-US"/>
          </w:rPr>
          <w:t xml:space="preserve">“Uyghurs for Sale: </w:t>
        </w:r>
        <w:proofErr w:type="spellStart"/>
        <w:r w:rsidRPr="00C15A3D">
          <w:rPr>
            <w:rStyle w:val="Hyperlink"/>
            <w:rFonts w:ascii="Verdana" w:hAnsi="Verdana" w:cs="Calibri"/>
            <w:sz w:val="14"/>
            <w:lang w:val="en-US"/>
          </w:rPr>
          <w:t>‘Re</w:t>
        </w:r>
        <w:proofErr w:type="spellEnd"/>
        <w:r w:rsidRPr="00C15A3D">
          <w:rPr>
            <w:rStyle w:val="Hyperlink"/>
            <w:rFonts w:ascii="Verdana" w:hAnsi="Verdana" w:cs="Calibri"/>
            <w:sz w:val="14"/>
            <w:lang w:val="en-US"/>
          </w:rPr>
          <w:t xml:space="preserve">-education’, Forced </w:t>
        </w:r>
        <w:proofErr w:type="spellStart"/>
        <w:r w:rsidRPr="00C15A3D">
          <w:rPr>
            <w:rStyle w:val="Hyperlink"/>
            <w:rFonts w:ascii="Verdana" w:hAnsi="Verdana" w:cs="Calibri"/>
            <w:sz w:val="14"/>
            <w:lang w:val="en-US"/>
          </w:rPr>
          <w:t>Labour</w:t>
        </w:r>
        <w:proofErr w:type="spellEnd"/>
        <w:r w:rsidRPr="00C15A3D">
          <w:rPr>
            <w:rStyle w:val="Hyperlink"/>
            <w:rFonts w:ascii="Verdana" w:hAnsi="Verdana" w:cs="Calibri"/>
            <w:sz w:val="14"/>
            <w:lang w:val="en-US"/>
          </w:rPr>
          <w:t xml:space="preserve"> and Surveillance beyond Xinjiang”</w:t>
        </w:r>
      </w:hyperlink>
      <w:r w:rsidRPr="00C15A3D">
        <w:rPr>
          <w:rFonts w:ascii="Verdana" w:hAnsi="Verdana" w:cs="Calibri"/>
          <w:sz w:val="14"/>
          <w:lang w:val="en-US"/>
        </w:rPr>
        <w:t xml:space="preserve">, Australian Strategic Policy Institute, 1 March 2020. </w:t>
      </w:r>
    </w:p>
  </w:endnote>
  <w:endnote w:id="7">
    <w:p w14:paraId="0445BE53" w14:textId="77777777" w:rsidR="00C15A3D" w:rsidRPr="00C15A3D" w:rsidRDefault="00C15A3D" w:rsidP="00C15A3D">
      <w:pPr>
        <w:pStyle w:val="Endnotentext"/>
        <w:rPr>
          <w:rFonts w:ascii="Verdana" w:hAnsi="Verdana" w:cs="Calibri"/>
          <w:sz w:val="14"/>
          <w:lang w:val="en-US"/>
        </w:rPr>
      </w:pPr>
      <w:r w:rsidRPr="00C15A3D">
        <w:rPr>
          <w:rStyle w:val="Endnotenzeichen"/>
          <w:rFonts w:ascii="Verdana" w:hAnsi="Verdana" w:cs="Calibri"/>
          <w:sz w:val="14"/>
        </w:rPr>
        <w:endnoteRef/>
      </w:r>
      <w:r w:rsidRPr="00C15A3D">
        <w:rPr>
          <w:rFonts w:ascii="Verdana" w:hAnsi="Verdana" w:cs="Calibri"/>
          <w:sz w:val="14"/>
          <w:lang w:val="en-US"/>
        </w:rPr>
        <w:t xml:space="preserve"> </w:t>
      </w:r>
      <w:hyperlink r:id="rId10" w:history="1">
        <w:r w:rsidRPr="00C15A3D">
          <w:rPr>
            <w:rStyle w:val="Hyperlink"/>
            <w:rFonts w:ascii="Verdana" w:hAnsi="Verdana" w:cs="Calibri"/>
            <w:sz w:val="14"/>
            <w:lang w:val="en-US"/>
          </w:rPr>
          <w:t>“The Australian Broadcasting Corporation’s Exposé on Forced Labor in Xinjiang”</w:t>
        </w:r>
      </w:hyperlink>
      <w:r w:rsidRPr="00C15A3D">
        <w:rPr>
          <w:rFonts w:ascii="Verdana" w:hAnsi="Verdana" w:cs="Calibri"/>
          <w:sz w:val="14"/>
          <w:lang w:val="en-US"/>
        </w:rPr>
        <w:t xml:space="preserve">, Jernigan Global, 1028, 22 July 2019. </w:t>
      </w:r>
    </w:p>
  </w:endnote>
  <w:endnote w:id="8">
    <w:p w14:paraId="02A326C9" w14:textId="77777777" w:rsidR="00C15A3D" w:rsidRPr="00C15A3D" w:rsidRDefault="00C15A3D" w:rsidP="00C15A3D">
      <w:pPr>
        <w:pStyle w:val="Endnotentext"/>
        <w:rPr>
          <w:rFonts w:ascii="Verdana" w:hAnsi="Verdana" w:cs="Calibri"/>
          <w:sz w:val="14"/>
          <w:lang w:val="en-US"/>
        </w:rPr>
      </w:pPr>
      <w:r w:rsidRPr="00C15A3D">
        <w:rPr>
          <w:rStyle w:val="Endnotenzeichen"/>
          <w:rFonts w:ascii="Verdana" w:hAnsi="Verdana" w:cs="Calibri"/>
          <w:sz w:val="14"/>
        </w:rPr>
        <w:endnoteRef/>
      </w:r>
      <w:r w:rsidRPr="00C15A3D">
        <w:rPr>
          <w:rFonts w:ascii="Verdana" w:hAnsi="Verdana" w:cs="Calibri"/>
          <w:sz w:val="14"/>
          <w:lang w:val="en-US"/>
        </w:rPr>
        <w:t xml:space="preserve"> </w:t>
      </w:r>
      <w:hyperlink r:id="rId11" w:history="1">
        <w:r w:rsidRPr="00C15A3D">
          <w:rPr>
            <w:rStyle w:val="Hyperlink"/>
            <w:rFonts w:ascii="Verdana" w:hAnsi="Verdana" w:cs="Calibri"/>
            <w:sz w:val="14"/>
            <w:lang w:val="en-US"/>
          </w:rPr>
          <w:t>“Pairing Programs in Xinjiang: Priority Sectors and Human Rights Risks”</w:t>
        </w:r>
      </w:hyperlink>
      <w:r w:rsidRPr="00C15A3D">
        <w:rPr>
          <w:rFonts w:ascii="Verdana" w:hAnsi="Verdana" w:cs="Calibri"/>
          <w:sz w:val="14"/>
          <w:lang w:val="en-US"/>
        </w:rPr>
        <w:t xml:space="preserve">, Center for Strategic &amp; International Studies, 13 October 2020; </w:t>
      </w:r>
      <w:hyperlink r:id="rId12" w:history="1">
        <w:r w:rsidRPr="00C15A3D">
          <w:rPr>
            <w:rStyle w:val="Hyperlink"/>
            <w:rFonts w:ascii="Verdana" w:hAnsi="Verdana" w:cs="Calibri"/>
            <w:sz w:val="14"/>
            <w:lang w:val="en-US"/>
          </w:rPr>
          <w:t>“Xinjiang Supply Chain Business Advisory”</w:t>
        </w:r>
      </w:hyperlink>
      <w:r w:rsidRPr="00C15A3D">
        <w:rPr>
          <w:rFonts w:ascii="Verdana" w:hAnsi="Verdana" w:cs="Calibri"/>
          <w:sz w:val="14"/>
          <w:lang w:val="en-US"/>
        </w:rPr>
        <w:t xml:space="preserve">, U.S. Department of Commerce, 1 July 2020. </w:t>
      </w:r>
    </w:p>
  </w:endnote>
  <w:endnote w:id="9">
    <w:p w14:paraId="48139C13" w14:textId="77777777" w:rsidR="00C15A3D" w:rsidRPr="007B0D54" w:rsidRDefault="00C15A3D" w:rsidP="00C15A3D">
      <w:pPr>
        <w:pStyle w:val="Endnotentext"/>
        <w:rPr>
          <w:lang w:val="en-US"/>
        </w:rPr>
      </w:pPr>
      <w:r w:rsidRPr="00C15A3D">
        <w:rPr>
          <w:rStyle w:val="Endnotenzeichen"/>
          <w:rFonts w:ascii="Verdana" w:hAnsi="Verdana" w:cs="Calibri"/>
          <w:sz w:val="14"/>
        </w:rPr>
        <w:endnoteRef/>
      </w:r>
      <w:r w:rsidRPr="00C15A3D">
        <w:rPr>
          <w:rFonts w:ascii="Verdana" w:hAnsi="Verdana"/>
          <w:sz w:val="14"/>
          <w:lang w:val="en-US"/>
        </w:rPr>
        <w:t xml:space="preserve"> </w:t>
      </w:r>
      <w:hyperlink r:id="rId13" w:history="1">
        <w:r w:rsidRPr="00C15A3D">
          <w:rPr>
            <w:rStyle w:val="Hyperlink"/>
            <w:rFonts w:ascii="Verdana" w:hAnsi="Verdana" w:cs="Calibri"/>
            <w:sz w:val="14"/>
            <w:lang w:val="en-US"/>
          </w:rPr>
          <w:t>“Xinjiang Supply Chain Business Advisory”</w:t>
        </w:r>
      </w:hyperlink>
      <w:r w:rsidRPr="00C15A3D">
        <w:rPr>
          <w:rFonts w:ascii="Verdana" w:hAnsi="Verdana" w:cs="Calibri"/>
          <w:sz w:val="14"/>
          <w:lang w:val="en-US"/>
        </w:rPr>
        <w:t>, U.S. Department of Commerce, 1 July 2020.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10022FF" w:usb1="C000E47F" w:usb2="00000029" w:usb3="00000000" w:csb0="000001D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1903286"/>
      <w:docPartObj>
        <w:docPartGallery w:val="Page Numbers (Bottom of Page)"/>
        <w:docPartUnique/>
      </w:docPartObj>
    </w:sdtPr>
    <w:sdtEndPr>
      <w:rPr>
        <w:rFonts w:ascii="Verdana" w:hAnsi="Verdana"/>
        <w:sz w:val="14"/>
      </w:rPr>
    </w:sdtEndPr>
    <w:sdtContent>
      <w:p w14:paraId="5800E101" w14:textId="5A5A4ACF" w:rsidR="009132EB" w:rsidRPr="009132EB" w:rsidRDefault="009132EB">
        <w:pPr>
          <w:pStyle w:val="Fuzeile"/>
          <w:jc w:val="right"/>
          <w:rPr>
            <w:rFonts w:ascii="Verdana" w:hAnsi="Verdana"/>
            <w:sz w:val="14"/>
          </w:rPr>
        </w:pPr>
        <w:r w:rsidRPr="009132EB">
          <w:rPr>
            <w:rFonts w:ascii="Verdana" w:hAnsi="Verdana"/>
            <w:sz w:val="14"/>
          </w:rPr>
          <w:fldChar w:fldCharType="begin"/>
        </w:r>
        <w:r w:rsidRPr="009132EB">
          <w:rPr>
            <w:rFonts w:ascii="Verdana" w:hAnsi="Verdana"/>
            <w:sz w:val="14"/>
          </w:rPr>
          <w:instrText>PAGE   \* MERGEFORMAT</w:instrText>
        </w:r>
        <w:r w:rsidRPr="009132EB">
          <w:rPr>
            <w:rFonts w:ascii="Verdana" w:hAnsi="Verdana"/>
            <w:sz w:val="14"/>
          </w:rPr>
          <w:fldChar w:fldCharType="separate"/>
        </w:r>
        <w:r w:rsidR="00BB275A">
          <w:rPr>
            <w:rFonts w:ascii="Verdana" w:hAnsi="Verdana"/>
            <w:noProof/>
            <w:sz w:val="14"/>
          </w:rPr>
          <w:t>5</w:t>
        </w:r>
        <w:r w:rsidRPr="009132EB">
          <w:rPr>
            <w:rFonts w:ascii="Verdana" w:hAnsi="Verdana"/>
            <w:sz w:val="14"/>
          </w:rPr>
          <w:fldChar w:fldCharType="end"/>
        </w:r>
      </w:p>
    </w:sdtContent>
  </w:sdt>
  <w:p w14:paraId="34C4C598" w14:textId="77777777" w:rsidR="009132EB" w:rsidRDefault="009132E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F13896" w14:textId="77777777" w:rsidR="00B73FA4" w:rsidRDefault="00B73FA4" w:rsidP="00EE1961">
      <w:pPr>
        <w:spacing w:after="0" w:line="240" w:lineRule="auto"/>
      </w:pPr>
      <w:r>
        <w:separator/>
      </w:r>
    </w:p>
  </w:footnote>
  <w:footnote w:type="continuationSeparator" w:id="0">
    <w:p w14:paraId="36385528" w14:textId="77777777" w:rsidR="00B73FA4" w:rsidRDefault="00B73FA4" w:rsidP="00EE19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368F3"/>
    <w:multiLevelType w:val="hybridMultilevel"/>
    <w:tmpl w:val="FBF0E072"/>
    <w:lvl w:ilvl="0" w:tplc="9DEAAE0E">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 w15:restartNumberingAfterBreak="0">
    <w:nsid w:val="12311578"/>
    <w:multiLevelType w:val="hybridMultilevel"/>
    <w:tmpl w:val="A39657E4"/>
    <w:lvl w:ilvl="0" w:tplc="30ACB41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38343C1"/>
    <w:multiLevelType w:val="hybridMultilevel"/>
    <w:tmpl w:val="5ABC3EEE"/>
    <w:lvl w:ilvl="0" w:tplc="C14E87A6">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 w15:restartNumberingAfterBreak="0">
    <w:nsid w:val="22915474"/>
    <w:multiLevelType w:val="hybridMultilevel"/>
    <w:tmpl w:val="469A197E"/>
    <w:lvl w:ilvl="0" w:tplc="A27ACD3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2F07911"/>
    <w:multiLevelType w:val="hybridMultilevel"/>
    <w:tmpl w:val="A6BADEBC"/>
    <w:lvl w:ilvl="0" w:tplc="041D0017">
      <w:start w:val="1"/>
      <w:numFmt w:val="lowerLetter"/>
      <w:lvlText w:val="%1)"/>
      <w:lvlJc w:val="left"/>
      <w:pPr>
        <w:ind w:left="1429" w:hanging="360"/>
      </w:pPr>
    </w:lvl>
    <w:lvl w:ilvl="1" w:tplc="041D0019" w:tentative="1">
      <w:start w:val="1"/>
      <w:numFmt w:val="lowerLetter"/>
      <w:lvlText w:val="%2."/>
      <w:lvlJc w:val="left"/>
      <w:pPr>
        <w:ind w:left="2149" w:hanging="360"/>
      </w:pPr>
    </w:lvl>
    <w:lvl w:ilvl="2" w:tplc="041D001B" w:tentative="1">
      <w:start w:val="1"/>
      <w:numFmt w:val="lowerRoman"/>
      <w:lvlText w:val="%3."/>
      <w:lvlJc w:val="right"/>
      <w:pPr>
        <w:ind w:left="2869" w:hanging="180"/>
      </w:pPr>
    </w:lvl>
    <w:lvl w:ilvl="3" w:tplc="041D000F" w:tentative="1">
      <w:start w:val="1"/>
      <w:numFmt w:val="decimal"/>
      <w:lvlText w:val="%4."/>
      <w:lvlJc w:val="left"/>
      <w:pPr>
        <w:ind w:left="3589" w:hanging="360"/>
      </w:pPr>
    </w:lvl>
    <w:lvl w:ilvl="4" w:tplc="041D0019" w:tentative="1">
      <w:start w:val="1"/>
      <w:numFmt w:val="lowerLetter"/>
      <w:lvlText w:val="%5."/>
      <w:lvlJc w:val="left"/>
      <w:pPr>
        <w:ind w:left="4309" w:hanging="360"/>
      </w:pPr>
    </w:lvl>
    <w:lvl w:ilvl="5" w:tplc="041D001B" w:tentative="1">
      <w:start w:val="1"/>
      <w:numFmt w:val="lowerRoman"/>
      <w:lvlText w:val="%6."/>
      <w:lvlJc w:val="right"/>
      <w:pPr>
        <w:ind w:left="5029" w:hanging="180"/>
      </w:pPr>
    </w:lvl>
    <w:lvl w:ilvl="6" w:tplc="041D000F" w:tentative="1">
      <w:start w:val="1"/>
      <w:numFmt w:val="decimal"/>
      <w:lvlText w:val="%7."/>
      <w:lvlJc w:val="left"/>
      <w:pPr>
        <w:ind w:left="5749" w:hanging="360"/>
      </w:pPr>
    </w:lvl>
    <w:lvl w:ilvl="7" w:tplc="041D0019" w:tentative="1">
      <w:start w:val="1"/>
      <w:numFmt w:val="lowerLetter"/>
      <w:lvlText w:val="%8."/>
      <w:lvlJc w:val="left"/>
      <w:pPr>
        <w:ind w:left="6469" w:hanging="360"/>
      </w:pPr>
    </w:lvl>
    <w:lvl w:ilvl="8" w:tplc="041D001B" w:tentative="1">
      <w:start w:val="1"/>
      <w:numFmt w:val="lowerRoman"/>
      <w:lvlText w:val="%9."/>
      <w:lvlJc w:val="right"/>
      <w:pPr>
        <w:ind w:left="7189" w:hanging="180"/>
      </w:pPr>
    </w:lvl>
  </w:abstractNum>
  <w:abstractNum w:abstractNumId="5" w15:restartNumberingAfterBreak="0">
    <w:nsid w:val="25BF38EC"/>
    <w:multiLevelType w:val="hybridMultilevel"/>
    <w:tmpl w:val="D6D654C4"/>
    <w:lvl w:ilvl="0" w:tplc="A27ACD3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19E33F6"/>
    <w:multiLevelType w:val="hybridMultilevel"/>
    <w:tmpl w:val="26A2787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D76176A"/>
    <w:multiLevelType w:val="hybridMultilevel"/>
    <w:tmpl w:val="E50A6122"/>
    <w:lvl w:ilvl="0" w:tplc="A27ACD3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E3B29DD"/>
    <w:multiLevelType w:val="hybridMultilevel"/>
    <w:tmpl w:val="693CA022"/>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558D3CD5"/>
    <w:multiLevelType w:val="hybridMultilevel"/>
    <w:tmpl w:val="CAA81754"/>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642B0A46"/>
    <w:multiLevelType w:val="hybridMultilevel"/>
    <w:tmpl w:val="8F066986"/>
    <w:lvl w:ilvl="0" w:tplc="A27ACD3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C6E0881"/>
    <w:multiLevelType w:val="hybridMultilevel"/>
    <w:tmpl w:val="E2BE1114"/>
    <w:lvl w:ilvl="0" w:tplc="A27ACD3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E074FEB"/>
    <w:multiLevelType w:val="hybridMultilevel"/>
    <w:tmpl w:val="E580F4C0"/>
    <w:lvl w:ilvl="0" w:tplc="041D0017">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3" w15:restartNumberingAfterBreak="0">
    <w:nsid w:val="745D56F4"/>
    <w:multiLevelType w:val="hybridMultilevel"/>
    <w:tmpl w:val="242E6462"/>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 w:numId="3">
    <w:abstractNumId w:val="12"/>
  </w:num>
  <w:num w:numId="4">
    <w:abstractNumId w:val="11"/>
  </w:num>
  <w:num w:numId="5">
    <w:abstractNumId w:val="2"/>
  </w:num>
  <w:num w:numId="6">
    <w:abstractNumId w:val="4"/>
  </w:num>
  <w:num w:numId="7">
    <w:abstractNumId w:val="5"/>
  </w:num>
  <w:num w:numId="8">
    <w:abstractNumId w:val="3"/>
  </w:num>
  <w:num w:numId="9">
    <w:abstractNumId w:val="6"/>
  </w:num>
  <w:num w:numId="10">
    <w:abstractNumId w:val="13"/>
  </w:num>
  <w:num w:numId="11">
    <w:abstractNumId w:val="8"/>
  </w:num>
  <w:num w:numId="12">
    <w:abstractNumId w:val="9"/>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38B"/>
    <w:rsid w:val="00013FCB"/>
    <w:rsid w:val="000676AD"/>
    <w:rsid w:val="00074E1A"/>
    <w:rsid w:val="00093F2A"/>
    <w:rsid w:val="00096242"/>
    <w:rsid w:val="000F006C"/>
    <w:rsid w:val="001203A2"/>
    <w:rsid w:val="00123A09"/>
    <w:rsid w:val="00180DB4"/>
    <w:rsid w:val="001A5D99"/>
    <w:rsid w:val="001B2A28"/>
    <w:rsid w:val="001C6DE5"/>
    <w:rsid w:val="002145C6"/>
    <w:rsid w:val="002411D1"/>
    <w:rsid w:val="00263208"/>
    <w:rsid w:val="002F5679"/>
    <w:rsid w:val="00320B55"/>
    <w:rsid w:val="00380D75"/>
    <w:rsid w:val="003B09E8"/>
    <w:rsid w:val="003B2ABA"/>
    <w:rsid w:val="003B4B87"/>
    <w:rsid w:val="003B560E"/>
    <w:rsid w:val="00414872"/>
    <w:rsid w:val="004408CD"/>
    <w:rsid w:val="0044386A"/>
    <w:rsid w:val="00445BFD"/>
    <w:rsid w:val="004845A3"/>
    <w:rsid w:val="004C782E"/>
    <w:rsid w:val="00502B38"/>
    <w:rsid w:val="005068DD"/>
    <w:rsid w:val="005416B6"/>
    <w:rsid w:val="0054438B"/>
    <w:rsid w:val="00591FC9"/>
    <w:rsid w:val="005A1FA4"/>
    <w:rsid w:val="005A20ED"/>
    <w:rsid w:val="005A7DC2"/>
    <w:rsid w:val="005C472B"/>
    <w:rsid w:val="005D12B0"/>
    <w:rsid w:val="00604FB0"/>
    <w:rsid w:val="00650EC2"/>
    <w:rsid w:val="006615AA"/>
    <w:rsid w:val="006C63BC"/>
    <w:rsid w:val="006E1412"/>
    <w:rsid w:val="007000C3"/>
    <w:rsid w:val="00762F7C"/>
    <w:rsid w:val="007A20FE"/>
    <w:rsid w:val="007A73CB"/>
    <w:rsid w:val="007B72E7"/>
    <w:rsid w:val="007C7BC5"/>
    <w:rsid w:val="008834AB"/>
    <w:rsid w:val="008924CD"/>
    <w:rsid w:val="00892FDE"/>
    <w:rsid w:val="008D1F3E"/>
    <w:rsid w:val="008E0C86"/>
    <w:rsid w:val="00901595"/>
    <w:rsid w:val="009132EB"/>
    <w:rsid w:val="009375D2"/>
    <w:rsid w:val="009410C1"/>
    <w:rsid w:val="00997472"/>
    <w:rsid w:val="009F0BA7"/>
    <w:rsid w:val="00A0401E"/>
    <w:rsid w:val="00A2045A"/>
    <w:rsid w:val="00A24717"/>
    <w:rsid w:val="00A4790F"/>
    <w:rsid w:val="00AD2C44"/>
    <w:rsid w:val="00AE1348"/>
    <w:rsid w:val="00AE6208"/>
    <w:rsid w:val="00AF6CF6"/>
    <w:rsid w:val="00B73FA4"/>
    <w:rsid w:val="00BB275A"/>
    <w:rsid w:val="00C1119E"/>
    <w:rsid w:val="00C15A3D"/>
    <w:rsid w:val="00C169A8"/>
    <w:rsid w:val="00C45F0C"/>
    <w:rsid w:val="00C60C97"/>
    <w:rsid w:val="00C76321"/>
    <w:rsid w:val="00C77074"/>
    <w:rsid w:val="00CB4234"/>
    <w:rsid w:val="00CE584D"/>
    <w:rsid w:val="00D95331"/>
    <w:rsid w:val="00E00505"/>
    <w:rsid w:val="00E03A10"/>
    <w:rsid w:val="00E10B3C"/>
    <w:rsid w:val="00E11402"/>
    <w:rsid w:val="00EC71F1"/>
    <w:rsid w:val="00ED04D8"/>
    <w:rsid w:val="00EE1961"/>
    <w:rsid w:val="00EE5A43"/>
    <w:rsid w:val="00EE68A8"/>
    <w:rsid w:val="00EF1D49"/>
    <w:rsid w:val="00F15D9F"/>
    <w:rsid w:val="00F457A7"/>
    <w:rsid w:val="00FF0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C92F9"/>
  <w15:chartTrackingRefBased/>
  <w15:docId w15:val="{015B298D-AAB6-4865-8CEA-025A6BE38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676AD"/>
    <w:pPr>
      <w:spacing w:after="120" w:line="300" w:lineRule="atLeast"/>
    </w:pPr>
    <w:rPr>
      <w:sz w:val="24"/>
      <w:lang w:val="sv-SE"/>
    </w:rPr>
  </w:style>
  <w:style w:type="paragraph" w:styleId="berschrift1">
    <w:name w:val="heading 1"/>
    <w:basedOn w:val="Standard"/>
    <w:next w:val="Standard"/>
    <w:link w:val="berschrift1Zchn"/>
    <w:uiPriority w:val="9"/>
    <w:qFormat/>
    <w:rsid w:val="00CB4234"/>
    <w:pPr>
      <w:keepNext/>
      <w:keepLines/>
      <w:spacing w:before="200" w:line="400" w:lineRule="exact"/>
      <w:outlineLvl w:val="0"/>
    </w:pPr>
    <w:rPr>
      <w:rFonts w:asciiTheme="majorHAnsi" w:eastAsiaTheme="majorEastAsia" w:hAnsiTheme="majorHAnsi" w:cstheme="majorBidi"/>
      <w:b/>
      <w:bCs/>
      <w:sz w:val="32"/>
      <w:szCs w:val="28"/>
    </w:rPr>
  </w:style>
  <w:style w:type="paragraph" w:styleId="berschrift2">
    <w:name w:val="heading 2"/>
    <w:basedOn w:val="Standard"/>
    <w:next w:val="Standard"/>
    <w:link w:val="berschrift2Zchn"/>
    <w:uiPriority w:val="9"/>
    <w:qFormat/>
    <w:rsid w:val="00CB4234"/>
    <w:pPr>
      <w:keepNext/>
      <w:keepLines/>
      <w:spacing w:before="200" w:line="360" w:lineRule="exact"/>
      <w:outlineLvl w:val="1"/>
    </w:pPr>
    <w:rPr>
      <w:rFonts w:asciiTheme="majorHAnsi" w:eastAsiaTheme="majorEastAsia" w:hAnsiTheme="majorHAnsi" w:cstheme="majorBidi"/>
      <w:b/>
      <w:bCs/>
      <w:sz w:val="28"/>
      <w:szCs w:val="26"/>
    </w:rPr>
  </w:style>
  <w:style w:type="paragraph" w:styleId="berschrift3">
    <w:name w:val="heading 3"/>
    <w:basedOn w:val="Standard"/>
    <w:next w:val="Standard"/>
    <w:link w:val="berschrift3Zchn"/>
    <w:uiPriority w:val="9"/>
    <w:qFormat/>
    <w:rsid w:val="00CB4234"/>
    <w:pPr>
      <w:keepNext/>
      <w:keepLines/>
      <w:spacing w:before="160" w:after="80" w:line="320" w:lineRule="exact"/>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CB4234"/>
    <w:pPr>
      <w:keepNext/>
      <w:keepLines/>
      <w:spacing w:before="160" w:after="80" w:line="300" w:lineRule="exact"/>
      <w:outlineLvl w:val="3"/>
    </w:pPr>
    <w:rPr>
      <w:rFonts w:asciiTheme="majorHAnsi" w:eastAsiaTheme="majorEastAsia" w:hAnsiTheme="majorHAnsi" w:cstheme="majorBidi"/>
      <w:b/>
      <w:bCs/>
      <w:i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B4234"/>
    <w:rPr>
      <w:rFonts w:asciiTheme="majorHAnsi" w:eastAsiaTheme="majorEastAsia" w:hAnsiTheme="majorHAnsi" w:cstheme="majorBidi"/>
      <w:b/>
      <w:bCs/>
      <w:sz w:val="32"/>
      <w:szCs w:val="28"/>
    </w:rPr>
  </w:style>
  <w:style w:type="character" w:customStyle="1" w:styleId="berschrift2Zchn">
    <w:name w:val="Überschrift 2 Zchn"/>
    <w:basedOn w:val="Absatz-Standardschriftart"/>
    <w:link w:val="berschrift2"/>
    <w:uiPriority w:val="9"/>
    <w:rsid w:val="00CB4234"/>
    <w:rPr>
      <w:rFonts w:asciiTheme="majorHAnsi" w:eastAsiaTheme="majorEastAsia" w:hAnsiTheme="majorHAnsi" w:cstheme="majorBidi"/>
      <w:b/>
      <w:bCs/>
      <w:sz w:val="28"/>
      <w:szCs w:val="26"/>
    </w:rPr>
  </w:style>
  <w:style w:type="character" w:customStyle="1" w:styleId="berschrift3Zchn">
    <w:name w:val="Überschrift 3 Zchn"/>
    <w:basedOn w:val="Absatz-Standardschriftart"/>
    <w:link w:val="berschrift3"/>
    <w:uiPriority w:val="9"/>
    <w:rsid w:val="00CB4234"/>
    <w:rPr>
      <w:rFonts w:asciiTheme="majorHAnsi" w:eastAsiaTheme="majorEastAsia" w:hAnsiTheme="majorHAnsi" w:cstheme="majorBidi"/>
      <w:b/>
      <w:bCs/>
      <w:sz w:val="24"/>
    </w:rPr>
  </w:style>
  <w:style w:type="character" w:customStyle="1" w:styleId="berschrift4Zchn">
    <w:name w:val="Überschrift 4 Zchn"/>
    <w:basedOn w:val="Absatz-Standardschriftart"/>
    <w:link w:val="berschrift4"/>
    <w:uiPriority w:val="9"/>
    <w:rsid w:val="00CB4234"/>
    <w:rPr>
      <w:rFonts w:asciiTheme="majorHAnsi" w:eastAsiaTheme="majorEastAsia" w:hAnsiTheme="majorHAnsi" w:cstheme="majorBidi"/>
      <w:b/>
      <w:bCs/>
      <w:iCs/>
      <w:sz w:val="20"/>
    </w:rPr>
  </w:style>
  <w:style w:type="paragraph" w:styleId="KeinLeerraum">
    <w:name w:val="No Spacing"/>
    <w:uiPriority w:val="10"/>
    <w:semiHidden/>
    <w:rsid w:val="00CB4234"/>
    <w:pPr>
      <w:spacing w:after="0" w:line="240" w:lineRule="auto"/>
    </w:pPr>
    <w:rPr>
      <w:sz w:val="24"/>
    </w:rPr>
  </w:style>
  <w:style w:type="paragraph" w:styleId="Kopfzeile">
    <w:name w:val="header"/>
    <w:basedOn w:val="Standard"/>
    <w:link w:val="KopfzeileZchn"/>
    <w:uiPriority w:val="99"/>
    <w:unhideWhenUsed/>
    <w:rsid w:val="00EE1961"/>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EE1961"/>
    <w:rPr>
      <w:sz w:val="24"/>
      <w:lang w:val="sv-SE"/>
    </w:rPr>
  </w:style>
  <w:style w:type="paragraph" w:styleId="Fuzeile">
    <w:name w:val="footer"/>
    <w:basedOn w:val="Standard"/>
    <w:link w:val="FuzeileZchn"/>
    <w:uiPriority w:val="99"/>
    <w:unhideWhenUsed/>
    <w:rsid w:val="00EE1961"/>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EE1961"/>
    <w:rPr>
      <w:sz w:val="24"/>
      <w:lang w:val="sv-SE"/>
    </w:rPr>
  </w:style>
  <w:style w:type="paragraph" w:styleId="Listenabsatz">
    <w:name w:val="List Paragraph"/>
    <w:basedOn w:val="Standard"/>
    <w:uiPriority w:val="34"/>
    <w:qFormat/>
    <w:rsid w:val="00EC71F1"/>
    <w:pPr>
      <w:ind w:left="720"/>
      <w:contextualSpacing/>
    </w:pPr>
  </w:style>
  <w:style w:type="character" w:styleId="Kommentarzeichen">
    <w:name w:val="annotation reference"/>
    <w:basedOn w:val="Absatz-Standardschriftart"/>
    <w:uiPriority w:val="99"/>
    <w:semiHidden/>
    <w:unhideWhenUsed/>
    <w:rsid w:val="00EC71F1"/>
    <w:rPr>
      <w:sz w:val="16"/>
      <w:szCs w:val="16"/>
    </w:rPr>
  </w:style>
  <w:style w:type="paragraph" w:styleId="Kommentartext">
    <w:name w:val="annotation text"/>
    <w:basedOn w:val="Standard"/>
    <w:link w:val="KommentartextZchn"/>
    <w:uiPriority w:val="99"/>
    <w:unhideWhenUsed/>
    <w:rsid w:val="00EC71F1"/>
    <w:pPr>
      <w:spacing w:line="240" w:lineRule="auto"/>
    </w:pPr>
    <w:rPr>
      <w:sz w:val="20"/>
      <w:szCs w:val="20"/>
    </w:rPr>
  </w:style>
  <w:style w:type="character" w:customStyle="1" w:styleId="KommentartextZchn">
    <w:name w:val="Kommentartext Zchn"/>
    <w:basedOn w:val="Absatz-Standardschriftart"/>
    <w:link w:val="Kommentartext"/>
    <w:uiPriority w:val="99"/>
    <w:rsid w:val="00EC71F1"/>
    <w:rPr>
      <w:sz w:val="20"/>
      <w:szCs w:val="20"/>
      <w:lang w:val="sv-SE"/>
    </w:rPr>
  </w:style>
  <w:style w:type="character" w:styleId="Hyperlink">
    <w:name w:val="Hyperlink"/>
    <w:basedOn w:val="Absatz-Standardschriftart"/>
    <w:uiPriority w:val="99"/>
    <w:unhideWhenUsed/>
    <w:rsid w:val="00EC71F1"/>
    <w:rPr>
      <w:color w:val="0000FF" w:themeColor="hyperlink"/>
      <w:u w:val="single"/>
    </w:rPr>
  </w:style>
  <w:style w:type="paragraph" w:styleId="Endnotentext">
    <w:name w:val="endnote text"/>
    <w:basedOn w:val="Standard"/>
    <w:link w:val="EndnotentextZchn"/>
    <w:uiPriority w:val="99"/>
    <w:semiHidden/>
    <w:unhideWhenUsed/>
    <w:rsid w:val="00EC71F1"/>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EC71F1"/>
    <w:rPr>
      <w:sz w:val="20"/>
      <w:szCs w:val="20"/>
      <w:lang w:val="sv-SE"/>
    </w:rPr>
  </w:style>
  <w:style w:type="character" w:styleId="Endnotenzeichen">
    <w:name w:val="endnote reference"/>
    <w:basedOn w:val="Absatz-Standardschriftart"/>
    <w:uiPriority w:val="99"/>
    <w:semiHidden/>
    <w:unhideWhenUsed/>
    <w:rsid w:val="00EC71F1"/>
    <w:rPr>
      <w:vertAlign w:val="superscript"/>
    </w:rPr>
  </w:style>
  <w:style w:type="paragraph" w:styleId="Sprechblasentext">
    <w:name w:val="Balloon Text"/>
    <w:basedOn w:val="Standard"/>
    <w:link w:val="SprechblasentextZchn"/>
    <w:uiPriority w:val="99"/>
    <w:semiHidden/>
    <w:unhideWhenUsed/>
    <w:rsid w:val="00EC71F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C71F1"/>
    <w:rPr>
      <w:rFonts w:ascii="Segoe UI" w:hAnsi="Segoe UI" w:cs="Segoe UI"/>
      <w:sz w:val="18"/>
      <w:szCs w:val="18"/>
      <w:lang w:val="sv-SE"/>
    </w:rPr>
  </w:style>
  <w:style w:type="paragraph" w:styleId="Kommentarthema">
    <w:name w:val="annotation subject"/>
    <w:basedOn w:val="Kommentartext"/>
    <w:next w:val="Kommentartext"/>
    <w:link w:val="KommentarthemaZchn"/>
    <w:uiPriority w:val="99"/>
    <w:semiHidden/>
    <w:unhideWhenUsed/>
    <w:rsid w:val="00C15A3D"/>
    <w:rPr>
      <w:b/>
      <w:bCs/>
    </w:rPr>
  </w:style>
  <w:style w:type="character" w:customStyle="1" w:styleId="KommentarthemaZchn">
    <w:name w:val="Kommentarthema Zchn"/>
    <w:basedOn w:val="KommentartextZchn"/>
    <w:link w:val="Kommentarthema"/>
    <w:uiPriority w:val="99"/>
    <w:semiHidden/>
    <w:rsid w:val="00C15A3D"/>
    <w:rPr>
      <w:b/>
      <w:bCs/>
      <w:sz w:val="20"/>
      <w:szCs w:val="20"/>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0.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www.nytimes.com/2019/05/22/world/asia/china-surveillance-xinjiang.html" TargetMode="External"/><Relationship Id="rId13" Type="http://schemas.openxmlformats.org/officeDocument/2006/relationships/hyperlink" Target="https://www.bis.doc.gov/index.php/documents/pdfs/2569-xinjiang-supply-chain-business-advisory-final-for-508/file" TargetMode="External"/><Relationship Id="rId3" Type="http://schemas.openxmlformats.org/officeDocument/2006/relationships/hyperlink" Target="https://www.jpolrisk.com/wash-brains-cleanse-hearts/" TargetMode="External"/><Relationship Id="rId7" Type="http://schemas.openxmlformats.org/officeDocument/2006/relationships/hyperlink" Target="https://www.bis.doc.gov/index.php/documents/pdfs/2569-xinjiang-supply-chain-business-advisory-final-for-508/file" TargetMode="External"/><Relationship Id="rId12" Type="http://schemas.openxmlformats.org/officeDocument/2006/relationships/hyperlink" Target="https://www.bis.doc.gov/index.php/documents/pdfs/2569-xinjiang-supply-chain-business-advisory-final-for-508/file" TargetMode="External"/><Relationship Id="rId2" Type="http://schemas.openxmlformats.org/officeDocument/2006/relationships/hyperlink" Target="https://www.cecc.gov/sites/chinacommission.house.gov/files/documents/CECC%20Staff%20Report%20March%202020%20-%20Global%20Supply%20Chains%2C%20Forced%20Labor%2C%20and%20the%20Xinjiang%20Uyghur%20Autonomous%20Region.pdf" TargetMode="External"/><Relationship Id="rId1" Type="http://schemas.openxmlformats.org/officeDocument/2006/relationships/hyperlink" Target="http://docstore.ohchr.org/SelfServices/FilesHandler.ashx?enc=6QkG1d%2fPPRiCAqhKb7yhslsns7vAyg8M3uDZ7rn5ZZMW4psIG8%2fevE%2fZXWBEvcRTevsX4htmWQRmXdLs%2fC29wCxsvSRzNMUUMc2kVpwgZMtPy7CP%2bLMBCCgcm%2fXghtaV49BfVszv5rtIelug%2f%2fhbhA%3d%3d" TargetMode="External"/><Relationship Id="rId6" Type="http://schemas.openxmlformats.org/officeDocument/2006/relationships/hyperlink" Target="https://www.hrw.org/sites/default/files/report_pdf/china0918_web.pdf" TargetMode="External"/><Relationship Id="rId11" Type="http://schemas.openxmlformats.org/officeDocument/2006/relationships/hyperlink" Target="https://www.csis.org/analysis/pairing-programs-xinjiang-priority-sectors-and-human-rights-risks" TargetMode="External"/><Relationship Id="rId5" Type="http://schemas.openxmlformats.org/officeDocument/2006/relationships/hyperlink" Target="https://www.hrw.org/world-report/2019/country-chapters/china-and-tibet" TargetMode="External"/><Relationship Id="rId10" Type="http://schemas.openxmlformats.org/officeDocument/2006/relationships/hyperlink" Target="https://www.gujcot.com/upload_files/news/Jernigan%20Global%2022-July-2019.pdf" TargetMode="External"/><Relationship Id="rId4" Type="http://schemas.openxmlformats.org/officeDocument/2006/relationships/hyperlink" Target="https://www.aspi.org.au/report/mapping-xinjiangs-re-education-camps" TargetMode="External"/><Relationship Id="rId9" Type="http://schemas.openxmlformats.org/officeDocument/2006/relationships/hyperlink" Target="https://www.aspi.org.au/report/uyghurs-sale" TargetMode="External"/></Relationships>
</file>

<file path=word/theme/theme1.xml><?xml version="1.0" encoding="utf-8"?>
<a:theme xmlns:a="http://schemas.openxmlformats.org/drawingml/2006/main" name="Office-tema">
  <a:themeElements>
    <a:clrScheme name="SKL">
      <a:dk1>
        <a:sysClr val="windowText" lastClr="000000"/>
      </a:dk1>
      <a:lt1>
        <a:sysClr val="window" lastClr="FFFFFF"/>
      </a:lt1>
      <a:dk2>
        <a:srgbClr val="4D4D4D"/>
      </a:dk2>
      <a:lt2>
        <a:srgbClr val="EEECE1"/>
      </a:lt2>
      <a:accent1>
        <a:srgbClr val="006428"/>
      </a:accent1>
      <a:accent2>
        <a:srgbClr val="005A9B"/>
      </a:accent2>
      <a:accent3>
        <a:srgbClr val="B9141E"/>
      </a:accent3>
      <a:accent4>
        <a:srgbClr val="5A5A96"/>
      </a:accent4>
      <a:accent5>
        <a:srgbClr val="8C7D6E"/>
      </a:accent5>
      <a:accent6>
        <a:srgbClr val="E6460A"/>
      </a:accent6>
      <a:hlink>
        <a:srgbClr val="0000FF"/>
      </a:hlink>
      <a:folHlink>
        <a:srgbClr val="800080"/>
      </a:folHlink>
    </a:clrScheme>
    <a:fontScheme name="WD SKL">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1295</Words>
  <Characters>8160</Characters>
  <Application>Microsoft Office Word</Application>
  <DocSecurity>0</DocSecurity>
  <Lines>68</Lines>
  <Paragraphs>18</Paragraphs>
  <ScaleCrop>false</ScaleCrop>
  <HeadingPairs>
    <vt:vector size="2" baseType="variant">
      <vt:variant>
        <vt:lpstr>Rubrik</vt:lpstr>
      </vt:variant>
      <vt:variant>
        <vt:i4>1</vt:i4>
      </vt:variant>
    </vt:vector>
  </HeadingPairs>
  <TitlesOfParts>
    <vt:vector size="1" baseType="lpstr">
      <vt:lpstr/>
    </vt:vector>
  </TitlesOfParts>
  <Company>Sverige Kommuner och Landsting</Company>
  <LinksUpToDate>false</LinksUpToDate>
  <CharactersWithSpaces>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Tallbo Kristin</dc:creator>
  <cp:keywords/>
  <dc:description/>
  <cp:lastModifiedBy>Saskia Wilks</cp:lastModifiedBy>
  <cp:revision>2</cp:revision>
  <dcterms:created xsi:type="dcterms:W3CDTF">2021-01-25T14:31:00Z</dcterms:created>
  <dcterms:modified xsi:type="dcterms:W3CDTF">2021-01-25T14:31:00Z</dcterms:modified>
</cp:coreProperties>
</file>