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6"/>
        <w:gridCol w:w="2946"/>
        <w:gridCol w:w="2946"/>
      </w:tblGrid>
      <w:tr w:rsidR="000732F6" w14:paraId="18E909B4" w14:textId="77777777" w:rsidTr="003D6A94">
        <w:trPr>
          <w:jc w:val="center"/>
        </w:trPr>
        <w:tc>
          <w:tcPr>
            <w:tcW w:w="2946" w:type="dxa"/>
            <w:vAlign w:val="center"/>
          </w:tcPr>
          <w:p w14:paraId="4E47869A" w14:textId="77777777" w:rsidR="000732F6" w:rsidRDefault="000732F6" w:rsidP="003D6A94">
            <w:pPr>
              <w:pStyle w:val="Ttulo1"/>
              <w:spacing w:before="0"/>
              <w:jc w:val="center"/>
              <w:outlineLvl w:val="0"/>
              <w:rPr>
                <w:sz w:val="32"/>
                <w:szCs w:val="32"/>
              </w:rPr>
            </w:pPr>
            <w:r>
              <w:rPr>
                <w:noProof/>
                <w:lang w:eastAsia="es-CR"/>
              </w:rPr>
              <w:drawing>
                <wp:inline distT="0" distB="0" distL="0" distR="0" wp14:anchorId="3F260666" wp14:editId="30D03FE3">
                  <wp:extent cx="1963973" cy="547416"/>
                  <wp:effectExtent l="0" t="0" r="0" b="0"/>
                  <wp:docPr id="1" name="Imagen 1" descr="https://i0.wp.com/presidencia.go.cr/wp-content/uploads/2015/11/comex.png?zoom=1.25&amp;fit=431%2C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presidencia.go.cr/wp-content/uploads/2015/11/comex.png?zoom=1.25&amp;fit=431%2C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349" cy="554210"/>
                          </a:xfrm>
                          <a:prstGeom prst="rect">
                            <a:avLst/>
                          </a:prstGeom>
                          <a:noFill/>
                          <a:ln>
                            <a:noFill/>
                          </a:ln>
                        </pic:spPr>
                      </pic:pic>
                    </a:graphicData>
                  </a:graphic>
                </wp:inline>
              </w:drawing>
            </w:r>
          </w:p>
        </w:tc>
        <w:tc>
          <w:tcPr>
            <w:tcW w:w="2946" w:type="dxa"/>
            <w:vAlign w:val="center"/>
          </w:tcPr>
          <w:p w14:paraId="290392DF" w14:textId="77777777" w:rsidR="000732F6" w:rsidRDefault="000732F6" w:rsidP="003D6A94">
            <w:pPr>
              <w:pStyle w:val="Ttulo1"/>
              <w:spacing w:before="0"/>
              <w:jc w:val="center"/>
              <w:outlineLvl w:val="0"/>
              <w:rPr>
                <w:sz w:val="32"/>
                <w:szCs w:val="32"/>
              </w:rPr>
            </w:pPr>
            <w:r>
              <w:rPr>
                <w:noProof/>
              </w:rPr>
              <w:drawing>
                <wp:inline distT="0" distB="0" distL="0" distR="0" wp14:anchorId="402FB038" wp14:editId="00883C80">
                  <wp:extent cx="1744491" cy="97691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3544" cy="981984"/>
                          </a:xfrm>
                          <a:prstGeom prst="rect">
                            <a:avLst/>
                          </a:prstGeom>
                        </pic:spPr>
                      </pic:pic>
                    </a:graphicData>
                  </a:graphic>
                </wp:inline>
              </w:drawing>
            </w:r>
          </w:p>
        </w:tc>
        <w:tc>
          <w:tcPr>
            <w:tcW w:w="2946" w:type="dxa"/>
            <w:vAlign w:val="center"/>
          </w:tcPr>
          <w:p w14:paraId="640E40C4" w14:textId="77777777" w:rsidR="003D6A94" w:rsidRDefault="003D6A94" w:rsidP="003D6A94">
            <w:pPr>
              <w:pStyle w:val="Ttulo1"/>
              <w:spacing w:before="0"/>
              <w:jc w:val="center"/>
              <w:outlineLvl w:val="0"/>
              <w:rPr>
                <w:noProof/>
              </w:rPr>
            </w:pPr>
          </w:p>
          <w:p w14:paraId="09262F16" w14:textId="05D55443" w:rsidR="000732F6" w:rsidRPr="005B1EA6" w:rsidRDefault="00FC5EC0" w:rsidP="003D6A94">
            <w:pPr>
              <w:pStyle w:val="Ttulo1"/>
              <w:spacing w:before="0"/>
              <w:jc w:val="center"/>
              <w:outlineLvl w:val="0"/>
              <w:rPr>
                <w:rFonts w:ascii="Arial Narrow" w:hAnsi="Arial Narrow"/>
                <w:b w:val="0"/>
                <w:bCs w:val="0"/>
                <w:color w:val="000000" w:themeColor="text1"/>
                <w:sz w:val="32"/>
                <w:szCs w:val="32"/>
              </w:rPr>
            </w:pPr>
            <w:r>
              <w:rPr>
                <w:noProof/>
              </w:rPr>
              <w:drawing>
                <wp:inline distT="0" distB="0" distL="0" distR="0" wp14:anchorId="1BBB951C" wp14:editId="1926F017">
                  <wp:extent cx="1732992" cy="108522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838" b="18541"/>
                          <a:stretch/>
                        </pic:blipFill>
                        <pic:spPr bwMode="auto">
                          <a:xfrm>
                            <a:off x="0" y="0"/>
                            <a:ext cx="1733550" cy="108557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35F52E0" w14:textId="02B6DB57" w:rsidR="00D71B1B" w:rsidRPr="00D71B1B" w:rsidRDefault="00D71B1B" w:rsidP="00AF572F">
      <w:pPr>
        <w:spacing w:after="0" w:line="240" w:lineRule="auto"/>
      </w:pPr>
    </w:p>
    <w:p w14:paraId="7F9B82A4" w14:textId="7334DE30" w:rsidR="000146D7" w:rsidRDefault="00302163" w:rsidP="00AF572F">
      <w:pPr>
        <w:spacing w:after="0" w:line="240" w:lineRule="auto"/>
        <w:jc w:val="center"/>
        <w:rPr>
          <w:rFonts w:ascii="Arial Narrow" w:hAnsi="Arial Narrow"/>
          <w:b/>
          <w:sz w:val="28"/>
          <w:szCs w:val="28"/>
        </w:rPr>
      </w:pPr>
      <w:r>
        <w:rPr>
          <w:rFonts w:ascii="Arial Narrow" w:hAnsi="Arial Narrow"/>
          <w:b/>
          <w:sz w:val="28"/>
          <w:szCs w:val="28"/>
        </w:rPr>
        <w:t xml:space="preserve">Tribunal exime a Costa Rica de millonaria indemnización </w:t>
      </w:r>
      <w:r w:rsidR="000146D7">
        <w:rPr>
          <w:rFonts w:ascii="Arial Narrow" w:hAnsi="Arial Narrow"/>
          <w:b/>
          <w:sz w:val="28"/>
          <w:szCs w:val="28"/>
        </w:rPr>
        <w:t xml:space="preserve">en </w:t>
      </w:r>
      <w:r w:rsidR="00C815A5">
        <w:rPr>
          <w:rFonts w:ascii="Arial Narrow" w:hAnsi="Arial Narrow"/>
          <w:b/>
          <w:sz w:val="28"/>
          <w:szCs w:val="28"/>
        </w:rPr>
        <w:t xml:space="preserve">arbitraje internacional del </w:t>
      </w:r>
      <w:r w:rsidR="00203A39">
        <w:rPr>
          <w:rFonts w:ascii="Arial Narrow" w:hAnsi="Arial Narrow"/>
          <w:b/>
          <w:sz w:val="28"/>
          <w:szCs w:val="28"/>
        </w:rPr>
        <w:t xml:space="preserve">proyecto minero </w:t>
      </w:r>
      <w:r w:rsidR="00C815A5">
        <w:rPr>
          <w:rFonts w:ascii="Arial Narrow" w:hAnsi="Arial Narrow"/>
          <w:b/>
          <w:sz w:val="28"/>
          <w:szCs w:val="28"/>
        </w:rPr>
        <w:t>“</w:t>
      </w:r>
      <w:r w:rsidR="00203A39">
        <w:rPr>
          <w:rFonts w:ascii="Arial Narrow" w:hAnsi="Arial Narrow"/>
          <w:b/>
          <w:sz w:val="28"/>
          <w:szCs w:val="28"/>
        </w:rPr>
        <w:t>Crucitas</w:t>
      </w:r>
      <w:r w:rsidR="00C815A5">
        <w:rPr>
          <w:rFonts w:ascii="Arial Narrow" w:hAnsi="Arial Narrow"/>
          <w:b/>
          <w:sz w:val="28"/>
          <w:szCs w:val="28"/>
        </w:rPr>
        <w:t>”</w:t>
      </w:r>
    </w:p>
    <w:p w14:paraId="0B90148B" w14:textId="77777777" w:rsidR="000146D7" w:rsidRPr="000146D7" w:rsidRDefault="000146D7" w:rsidP="00AF572F">
      <w:pPr>
        <w:spacing w:after="0" w:line="240" w:lineRule="auto"/>
        <w:jc w:val="center"/>
        <w:rPr>
          <w:rFonts w:ascii="Arial Narrow" w:hAnsi="Arial Narrow"/>
          <w:b/>
          <w:sz w:val="28"/>
          <w:szCs w:val="28"/>
        </w:rPr>
      </w:pPr>
    </w:p>
    <w:p w14:paraId="7CE86667" w14:textId="51C281F1" w:rsidR="00521E50" w:rsidRPr="00F56A46" w:rsidRDefault="00543D3D" w:rsidP="008669D4">
      <w:pPr>
        <w:pStyle w:val="Prrafodelista"/>
        <w:numPr>
          <w:ilvl w:val="0"/>
          <w:numId w:val="1"/>
        </w:numPr>
        <w:spacing w:after="0" w:line="240" w:lineRule="auto"/>
        <w:rPr>
          <w:rFonts w:ascii="Arial Narrow" w:hAnsi="Arial Narrow"/>
          <w:i/>
          <w:sz w:val="20"/>
          <w:szCs w:val="20"/>
        </w:rPr>
      </w:pPr>
      <w:r>
        <w:rPr>
          <w:rFonts w:ascii="Arial Narrow" w:hAnsi="Arial Narrow"/>
          <w:i/>
          <w:sz w:val="20"/>
          <w:szCs w:val="20"/>
        </w:rPr>
        <w:t xml:space="preserve">Inversionista no </w:t>
      </w:r>
      <w:r w:rsidR="005512E5">
        <w:rPr>
          <w:rFonts w:ascii="Arial Narrow" w:hAnsi="Arial Narrow"/>
          <w:i/>
          <w:sz w:val="20"/>
          <w:szCs w:val="20"/>
        </w:rPr>
        <w:t>dem</w:t>
      </w:r>
      <w:r w:rsidR="008054B8">
        <w:rPr>
          <w:rFonts w:ascii="Arial Narrow" w:hAnsi="Arial Narrow"/>
          <w:i/>
          <w:sz w:val="20"/>
          <w:szCs w:val="20"/>
        </w:rPr>
        <w:t>uestra</w:t>
      </w:r>
      <w:r w:rsidR="005512E5">
        <w:rPr>
          <w:rFonts w:ascii="Arial Narrow" w:hAnsi="Arial Narrow"/>
          <w:i/>
          <w:sz w:val="20"/>
          <w:szCs w:val="20"/>
        </w:rPr>
        <w:t xml:space="preserve"> </w:t>
      </w:r>
      <w:r w:rsidR="00B27882" w:rsidRPr="006F798B">
        <w:rPr>
          <w:rFonts w:ascii="Arial Narrow" w:hAnsi="Arial Narrow"/>
          <w:i/>
          <w:sz w:val="20"/>
          <w:szCs w:val="20"/>
        </w:rPr>
        <w:t xml:space="preserve">daño </w:t>
      </w:r>
      <w:r w:rsidR="005512E5">
        <w:rPr>
          <w:rFonts w:ascii="Arial Narrow" w:hAnsi="Arial Narrow"/>
          <w:i/>
          <w:sz w:val="20"/>
          <w:szCs w:val="20"/>
        </w:rPr>
        <w:t xml:space="preserve">económico </w:t>
      </w:r>
      <w:r w:rsidR="005B4985">
        <w:rPr>
          <w:rFonts w:ascii="Arial Narrow" w:hAnsi="Arial Narrow"/>
          <w:i/>
          <w:sz w:val="20"/>
          <w:szCs w:val="20"/>
        </w:rPr>
        <w:t xml:space="preserve">que </w:t>
      </w:r>
      <w:r w:rsidR="005512E5">
        <w:rPr>
          <w:rFonts w:ascii="Arial Narrow" w:hAnsi="Arial Narrow"/>
          <w:i/>
          <w:sz w:val="20"/>
          <w:szCs w:val="20"/>
        </w:rPr>
        <w:t xml:space="preserve">reclamaba al </w:t>
      </w:r>
      <w:r w:rsidR="005B4985">
        <w:rPr>
          <w:rFonts w:ascii="Arial Narrow" w:hAnsi="Arial Narrow"/>
          <w:i/>
          <w:sz w:val="20"/>
          <w:szCs w:val="20"/>
        </w:rPr>
        <w:t>Estado</w:t>
      </w:r>
    </w:p>
    <w:p w14:paraId="467C4538" w14:textId="600FF7D7" w:rsidR="002437A9" w:rsidRPr="00F14B3F" w:rsidRDefault="00F14B3F" w:rsidP="00AF572F">
      <w:pPr>
        <w:pStyle w:val="Prrafodelista"/>
        <w:numPr>
          <w:ilvl w:val="0"/>
          <w:numId w:val="1"/>
        </w:numPr>
        <w:spacing w:after="0" w:line="240" w:lineRule="auto"/>
        <w:rPr>
          <w:rFonts w:ascii="Arial Narrow" w:hAnsi="Arial Narrow"/>
          <w:i/>
          <w:sz w:val="20"/>
          <w:szCs w:val="20"/>
        </w:rPr>
      </w:pPr>
      <w:r w:rsidRPr="00F14B3F">
        <w:rPr>
          <w:rFonts w:ascii="Arial Narrow" w:hAnsi="Arial Narrow"/>
          <w:i/>
          <w:sz w:val="20"/>
          <w:szCs w:val="20"/>
        </w:rPr>
        <w:t xml:space="preserve">Caso complejo toma más de 7 años en alcanzar </w:t>
      </w:r>
      <w:r>
        <w:rPr>
          <w:rFonts w:ascii="Arial Narrow" w:hAnsi="Arial Narrow"/>
          <w:i/>
          <w:sz w:val="20"/>
          <w:szCs w:val="20"/>
        </w:rPr>
        <w:t xml:space="preserve">decisión </w:t>
      </w:r>
      <w:r w:rsidRPr="00F14B3F">
        <w:rPr>
          <w:rFonts w:ascii="Arial Narrow" w:hAnsi="Arial Narrow"/>
          <w:i/>
          <w:sz w:val="20"/>
          <w:szCs w:val="20"/>
        </w:rPr>
        <w:t>final</w:t>
      </w:r>
    </w:p>
    <w:p w14:paraId="104F3C9F" w14:textId="4AD546CD" w:rsidR="00B1326C" w:rsidRDefault="00B1326C" w:rsidP="00AF572F">
      <w:pPr>
        <w:pStyle w:val="Prrafodelista"/>
        <w:spacing w:after="0" w:line="240" w:lineRule="auto"/>
        <w:rPr>
          <w:rFonts w:ascii="Arial Narrow" w:hAnsi="Arial Narrow"/>
          <w:i/>
          <w:sz w:val="20"/>
          <w:szCs w:val="20"/>
        </w:rPr>
      </w:pPr>
    </w:p>
    <w:p w14:paraId="7309F24C" w14:textId="77777777" w:rsidR="00B1326C" w:rsidRDefault="00B1326C" w:rsidP="00AF572F">
      <w:pPr>
        <w:pStyle w:val="Prrafodelista"/>
        <w:spacing w:after="0" w:line="240" w:lineRule="auto"/>
        <w:rPr>
          <w:rFonts w:ascii="Arial Narrow" w:hAnsi="Arial Narrow"/>
          <w:i/>
          <w:sz w:val="20"/>
          <w:szCs w:val="20"/>
        </w:rPr>
      </w:pPr>
    </w:p>
    <w:p w14:paraId="00DE0591" w14:textId="0FBC08A5" w:rsidR="00DE65FA" w:rsidRPr="00B1326C" w:rsidRDefault="00B1326C" w:rsidP="00AF572F">
      <w:pPr>
        <w:spacing w:after="0" w:line="240" w:lineRule="auto"/>
        <w:jc w:val="both"/>
        <w:rPr>
          <w:rFonts w:ascii="Arial Narrow" w:hAnsi="Arial Narrow"/>
          <w:iCs/>
          <w:sz w:val="24"/>
          <w:szCs w:val="24"/>
        </w:rPr>
      </w:pPr>
      <w:r>
        <w:rPr>
          <w:rFonts w:ascii="Arial Narrow" w:hAnsi="Arial Narrow"/>
          <w:b/>
          <w:bCs/>
          <w:iCs/>
          <w:sz w:val="24"/>
          <w:szCs w:val="24"/>
        </w:rPr>
        <w:t>San José</w:t>
      </w:r>
      <w:r w:rsidRPr="002437A9">
        <w:rPr>
          <w:rFonts w:ascii="Arial Narrow" w:hAnsi="Arial Narrow"/>
          <w:b/>
          <w:bCs/>
          <w:iCs/>
          <w:sz w:val="24"/>
          <w:szCs w:val="24"/>
        </w:rPr>
        <w:t xml:space="preserve">, </w:t>
      </w:r>
      <w:r w:rsidR="00C41D66" w:rsidRPr="002437A9">
        <w:rPr>
          <w:rFonts w:ascii="Arial Narrow" w:hAnsi="Arial Narrow"/>
          <w:b/>
          <w:bCs/>
          <w:iCs/>
          <w:sz w:val="24"/>
          <w:szCs w:val="24"/>
        </w:rPr>
        <w:t>3</w:t>
      </w:r>
      <w:r>
        <w:rPr>
          <w:rFonts w:ascii="Arial Narrow" w:hAnsi="Arial Narrow"/>
          <w:b/>
          <w:bCs/>
          <w:iCs/>
          <w:sz w:val="24"/>
          <w:szCs w:val="24"/>
        </w:rPr>
        <w:t xml:space="preserve"> de </w:t>
      </w:r>
      <w:r w:rsidR="00C41D66">
        <w:rPr>
          <w:rFonts w:ascii="Arial Narrow" w:hAnsi="Arial Narrow"/>
          <w:b/>
          <w:bCs/>
          <w:iCs/>
          <w:sz w:val="24"/>
          <w:szCs w:val="24"/>
        </w:rPr>
        <w:t xml:space="preserve">junio </w:t>
      </w:r>
      <w:r>
        <w:rPr>
          <w:rFonts w:ascii="Arial Narrow" w:hAnsi="Arial Narrow"/>
          <w:b/>
          <w:bCs/>
          <w:iCs/>
          <w:sz w:val="24"/>
          <w:szCs w:val="24"/>
        </w:rPr>
        <w:t xml:space="preserve">de 2021.- </w:t>
      </w:r>
      <w:r w:rsidRPr="00DE4491">
        <w:rPr>
          <w:rFonts w:ascii="Arial Narrow" w:hAnsi="Arial Narrow"/>
          <w:iCs/>
          <w:sz w:val="24"/>
          <w:szCs w:val="24"/>
        </w:rPr>
        <w:t>E</w:t>
      </w:r>
      <w:r>
        <w:rPr>
          <w:rFonts w:ascii="Arial Narrow" w:hAnsi="Arial Narrow"/>
          <w:iCs/>
          <w:sz w:val="24"/>
          <w:szCs w:val="24"/>
        </w:rPr>
        <w:t xml:space="preserve">l tribunal del </w:t>
      </w:r>
      <w:r w:rsidR="00F27C46">
        <w:rPr>
          <w:rFonts w:ascii="Arial Narrow" w:hAnsi="Arial Narrow"/>
          <w:iCs/>
          <w:sz w:val="24"/>
          <w:szCs w:val="24"/>
        </w:rPr>
        <w:t xml:space="preserve">arbitraje internacional </w:t>
      </w:r>
      <w:r>
        <w:rPr>
          <w:rFonts w:ascii="Arial Narrow" w:hAnsi="Arial Narrow"/>
          <w:iCs/>
          <w:sz w:val="24"/>
          <w:szCs w:val="24"/>
        </w:rPr>
        <w:t xml:space="preserve">iniciado </w:t>
      </w:r>
      <w:r w:rsidR="00414750">
        <w:rPr>
          <w:rFonts w:ascii="Arial Narrow" w:hAnsi="Arial Narrow"/>
          <w:iCs/>
          <w:sz w:val="24"/>
          <w:szCs w:val="24"/>
        </w:rPr>
        <w:t>en 2014 contra Costa Rica,</w:t>
      </w:r>
      <w:r w:rsidR="00414750" w:rsidDel="00D13AC4">
        <w:rPr>
          <w:rFonts w:ascii="Arial Narrow" w:hAnsi="Arial Narrow"/>
          <w:iCs/>
          <w:sz w:val="24"/>
          <w:szCs w:val="24"/>
        </w:rPr>
        <w:t xml:space="preserve"> </w:t>
      </w:r>
      <w:r>
        <w:rPr>
          <w:rFonts w:ascii="Arial Narrow" w:hAnsi="Arial Narrow"/>
          <w:iCs/>
          <w:sz w:val="24"/>
          <w:szCs w:val="24"/>
        </w:rPr>
        <w:t>por la empresa canadiense Infinito Gold Ltd. (Infinito)</w:t>
      </w:r>
      <w:r w:rsidR="00D13AC4">
        <w:rPr>
          <w:rFonts w:ascii="Arial Narrow" w:hAnsi="Arial Narrow"/>
          <w:iCs/>
          <w:sz w:val="24"/>
          <w:szCs w:val="24"/>
        </w:rPr>
        <w:t>,</w:t>
      </w:r>
      <w:r w:rsidR="00414750">
        <w:rPr>
          <w:rFonts w:ascii="Arial Narrow" w:hAnsi="Arial Narrow"/>
          <w:iCs/>
          <w:sz w:val="24"/>
          <w:szCs w:val="24"/>
        </w:rPr>
        <w:t xml:space="preserve"> </w:t>
      </w:r>
      <w:r>
        <w:rPr>
          <w:rFonts w:ascii="Arial Narrow" w:hAnsi="Arial Narrow"/>
          <w:iCs/>
          <w:sz w:val="24"/>
          <w:szCs w:val="24"/>
        </w:rPr>
        <w:t xml:space="preserve">notificó su decisión final, </w:t>
      </w:r>
      <w:r w:rsidR="00ED4FB4">
        <w:rPr>
          <w:rFonts w:ascii="Arial Narrow" w:hAnsi="Arial Narrow"/>
          <w:iCs/>
          <w:sz w:val="24"/>
          <w:szCs w:val="24"/>
        </w:rPr>
        <w:t xml:space="preserve">declarando que el </w:t>
      </w:r>
      <w:r w:rsidR="006633C9">
        <w:rPr>
          <w:rFonts w:ascii="Arial Narrow" w:hAnsi="Arial Narrow"/>
          <w:iCs/>
          <w:sz w:val="24"/>
          <w:szCs w:val="24"/>
        </w:rPr>
        <w:t>Estado costarricense</w:t>
      </w:r>
      <w:r w:rsidR="00ED4FB4">
        <w:rPr>
          <w:rFonts w:ascii="Arial Narrow" w:hAnsi="Arial Narrow"/>
          <w:iCs/>
          <w:sz w:val="24"/>
          <w:szCs w:val="24"/>
        </w:rPr>
        <w:t xml:space="preserve"> no deberá </w:t>
      </w:r>
      <w:r w:rsidR="00C33BCC">
        <w:rPr>
          <w:rFonts w:ascii="Arial Narrow" w:hAnsi="Arial Narrow"/>
          <w:iCs/>
          <w:sz w:val="24"/>
          <w:szCs w:val="24"/>
        </w:rPr>
        <w:t xml:space="preserve">pagar ninguna indemnización </w:t>
      </w:r>
      <w:r w:rsidR="00ED4FB4">
        <w:rPr>
          <w:rFonts w:ascii="Arial Narrow" w:hAnsi="Arial Narrow"/>
          <w:iCs/>
          <w:sz w:val="24"/>
          <w:szCs w:val="24"/>
        </w:rPr>
        <w:t>al inversionista</w:t>
      </w:r>
      <w:r w:rsidR="00CC6CFC">
        <w:rPr>
          <w:rFonts w:ascii="Arial Narrow" w:hAnsi="Arial Narrow"/>
          <w:iCs/>
          <w:sz w:val="24"/>
          <w:szCs w:val="24"/>
        </w:rPr>
        <w:t xml:space="preserve"> (que reclamaba cerca de US $400 millones)</w:t>
      </w:r>
      <w:r>
        <w:rPr>
          <w:rFonts w:ascii="Arial Narrow" w:hAnsi="Arial Narrow"/>
          <w:iCs/>
          <w:sz w:val="24"/>
          <w:szCs w:val="24"/>
        </w:rPr>
        <w:t xml:space="preserve">. El caso, ventilado ante el Centro Internacional de Arreglo de Diferencias Relativas a Inversiones (CIADI), fue planteado por Infinito con base en el “Acuerdo entre el Gobierno de la República de Costa Rica y el Gobierno de Canadá para la Promoción y Protección Recíproca de Inversiones”, </w:t>
      </w:r>
      <w:r w:rsidR="00F87434">
        <w:rPr>
          <w:rFonts w:ascii="Arial Narrow" w:hAnsi="Arial Narrow"/>
          <w:iCs/>
          <w:sz w:val="24"/>
          <w:szCs w:val="24"/>
        </w:rPr>
        <w:t xml:space="preserve">cuando </w:t>
      </w:r>
      <w:r w:rsidR="00D610FF">
        <w:rPr>
          <w:rFonts w:ascii="Arial Narrow" w:hAnsi="Arial Narrow"/>
          <w:iCs/>
          <w:sz w:val="24"/>
          <w:szCs w:val="24"/>
        </w:rPr>
        <w:t xml:space="preserve">se le canceló </w:t>
      </w:r>
      <w:r w:rsidRPr="007E54A1">
        <w:rPr>
          <w:rFonts w:ascii="Arial Narrow" w:hAnsi="Arial Narrow"/>
          <w:iCs/>
          <w:sz w:val="24"/>
          <w:szCs w:val="24"/>
        </w:rPr>
        <w:t>la concesión de</w:t>
      </w:r>
      <w:r>
        <w:rPr>
          <w:rFonts w:ascii="Arial Narrow" w:hAnsi="Arial Narrow"/>
          <w:iCs/>
          <w:sz w:val="24"/>
          <w:szCs w:val="24"/>
        </w:rPr>
        <w:t xml:space="preserve">l proyecto minero </w:t>
      </w:r>
      <w:r w:rsidR="002F70CA">
        <w:rPr>
          <w:rFonts w:ascii="Arial Narrow" w:hAnsi="Arial Narrow"/>
          <w:iCs/>
          <w:sz w:val="24"/>
          <w:szCs w:val="24"/>
        </w:rPr>
        <w:t>“</w:t>
      </w:r>
      <w:r>
        <w:rPr>
          <w:rFonts w:ascii="Arial Narrow" w:hAnsi="Arial Narrow"/>
          <w:iCs/>
          <w:sz w:val="24"/>
          <w:szCs w:val="24"/>
        </w:rPr>
        <w:t>Crucitas</w:t>
      </w:r>
      <w:r w:rsidR="002F70CA">
        <w:rPr>
          <w:rFonts w:ascii="Arial Narrow" w:hAnsi="Arial Narrow"/>
          <w:iCs/>
          <w:sz w:val="24"/>
          <w:szCs w:val="24"/>
        </w:rPr>
        <w:t>” a la empresa</w:t>
      </w:r>
      <w:r>
        <w:rPr>
          <w:rFonts w:ascii="Arial Narrow" w:hAnsi="Arial Narrow"/>
          <w:iCs/>
          <w:sz w:val="24"/>
          <w:szCs w:val="24"/>
        </w:rPr>
        <w:t>.</w:t>
      </w:r>
    </w:p>
    <w:p w14:paraId="62172467" w14:textId="1B8F8BBA" w:rsidR="00DE4491" w:rsidRDefault="00DE4491" w:rsidP="00AF572F">
      <w:pPr>
        <w:spacing w:after="0" w:line="240" w:lineRule="auto"/>
        <w:jc w:val="both"/>
        <w:rPr>
          <w:rFonts w:ascii="Arial Narrow" w:hAnsi="Arial Narrow"/>
          <w:iCs/>
          <w:sz w:val="24"/>
          <w:szCs w:val="24"/>
        </w:rPr>
      </w:pPr>
    </w:p>
    <w:p w14:paraId="396B2CDE" w14:textId="6A3C605C" w:rsidR="00F56E1F" w:rsidRDefault="008C08BB" w:rsidP="00AF572F">
      <w:pPr>
        <w:spacing w:after="0" w:line="240" w:lineRule="auto"/>
        <w:jc w:val="both"/>
        <w:rPr>
          <w:rFonts w:ascii="Arial Narrow" w:hAnsi="Arial Narrow"/>
          <w:iCs/>
          <w:sz w:val="24"/>
          <w:szCs w:val="24"/>
        </w:rPr>
      </w:pPr>
      <w:bookmarkStart w:id="0" w:name="_Hlk58232843"/>
      <w:r>
        <w:rPr>
          <w:rFonts w:ascii="Arial Narrow" w:hAnsi="Arial Narrow"/>
          <w:iCs/>
          <w:sz w:val="24"/>
          <w:szCs w:val="24"/>
        </w:rPr>
        <w:t xml:space="preserve">En su </w:t>
      </w:r>
      <w:r w:rsidR="00BA0FEB">
        <w:rPr>
          <w:rFonts w:ascii="Arial Narrow" w:hAnsi="Arial Narrow"/>
          <w:iCs/>
          <w:sz w:val="24"/>
          <w:szCs w:val="24"/>
        </w:rPr>
        <w:t xml:space="preserve">fallo (laudo arbitral), el tribunal </w:t>
      </w:r>
      <w:r w:rsidR="00A44462">
        <w:rPr>
          <w:rFonts w:ascii="Arial Narrow" w:hAnsi="Arial Narrow"/>
          <w:iCs/>
          <w:sz w:val="24"/>
          <w:szCs w:val="24"/>
        </w:rPr>
        <w:t xml:space="preserve">determinó que: </w:t>
      </w:r>
    </w:p>
    <w:p w14:paraId="5D2FA109" w14:textId="70BD46DD" w:rsidR="00F56E1F" w:rsidRPr="00F56E1F" w:rsidRDefault="008C08BB" w:rsidP="003E1FE4">
      <w:pPr>
        <w:pStyle w:val="Prrafodelista"/>
        <w:numPr>
          <w:ilvl w:val="0"/>
          <w:numId w:val="2"/>
        </w:numPr>
        <w:spacing w:after="0" w:line="240" w:lineRule="auto"/>
        <w:ind w:left="426" w:hanging="426"/>
        <w:jc w:val="both"/>
        <w:rPr>
          <w:rFonts w:ascii="Arial Narrow" w:hAnsi="Arial Narrow"/>
          <w:iCs/>
          <w:sz w:val="24"/>
          <w:szCs w:val="24"/>
        </w:rPr>
      </w:pPr>
      <w:r>
        <w:rPr>
          <w:rFonts w:ascii="Arial Narrow" w:hAnsi="Arial Narrow"/>
          <w:iCs/>
          <w:sz w:val="24"/>
          <w:szCs w:val="24"/>
        </w:rPr>
        <w:t xml:space="preserve">Costa Rica no le </w:t>
      </w:r>
      <w:r w:rsidR="006C3DB4" w:rsidRPr="00F56E1F">
        <w:rPr>
          <w:rFonts w:ascii="Arial Narrow" w:hAnsi="Arial Narrow"/>
          <w:iCs/>
          <w:sz w:val="24"/>
          <w:szCs w:val="24"/>
        </w:rPr>
        <w:t>deneg</w:t>
      </w:r>
      <w:r>
        <w:rPr>
          <w:rFonts w:ascii="Arial Narrow" w:hAnsi="Arial Narrow"/>
          <w:iCs/>
          <w:sz w:val="24"/>
          <w:szCs w:val="24"/>
        </w:rPr>
        <w:t>ó</w:t>
      </w:r>
      <w:r w:rsidR="006C3DB4" w:rsidRPr="00F56E1F">
        <w:rPr>
          <w:rFonts w:ascii="Arial Narrow" w:hAnsi="Arial Narrow"/>
          <w:iCs/>
          <w:sz w:val="24"/>
          <w:szCs w:val="24"/>
        </w:rPr>
        <w:t xml:space="preserve"> justicia</w:t>
      </w:r>
      <w:r>
        <w:rPr>
          <w:rFonts w:ascii="Arial Narrow" w:hAnsi="Arial Narrow"/>
          <w:iCs/>
          <w:sz w:val="24"/>
          <w:szCs w:val="24"/>
        </w:rPr>
        <w:t xml:space="preserve"> al inversionista</w:t>
      </w:r>
      <w:r w:rsidR="006C3DB4" w:rsidRPr="00F56E1F">
        <w:rPr>
          <w:rFonts w:ascii="Arial Narrow" w:hAnsi="Arial Narrow"/>
          <w:iCs/>
          <w:sz w:val="24"/>
          <w:szCs w:val="24"/>
        </w:rPr>
        <w:t xml:space="preserve">, ya que los tribunales </w:t>
      </w:r>
      <w:r>
        <w:rPr>
          <w:rFonts w:ascii="Arial Narrow" w:hAnsi="Arial Narrow"/>
          <w:iCs/>
          <w:sz w:val="24"/>
          <w:szCs w:val="24"/>
        </w:rPr>
        <w:t xml:space="preserve">nacionales </w:t>
      </w:r>
      <w:r w:rsidR="00116D17" w:rsidRPr="00F56E1F">
        <w:rPr>
          <w:rFonts w:ascii="Arial Narrow" w:hAnsi="Arial Narrow"/>
          <w:iCs/>
          <w:sz w:val="24"/>
          <w:szCs w:val="24"/>
        </w:rPr>
        <w:t>observ</w:t>
      </w:r>
      <w:r w:rsidR="009706E4" w:rsidRPr="00F56E1F">
        <w:rPr>
          <w:rFonts w:ascii="Arial Narrow" w:hAnsi="Arial Narrow"/>
          <w:iCs/>
          <w:sz w:val="24"/>
          <w:szCs w:val="24"/>
        </w:rPr>
        <w:t>ar</w:t>
      </w:r>
      <w:r w:rsidR="00A44462" w:rsidRPr="00F56E1F">
        <w:rPr>
          <w:rFonts w:ascii="Arial Narrow" w:hAnsi="Arial Narrow"/>
          <w:iCs/>
          <w:sz w:val="24"/>
          <w:szCs w:val="24"/>
        </w:rPr>
        <w:t>on</w:t>
      </w:r>
      <w:r w:rsidR="009706E4" w:rsidRPr="00F56E1F">
        <w:rPr>
          <w:rFonts w:ascii="Arial Narrow" w:hAnsi="Arial Narrow"/>
          <w:iCs/>
          <w:sz w:val="24"/>
          <w:szCs w:val="24"/>
        </w:rPr>
        <w:t xml:space="preserve"> correctamente</w:t>
      </w:r>
      <w:r w:rsidR="00116D17" w:rsidRPr="00F56E1F">
        <w:rPr>
          <w:rFonts w:ascii="Arial Narrow" w:hAnsi="Arial Narrow"/>
          <w:iCs/>
          <w:sz w:val="24"/>
          <w:szCs w:val="24"/>
        </w:rPr>
        <w:t xml:space="preserve"> los principios d</w:t>
      </w:r>
      <w:r w:rsidR="0006562F" w:rsidRPr="00F56E1F">
        <w:rPr>
          <w:rFonts w:ascii="Arial Narrow" w:hAnsi="Arial Narrow"/>
          <w:iCs/>
          <w:sz w:val="24"/>
          <w:szCs w:val="24"/>
        </w:rPr>
        <w:t>el debido proceso</w:t>
      </w:r>
      <w:r w:rsidR="003E1FE4">
        <w:rPr>
          <w:rFonts w:ascii="Arial Narrow" w:hAnsi="Arial Narrow"/>
          <w:iCs/>
          <w:sz w:val="24"/>
          <w:szCs w:val="24"/>
        </w:rPr>
        <w:t>, y</w:t>
      </w:r>
      <w:r w:rsidR="00054141" w:rsidRPr="00F56E1F">
        <w:rPr>
          <w:rFonts w:ascii="Arial Narrow" w:hAnsi="Arial Narrow"/>
          <w:iCs/>
          <w:sz w:val="24"/>
          <w:szCs w:val="24"/>
        </w:rPr>
        <w:t xml:space="preserve"> brind</w:t>
      </w:r>
      <w:r w:rsidR="009706E4" w:rsidRPr="00F56E1F">
        <w:rPr>
          <w:rFonts w:ascii="Arial Narrow" w:hAnsi="Arial Narrow"/>
          <w:iCs/>
          <w:sz w:val="24"/>
          <w:szCs w:val="24"/>
        </w:rPr>
        <w:t>ar</w:t>
      </w:r>
      <w:r w:rsidR="00A44462" w:rsidRPr="00F56E1F">
        <w:rPr>
          <w:rFonts w:ascii="Arial Narrow" w:hAnsi="Arial Narrow"/>
          <w:iCs/>
          <w:sz w:val="24"/>
          <w:szCs w:val="24"/>
        </w:rPr>
        <w:t>on</w:t>
      </w:r>
      <w:r w:rsidR="0006562F" w:rsidRPr="00F56E1F">
        <w:rPr>
          <w:rFonts w:ascii="Arial Narrow" w:hAnsi="Arial Narrow"/>
          <w:iCs/>
          <w:sz w:val="24"/>
          <w:szCs w:val="24"/>
        </w:rPr>
        <w:t xml:space="preserve"> </w:t>
      </w:r>
      <w:r w:rsidR="00054141" w:rsidRPr="00F56E1F">
        <w:rPr>
          <w:rFonts w:ascii="Arial Narrow" w:hAnsi="Arial Narrow"/>
          <w:iCs/>
          <w:sz w:val="24"/>
          <w:szCs w:val="24"/>
        </w:rPr>
        <w:t>a</w:t>
      </w:r>
      <w:r w:rsidR="0034128A">
        <w:rPr>
          <w:rFonts w:ascii="Arial Narrow" w:hAnsi="Arial Narrow"/>
          <w:iCs/>
          <w:sz w:val="24"/>
          <w:szCs w:val="24"/>
        </w:rPr>
        <w:t xml:space="preserve"> Infinito</w:t>
      </w:r>
      <w:r w:rsidR="0006562F" w:rsidRPr="00F56E1F">
        <w:rPr>
          <w:rFonts w:ascii="Arial Narrow" w:hAnsi="Arial Narrow"/>
          <w:iCs/>
          <w:sz w:val="24"/>
          <w:szCs w:val="24"/>
        </w:rPr>
        <w:t xml:space="preserve"> </w:t>
      </w:r>
      <w:r w:rsidR="00054141" w:rsidRPr="00F56E1F">
        <w:rPr>
          <w:rFonts w:ascii="Arial Narrow" w:hAnsi="Arial Narrow"/>
          <w:iCs/>
          <w:sz w:val="24"/>
          <w:szCs w:val="24"/>
        </w:rPr>
        <w:t xml:space="preserve">acceso </w:t>
      </w:r>
      <w:r w:rsidR="005A164F" w:rsidRPr="00F56E1F">
        <w:rPr>
          <w:rFonts w:ascii="Arial Narrow" w:hAnsi="Arial Narrow"/>
          <w:iCs/>
          <w:sz w:val="24"/>
          <w:szCs w:val="24"/>
        </w:rPr>
        <w:t xml:space="preserve">a </w:t>
      </w:r>
      <w:r w:rsidR="003E1FE4">
        <w:rPr>
          <w:rFonts w:ascii="Arial Narrow" w:hAnsi="Arial Narrow"/>
          <w:iCs/>
          <w:sz w:val="24"/>
          <w:szCs w:val="24"/>
        </w:rPr>
        <w:t xml:space="preserve">las </w:t>
      </w:r>
      <w:r w:rsidR="00B84F94" w:rsidRPr="00F56E1F">
        <w:rPr>
          <w:rFonts w:ascii="Arial Narrow" w:hAnsi="Arial Narrow"/>
          <w:iCs/>
          <w:sz w:val="24"/>
          <w:szCs w:val="24"/>
        </w:rPr>
        <w:t>oportunidades de defensa</w:t>
      </w:r>
      <w:r w:rsidR="003E1FE4">
        <w:rPr>
          <w:rFonts w:ascii="Arial Narrow" w:hAnsi="Arial Narrow"/>
          <w:iCs/>
          <w:sz w:val="24"/>
          <w:szCs w:val="24"/>
        </w:rPr>
        <w:t xml:space="preserve"> necesarias</w:t>
      </w:r>
      <w:r w:rsidR="00F56E1F" w:rsidRPr="00F56E1F">
        <w:rPr>
          <w:rFonts w:ascii="Arial Narrow" w:hAnsi="Arial Narrow"/>
          <w:iCs/>
          <w:sz w:val="24"/>
          <w:szCs w:val="24"/>
        </w:rPr>
        <w:t>.</w:t>
      </w:r>
    </w:p>
    <w:p w14:paraId="5EBFCAAD" w14:textId="1110CAB0" w:rsidR="00F56E1F" w:rsidRDefault="00F4071D" w:rsidP="003E1FE4">
      <w:pPr>
        <w:pStyle w:val="Prrafodelista"/>
        <w:numPr>
          <w:ilvl w:val="0"/>
          <w:numId w:val="2"/>
        </w:numPr>
        <w:spacing w:after="0" w:line="240" w:lineRule="auto"/>
        <w:ind w:left="426" w:hanging="426"/>
        <w:jc w:val="both"/>
        <w:rPr>
          <w:rFonts w:ascii="Arial Narrow" w:hAnsi="Arial Narrow"/>
          <w:iCs/>
          <w:sz w:val="24"/>
          <w:szCs w:val="24"/>
        </w:rPr>
      </w:pPr>
      <w:r>
        <w:rPr>
          <w:rFonts w:ascii="Arial Narrow" w:hAnsi="Arial Narrow"/>
          <w:iCs/>
          <w:sz w:val="24"/>
          <w:szCs w:val="24"/>
        </w:rPr>
        <w:t xml:space="preserve">Es legítimo que el país se declarara </w:t>
      </w:r>
      <w:r w:rsidR="004A0D5F" w:rsidRPr="00F56E1F">
        <w:rPr>
          <w:rFonts w:ascii="Arial Narrow" w:hAnsi="Arial Narrow"/>
          <w:iCs/>
          <w:sz w:val="24"/>
          <w:szCs w:val="24"/>
        </w:rPr>
        <w:t xml:space="preserve">libre de </w:t>
      </w:r>
      <w:r w:rsidR="00105E15" w:rsidRPr="00F56E1F">
        <w:rPr>
          <w:rFonts w:ascii="Arial Narrow" w:hAnsi="Arial Narrow"/>
          <w:iCs/>
          <w:sz w:val="24"/>
          <w:szCs w:val="24"/>
        </w:rPr>
        <w:t>la miner</w:t>
      </w:r>
      <w:r w:rsidR="004A0D5F" w:rsidRPr="00F56E1F">
        <w:rPr>
          <w:rFonts w:ascii="Arial Narrow" w:hAnsi="Arial Narrow"/>
          <w:iCs/>
          <w:sz w:val="24"/>
          <w:szCs w:val="24"/>
        </w:rPr>
        <w:t>í</w:t>
      </w:r>
      <w:r w:rsidR="00105E15" w:rsidRPr="00F56E1F">
        <w:rPr>
          <w:rFonts w:ascii="Arial Narrow" w:hAnsi="Arial Narrow"/>
          <w:iCs/>
          <w:sz w:val="24"/>
          <w:szCs w:val="24"/>
        </w:rPr>
        <w:t xml:space="preserve">a </w:t>
      </w:r>
      <w:r w:rsidR="004A0D5F" w:rsidRPr="00F56E1F">
        <w:rPr>
          <w:rFonts w:ascii="Arial Narrow" w:hAnsi="Arial Narrow"/>
          <w:iCs/>
          <w:sz w:val="24"/>
          <w:szCs w:val="24"/>
        </w:rPr>
        <w:t xml:space="preserve">metálica </w:t>
      </w:r>
      <w:r w:rsidR="00105E15" w:rsidRPr="00F56E1F">
        <w:rPr>
          <w:rFonts w:ascii="Arial Narrow" w:hAnsi="Arial Narrow"/>
          <w:iCs/>
          <w:sz w:val="24"/>
          <w:szCs w:val="24"/>
        </w:rPr>
        <w:t>a cielo abierto</w:t>
      </w:r>
      <w:r>
        <w:rPr>
          <w:rFonts w:ascii="Arial Narrow" w:hAnsi="Arial Narrow"/>
          <w:iCs/>
          <w:sz w:val="24"/>
          <w:szCs w:val="24"/>
        </w:rPr>
        <w:t>,</w:t>
      </w:r>
      <w:r w:rsidR="00F83A1D" w:rsidRPr="00F56E1F">
        <w:rPr>
          <w:rFonts w:ascii="Arial Narrow" w:hAnsi="Arial Narrow"/>
          <w:iCs/>
          <w:sz w:val="24"/>
          <w:szCs w:val="24"/>
        </w:rPr>
        <w:t xml:space="preserve"> </w:t>
      </w:r>
      <w:r>
        <w:rPr>
          <w:rFonts w:ascii="Arial Narrow" w:hAnsi="Arial Narrow"/>
          <w:iCs/>
          <w:sz w:val="24"/>
          <w:szCs w:val="24"/>
        </w:rPr>
        <w:t>como</w:t>
      </w:r>
      <w:r w:rsidR="004A0D5F" w:rsidRPr="00F56E1F">
        <w:rPr>
          <w:rFonts w:ascii="Arial Narrow" w:hAnsi="Arial Narrow"/>
          <w:iCs/>
          <w:sz w:val="24"/>
          <w:szCs w:val="24"/>
        </w:rPr>
        <w:t xml:space="preserve"> un objetivo soberano </w:t>
      </w:r>
      <w:r>
        <w:rPr>
          <w:rFonts w:ascii="Arial Narrow" w:hAnsi="Arial Narrow"/>
          <w:iCs/>
          <w:sz w:val="24"/>
          <w:szCs w:val="24"/>
        </w:rPr>
        <w:t>para p</w:t>
      </w:r>
      <w:r w:rsidRPr="00F56E1F">
        <w:rPr>
          <w:rFonts w:ascii="Arial Narrow" w:hAnsi="Arial Narrow"/>
          <w:iCs/>
          <w:sz w:val="24"/>
          <w:szCs w:val="24"/>
        </w:rPr>
        <w:t>roteger el medio ambiente</w:t>
      </w:r>
      <w:r w:rsidR="00F56E1F" w:rsidRPr="00F56E1F">
        <w:rPr>
          <w:rFonts w:ascii="Arial Narrow" w:hAnsi="Arial Narrow"/>
          <w:iCs/>
          <w:sz w:val="24"/>
          <w:szCs w:val="24"/>
        </w:rPr>
        <w:t>;</w:t>
      </w:r>
      <w:r w:rsidR="004A0D5F" w:rsidRPr="00F56E1F">
        <w:rPr>
          <w:rFonts w:ascii="Arial Narrow" w:hAnsi="Arial Narrow"/>
          <w:iCs/>
          <w:sz w:val="24"/>
          <w:szCs w:val="24"/>
        </w:rPr>
        <w:t xml:space="preserve"> </w:t>
      </w:r>
      <w:r w:rsidR="00F73A37" w:rsidRPr="00F56E1F">
        <w:rPr>
          <w:rFonts w:ascii="Arial Narrow" w:hAnsi="Arial Narrow"/>
          <w:iCs/>
          <w:sz w:val="24"/>
          <w:szCs w:val="24"/>
        </w:rPr>
        <w:t>pero</w:t>
      </w:r>
      <w:r w:rsidR="00F56E1F" w:rsidRPr="00F56E1F">
        <w:rPr>
          <w:rFonts w:ascii="Arial Narrow" w:hAnsi="Arial Narrow"/>
          <w:iCs/>
          <w:sz w:val="24"/>
          <w:szCs w:val="24"/>
        </w:rPr>
        <w:t>,</w:t>
      </w:r>
      <w:r w:rsidR="00F73A37" w:rsidRPr="00F56E1F">
        <w:rPr>
          <w:rFonts w:ascii="Arial Narrow" w:hAnsi="Arial Narrow"/>
          <w:iCs/>
          <w:sz w:val="24"/>
          <w:szCs w:val="24"/>
        </w:rPr>
        <w:t xml:space="preserve"> al tomar esa decisión, se tenía que </w:t>
      </w:r>
      <w:r w:rsidR="00755A85" w:rsidRPr="00F56E1F">
        <w:rPr>
          <w:rFonts w:ascii="Arial Narrow" w:hAnsi="Arial Narrow"/>
          <w:iCs/>
          <w:sz w:val="24"/>
          <w:szCs w:val="24"/>
        </w:rPr>
        <w:t xml:space="preserve">considerar </w:t>
      </w:r>
      <w:r w:rsidR="007F0B9B" w:rsidRPr="00F56E1F">
        <w:rPr>
          <w:rFonts w:ascii="Arial Narrow" w:hAnsi="Arial Narrow"/>
          <w:iCs/>
          <w:sz w:val="24"/>
          <w:szCs w:val="24"/>
        </w:rPr>
        <w:t xml:space="preserve">la posible existencia de </w:t>
      </w:r>
      <w:r w:rsidR="007807BA" w:rsidRPr="00F56E1F">
        <w:rPr>
          <w:rFonts w:ascii="Arial Narrow" w:hAnsi="Arial Narrow"/>
          <w:iCs/>
          <w:sz w:val="24"/>
          <w:szCs w:val="24"/>
        </w:rPr>
        <w:t xml:space="preserve">trámites </w:t>
      </w:r>
      <w:r w:rsidR="00A93EE4" w:rsidRPr="00F56E1F">
        <w:rPr>
          <w:rFonts w:ascii="Arial Narrow" w:hAnsi="Arial Narrow"/>
          <w:iCs/>
          <w:sz w:val="24"/>
          <w:szCs w:val="24"/>
        </w:rPr>
        <w:t>en curso relacionados con la obtención de un permiso de exploración o explotación minera,</w:t>
      </w:r>
      <w:r w:rsidR="007F0B9B" w:rsidRPr="00F56E1F">
        <w:rPr>
          <w:rFonts w:ascii="Arial Narrow" w:hAnsi="Arial Narrow"/>
          <w:iCs/>
          <w:sz w:val="24"/>
          <w:szCs w:val="24"/>
        </w:rPr>
        <w:t xml:space="preserve"> y re</w:t>
      </w:r>
      <w:r w:rsidR="00A93EE4" w:rsidRPr="00F56E1F">
        <w:rPr>
          <w:rFonts w:ascii="Arial Narrow" w:hAnsi="Arial Narrow"/>
          <w:iCs/>
          <w:sz w:val="24"/>
          <w:szCs w:val="24"/>
        </w:rPr>
        <w:t>s</w:t>
      </w:r>
      <w:r w:rsidR="007F0B9B" w:rsidRPr="00F56E1F">
        <w:rPr>
          <w:rFonts w:ascii="Arial Narrow" w:hAnsi="Arial Narrow"/>
          <w:iCs/>
          <w:sz w:val="24"/>
          <w:szCs w:val="24"/>
        </w:rPr>
        <w:t>gu</w:t>
      </w:r>
      <w:r w:rsidR="00A93EE4" w:rsidRPr="00F56E1F">
        <w:rPr>
          <w:rFonts w:ascii="Arial Narrow" w:hAnsi="Arial Narrow"/>
          <w:iCs/>
          <w:sz w:val="24"/>
          <w:szCs w:val="24"/>
        </w:rPr>
        <w:t>ard</w:t>
      </w:r>
      <w:r w:rsidR="007F0B9B" w:rsidRPr="00F56E1F">
        <w:rPr>
          <w:rFonts w:ascii="Arial Narrow" w:hAnsi="Arial Narrow"/>
          <w:iCs/>
          <w:sz w:val="24"/>
          <w:szCs w:val="24"/>
        </w:rPr>
        <w:t>ar su situación</w:t>
      </w:r>
      <w:r w:rsidR="00C759F8">
        <w:rPr>
          <w:rFonts w:ascii="Arial Narrow" w:hAnsi="Arial Narrow"/>
          <w:iCs/>
          <w:sz w:val="24"/>
          <w:szCs w:val="24"/>
        </w:rPr>
        <w:t>. A</w:t>
      </w:r>
      <w:r w:rsidR="003471F9" w:rsidRPr="00F56E1F">
        <w:rPr>
          <w:rFonts w:ascii="Arial Narrow" w:hAnsi="Arial Narrow"/>
          <w:iCs/>
          <w:sz w:val="24"/>
          <w:szCs w:val="24"/>
        </w:rPr>
        <w:t xml:space="preserve">l omitir hacerlo, se violaron </w:t>
      </w:r>
      <w:r w:rsidR="00F73A37" w:rsidRPr="00F56E1F">
        <w:rPr>
          <w:rFonts w:ascii="Arial Narrow" w:hAnsi="Arial Narrow"/>
          <w:iCs/>
          <w:sz w:val="24"/>
          <w:szCs w:val="24"/>
        </w:rPr>
        <w:t xml:space="preserve">los principios de </w:t>
      </w:r>
      <w:r w:rsidR="00F83A1D" w:rsidRPr="00F56E1F">
        <w:rPr>
          <w:rFonts w:ascii="Arial Narrow" w:hAnsi="Arial Narrow"/>
          <w:iCs/>
          <w:sz w:val="24"/>
          <w:szCs w:val="24"/>
        </w:rPr>
        <w:t>proporcional</w:t>
      </w:r>
      <w:r w:rsidR="00F73A37" w:rsidRPr="00F56E1F">
        <w:rPr>
          <w:rFonts w:ascii="Arial Narrow" w:hAnsi="Arial Narrow"/>
          <w:iCs/>
          <w:sz w:val="24"/>
          <w:szCs w:val="24"/>
        </w:rPr>
        <w:t>idad</w:t>
      </w:r>
      <w:r w:rsidR="00F83A1D" w:rsidRPr="00F56E1F">
        <w:rPr>
          <w:rFonts w:ascii="Arial Narrow" w:hAnsi="Arial Narrow"/>
          <w:iCs/>
          <w:sz w:val="24"/>
          <w:szCs w:val="24"/>
        </w:rPr>
        <w:t xml:space="preserve"> y razonab</w:t>
      </w:r>
      <w:r w:rsidR="00F73A37" w:rsidRPr="00F56E1F">
        <w:rPr>
          <w:rFonts w:ascii="Arial Narrow" w:hAnsi="Arial Narrow"/>
          <w:iCs/>
          <w:sz w:val="24"/>
          <w:szCs w:val="24"/>
        </w:rPr>
        <w:t>ilidad que la Administración Pública debe respetarle a todos los Administrados, incluyendo los inversionistas.</w:t>
      </w:r>
      <w:r w:rsidR="00F83A1D" w:rsidRPr="00F56E1F">
        <w:rPr>
          <w:rFonts w:ascii="Arial Narrow" w:hAnsi="Arial Narrow"/>
          <w:iCs/>
          <w:sz w:val="24"/>
          <w:szCs w:val="24"/>
        </w:rPr>
        <w:t xml:space="preserve"> </w:t>
      </w:r>
    </w:p>
    <w:p w14:paraId="33565233" w14:textId="4BAFEB47" w:rsidR="00F83A1D" w:rsidRPr="00695048" w:rsidRDefault="00C759F8" w:rsidP="00AF572F">
      <w:pPr>
        <w:pStyle w:val="Prrafodelista"/>
        <w:numPr>
          <w:ilvl w:val="0"/>
          <w:numId w:val="2"/>
        </w:numPr>
        <w:spacing w:after="0" w:line="240" w:lineRule="auto"/>
        <w:ind w:left="426" w:hanging="426"/>
        <w:jc w:val="both"/>
        <w:rPr>
          <w:rFonts w:ascii="Arial Narrow" w:hAnsi="Arial Narrow"/>
          <w:iCs/>
          <w:sz w:val="24"/>
          <w:szCs w:val="24"/>
        </w:rPr>
      </w:pPr>
      <w:r>
        <w:rPr>
          <w:rFonts w:ascii="Arial Narrow" w:hAnsi="Arial Narrow"/>
          <w:iCs/>
          <w:sz w:val="24"/>
          <w:szCs w:val="24"/>
        </w:rPr>
        <w:t>A pesar de lo anterior</w:t>
      </w:r>
      <w:r w:rsidR="003471F9" w:rsidRPr="00F56E1F">
        <w:rPr>
          <w:rFonts w:ascii="Arial Narrow" w:hAnsi="Arial Narrow"/>
          <w:iCs/>
          <w:sz w:val="24"/>
          <w:szCs w:val="24"/>
        </w:rPr>
        <w:t xml:space="preserve">, </w:t>
      </w:r>
      <w:r w:rsidR="006E3B68">
        <w:rPr>
          <w:rFonts w:ascii="Arial Narrow" w:hAnsi="Arial Narrow"/>
          <w:iCs/>
          <w:sz w:val="24"/>
          <w:szCs w:val="24"/>
        </w:rPr>
        <w:t xml:space="preserve">Infinito </w:t>
      </w:r>
      <w:r w:rsidR="00695048">
        <w:rPr>
          <w:rFonts w:ascii="Arial Narrow" w:hAnsi="Arial Narrow"/>
          <w:iCs/>
          <w:sz w:val="24"/>
          <w:szCs w:val="24"/>
        </w:rPr>
        <w:t xml:space="preserve">no demostró que </w:t>
      </w:r>
      <w:r w:rsidR="003E1FE4">
        <w:rPr>
          <w:rFonts w:ascii="Arial Narrow" w:hAnsi="Arial Narrow"/>
          <w:iCs/>
          <w:sz w:val="24"/>
          <w:szCs w:val="24"/>
        </w:rPr>
        <w:t xml:space="preserve">la omisión indicada </w:t>
      </w:r>
      <w:r w:rsidR="003471F9" w:rsidRPr="00F56E1F">
        <w:rPr>
          <w:rFonts w:ascii="Arial Narrow" w:hAnsi="Arial Narrow"/>
          <w:iCs/>
          <w:sz w:val="24"/>
          <w:szCs w:val="24"/>
        </w:rPr>
        <w:t xml:space="preserve">le </w:t>
      </w:r>
      <w:r w:rsidR="00695048">
        <w:rPr>
          <w:rFonts w:ascii="Arial Narrow" w:hAnsi="Arial Narrow"/>
          <w:iCs/>
          <w:sz w:val="24"/>
          <w:szCs w:val="24"/>
        </w:rPr>
        <w:t xml:space="preserve">hubiera </w:t>
      </w:r>
      <w:r w:rsidR="003471F9" w:rsidRPr="00F56E1F">
        <w:rPr>
          <w:rFonts w:ascii="Arial Narrow" w:hAnsi="Arial Narrow"/>
          <w:iCs/>
          <w:sz w:val="24"/>
          <w:szCs w:val="24"/>
        </w:rPr>
        <w:t>provoc</w:t>
      </w:r>
      <w:r w:rsidR="00695048">
        <w:rPr>
          <w:rFonts w:ascii="Arial Narrow" w:hAnsi="Arial Narrow"/>
          <w:iCs/>
          <w:sz w:val="24"/>
          <w:szCs w:val="24"/>
        </w:rPr>
        <w:t>ado</w:t>
      </w:r>
      <w:r w:rsidR="003471F9" w:rsidRPr="00F56E1F">
        <w:rPr>
          <w:rFonts w:ascii="Arial Narrow" w:hAnsi="Arial Narrow"/>
          <w:iCs/>
          <w:sz w:val="24"/>
          <w:szCs w:val="24"/>
        </w:rPr>
        <w:t xml:space="preserve"> un daño</w:t>
      </w:r>
      <w:r w:rsidR="00F56E1F">
        <w:rPr>
          <w:rFonts w:ascii="Arial Narrow" w:hAnsi="Arial Narrow"/>
          <w:iCs/>
          <w:sz w:val="24"/>
          <w:szCs w:val="24"/>
        </w:rPr>
        <w:t xml:space="preserve"> </w:t>
      </w:r>
      <w:r w:rsidR="00F83A1D" w:rsidRPr="00695048">
        <w:rPr>
          <w:rFonts w:ascii="Arial Narrow" w:hAnsi="Arial Narrow"/>
          <w:iCs/>
          <w:sz w:val="24"/>
          <w:szCs w:val="24"/>
        </w:rPr>
        <w:t xml:space="preserve">y, por ende, no corresponde </w:t>
      </w:r>
      <w:r w:rsidR="007C0996">
        <w:rPr>
          <w:rFonts w:ascii="Arial Narrow" w:hAnsi="Arial Narrow"/>
          <w:iCs/>
          <w:sz w:val="24"/>
          <w:szCs w:val="24"/>
        </w:rPr>
        <w:t xml:space="preserve">que </w:t>
      </w:r>
      <w:r w:rsidR="006E3B68">
        <w:rPr>
          <w:rFonts w:ascii="Arial Narrow" w:hAnsi="Arial Narrow"/>
          <w:iCs/>
          <w:sz w:val="24"/>
          <w:szCs w:val="24"/>
        </w:rPr>
        <w:t xml:space="preserve">Costa Rica </w:t>
      </w:r>
      <w:r w:rsidR="007C0996">
        <w:rPr>
          <w:rFonts w:ascii="Arial Narrow" w:hAnsi="Arial Narrow"/>
          <w:iCs/>
          <w:sz w:val="24"/>
          <w:szCs w:val="24"/>
        </w:rPr>
        <w:t>le pague</w:t>
      </w:r>
      <w:r w:rsidR="00F83A1D" w:rsidRPr="00695048">
        <w:rPr>
          <w:rFonts w:ascii="Arial Narrow" w:hAnsi="Arial Narrow"/>
          <w:iCs/>
          <w:sz w:val="24"/>
          <w:szCs w:val="24"/>
        </w:rPr>
        <w:t xml:space="preserve"> ninguna indemnización.</w:t>
      </w:r>
    </w:p>
    <w:p w14:paraId="3365F1C3" w14:textId="77777777" w:rsidR="00F83A1D" w:rsidRDefault="00F83A1D" w:rsidP="00AF572F">
      <w:pPr>
        <w:spacing w:after="0" w:line="240" w:lineRule="auto"/>
        <w:jc w:val="both"/>
        <w:rPr>
          <w:rFonts w:ascii="Arial Narrow" w:hAnsi="Arial Narrow"/>
          <w:iCs/>
          <w:sz w:val="24"/>
          <w:szCs w:val="24"/>
        </w:rPr>
      </w:pPr>
    </w:p>
    <w:bookmarkEnd w:id="0"/>
    <w:p w14:paraId="621CB854" w14:textId="25D20735" w:rsidR="0066399B" w:rsidRDefault="00EB2848" w:rsidP="00AF572F">
      <w:pPr>
        <w:tabs>
          <w:tab w:val="left" w:pos="3768"/>
        </w:tabs>
        <w:spacing w:after="0" w:line="240" w:lineRule="auto"/>
        <w:jc w:val="both"/>
        <w:rPr>
          <w:rFonts w:ascii="Arial Narrow" w:hAnsi="Arial Narrow" w:cs="Aharoni"/>
          <w:sz w:val="24"/>
          <w:szCs w:val="24"/>
          <w:shd w:val="clear" w:color="auto" w:fill="FFFFFF"/>
        </w:rPr>
      </w:pPr>
      <w:r>
        <w:rPr>
          <w:rFonts w:ascii="Arial Narrow" w:hAnsi="Arial Narrow" w:cs="Aharoni"/>
          <w:sz w:val="24"/>
          <w:szCs w:val="24"/>
          <w:shd w:val="clear" w:color="auto" w:fill="FFFFFF"/>
        </w:rPr>
        <w:t xml:space="preserve">Al conocer </w:t>
      </w:r>
      <w:r w:rsidR="007B5112">
        <w:rPr>
          <w:rFonts w:ascii="Arial Narrow" w:hAnsi="Arial Narrow" w:cs="Aharoni"/>
          <w:sz w:val="24"/>
          <w:szCs w:val="24"/>
          <w:shd w:val="clear" w:color="auto" w:fill="FFFFFF"/>
        </w:rPr>
        <w:t>la decisión</w:t>
      </w:r>
      <w:r>
        <w:rPr>
          <w:rFonts w:ascii="Arial Narrow" w:hAnsi="Arial Narrow" w:cs="Aharoni"/>
          <w:sz w:val="24"/>
          <w:szCs w:val="24"/>
          <w:shd w:val="clear" w:color="auto" w:fill="FFFFFF"/>
        </w:rPr>
        <w:t>, el</w:t>
      </w:r>
      <w:r w:rsidR="00CF3802" w:rsidRPr="00BB43A0">
        <w:rPr>
          <w:rFonts w:ascii="Arial Narrow" w:hAnsi="Arial Narrow" w:cs="Aharoni"/>
          <w:sz w:val="24"/>
          <w:szCs w:val="24"/>
          <w:shd w:val="clear" w:color="auto" w:fill="FFFFFF"/>
        </w:rPr>
        <w:t xml:space="preserve"> Ministr</w:t>
      </w:r>
      <w:r w:rsidR="009430E0" w:rsidRPr="00BB43A0">
        <w:rPr>
          <w:rFonts w:ascii="Arial Narrow" w:hAnsi="Arial Narrow" w:cs="Aharoni"/>
          <w:sz w:val="24"/>
          <w:szCs w:val="24"/>
          <w:shd w:val="clear" w:color="auto" w:fill="FFFFFF"/>
        </w:rPr>
        <w:t>o</w:t>
      </w:r>
      <w:r w:rsidR="00CF3802" w:rsidRPr="00BB43A0">
        <w:rPr>
          <w:rFonts w:ascii="Arial Narrow" w:hAnsi="Arial Narrow" w:cs="Aharoni"/>
          <w:sz w:val="24"/>
          <w:szCs w:val="24"/>
          <w:shd w:val="clear" w:color="auto" w:fill="FFFFFF"/>
        </w:rPr>
        <w:t xml:space="preserve"> de Comercio Exterior, </w:t>
      </w:r>
      <w:r w:rsidR="009430E0" w:rsidRPr="00BB43A0">
        <w:rPr>
          <w:rFonts w:ascii="Arial Narrow" w:hAnsi="Arial Narrow" w:cs="Aharoni"/>
          <w:sz w:val="24"/>
          <w:szCs w:val="24"/>
          <w:shd w:val="clear" w:color="auto" w:fill="FFFFFF"/>
        </w:rPr>
        <w:t>Andrés Valenciano</w:t>
      </w:r>
      <w:r w:rsidR="00CF3802" w:rsidRPr="00BB43A0">
        <w:rPr>
          <w:rFonts w:ascii="Arial Narrow" w:hAnsi="Arial Narrow" w:cs="Aharoni"/>
          <w:sz w:val="24"/>
          <w:szCs w:val="24"/>
          <w:shd w:val="clear" w:color="auto" w:fill="FFFFFF"/>
        </w:rPr>
        <w:t>,</w:t>
      </w:r>
      <w:r w:rsidR="00166CAE">
        <w:rPr>
          <w:rFonts w:ascii="Arial Narrow" w:hAnsi="Arial Narrow" w:cs="Aharoni"/>
          <w:sz w:val="24"/>
          <w:szCs w:val="24"/>
          <w:shd w:val="clear" w:color="auto" w:fill="FFFFFF"/>
        </w:rPr>
        <w:t xml:space="preserve"> destacó el triunfo que representa para el país</w:t>
      </w:r>
      <w:r w:rsidR="00D65071">
        <w:rPr>
          <w:rFonts w:ascii="Arial Narrow" w:hAnsi="Arial Narrow" w:cs="Aharoni"/>
          <w:sz w:val="24"/>
          <w:szCs w:val="24"/>
          <w:shd w:val="clear" w:color="auto" w:fill="FFFFFF"/>
        </w:rPr>
        <w:t xml:space="preserve"> este resultado.</w:t>
      </w:r>
      <w:r w:rsidR="00CF3802" w:rsidRPr="00BB43A0">
        <w:rPr>
          <w:rFonts w:ascii="Arial Narrow" w:hAnsi="Arial Narrow" w:cs="Aharoni"/>
          <w:sz w:val="24"/>
          <w:szCs w:val="24"/>
          <w:shd w:val="clear" w:color="auto" w:fill="FFFFFF"/>
        </w:rPr>
        <w:t xml:space="preserve"> </w:t>
      </w:r>
      <w:r w:rsidR="00D65071">
        <w:rPr>
          <w:rFonts w:ascii="Arial Narrow" w:hAnsi="Arial Narrow" w:cs="Aharoni"/>
          <w:sz w:val="24"/>
          <w:szCs w:val="24"/>
          <w:shd w:val="clear" w:color="auto" w:fill="FFFFFF"/>
        </w:rPr>
        <w:t>S</w:t>
      </w:r>
      <w:r>
        <w:rPr>
          <w:rFonts w:ascii="Arial Narrow" w:hAnsi="Arial Narrow" w:cs="Aharoni"/>
          <w:sz w:val="24"/>
          <w:szCs w:val="24"/>
          <w:shd w:val="clear" w:color="auto" w:fill="FFFFFF"/>
        </w:rPr>
        <w:t>eñaló:</w:t>
      </w:r>
    </w:p>
    <w:p w14:paraId="4305870F" w14:textId="77777777" w:rsidR="0066399B" w:rsidRDefault="0066399B" w:rsidP="00AF572F">
      <w:pPr>
        <w:tabs>
          <w:tab w:val="left" w:pos="3768"/>
        </w:tabs>
        <w:spacing w:after="0" w:line="240" w:lineRule="auto"/>
        <w:jc w:val="both"/>
        <w:rPr>
          <w:rFonts w:ascii="Arial Narrow" w:hAnsi="Arial Narrow" w:cs="Aharoni"/>
          <w:sz w:val="24"/>
          <w:szCs w:val="24"/>
          <w:shd w:val="clear" w:color="auto" w:fill="FFFFFF"/>
        </w:rPr>
      </w:pPr>
    </w:p>
    <w:p w14:paraId="295ECD21" w14:textId="593B5F02" w:rsidR="009430E0" w:rsidRDefault="00CF3802" w:rsidP="00AF572F">
      <w:pPr>
        <w:tabs>
          <w:tab w:val="left" w:pos="3768"/>
        </w:tabs>
        <w:spacing w:after="0" w:line="240" w:lineRule="auto"/>
        <w:jc w:val="both"/>
        <w:rPr>
          <w:rFonts w:ascii="Arial Narrow" w:hAnsi="Arial Narrow" w:cs="Aharoni"/>
          <w:i/>
          <w:sz w:val="24"/>
          <w:szCs w:val="24"/>
          <w:shd w:val="clear" w:color="auto" w:fill="FFFFFF"/>
        </w:rPr>
      </w:pPr>
      <w:r w:rsidRPr="00BF6F5B">
        <w:rPr>
          <w:rFonts w:ascii="Arial Narrow" w:hAnsi="Arial Narrow" w:cs="Aharoni"/>
          <w:i/>
          <w:sz w:val="24"/>
          <w:szCs w:val="24"/>
          <w:shd w:val="clear" w:color="auto" w:fill="FFFFFF"/>
        </w:rPr>
        <w:t>“</w:t>
      </w:r>
      <w:r w:rsidR="00C64858">
        <w:rPr>
          <w:rFonts w:ascii="Arial Narrow" w:hAnsi="Arial Narrow" w:cs="Aharoni"/>
          <w:i/>
          <w:sz w:val="24"/>
          <w:szCs w:val="24"/>
          <w:shd w:val="clear" w:color="auto" w:fill="FFFFFF"/>
        </w:rPr>
        <w:t>Este ha sido, posiblemente, el caso más complejo enfrentado por Costa Rica en materia de arbitraje de inversión internacional. Ha requerido un enorme esfuerzo y un trabajo tenaz</w:t>
      </w:r>
      <w:r w:rsidR="00F65F16">
        <w:rPr>
          <w:rFonts w:ascii="Arial Narrow" w:hAnsi="Arial Narrow" w:cs="Aharoni"/>
          <w:i/>
          <w:sz w:val="24"/>
          <w:szCs w:val="24"/>
          <w:shd w:val="clear" w:color="auto" w:fill="FFFFFF"/>
        </w:rPr>
        <w:t>,</w:t>
      </w:r>
      <w:r w:rsidR="00C64858">
        <w:rPr>
          <w:rFonts w:ascii="Arial Narrow" w:hAnsi="Arial Narrow" w:cs="Aharoni"/>
          <w:i/>
          <w:sz w:val="24"/>
          <w:szCs w:val="24"/>
          <w:shd w:val="clear" w:color="auto" w:fill="FFFFFF"/>
        </w:rPr>
        <w:t xml:space="preserve"> prolongado por</w:t>
      </w:r>
      <w:r w:rsidR="00D06E88">
        <w:rPr>
          <w:rFonts w:ascii="Arial Narrow" w:hAnsi="Arial Narrow" w:cs="Aharoni"/>
          <w:i/>
          <w:sz w:val="24"/>
          <w:szCs w:val="24"/>
          <w:shd w:val="clear" w:color="auto" w:fill="FFFFFF"/>
        </w:rPr>
        <w:t xml:space="preserve"> más de</w:t>
      </w:r>
      <w:r w:rsidR="00C64858">
        <w:rPr>
          <w:rFonts w:ascii="Arial Narrow" w:hAnsi="Arial Narrow" w:cs="Aharoni"/>
          <w:i/>
          <w:sz w:val="24"/>
          <w:szCs w:val="24"/>
          <w:shd w:val="clear" w:color="auto" w:fill="FFFFFF"/>
        </w:rPr>
        <w:t xml:space="preserve"> siete años, de un equipo interinstitucional e interdisciplinario que, con tesón, asumió el gran desafío de </w:t>
      </w:r>
      <w:r w:rsidR="001239CA">
        <w:rPr>
          <w:rFonts w:ascii="Arial Narrow" w:hAnsi="Arial Narrow" w:cs="Aharoni"/>
          <w:i/>
          <w:sz w:val="24"/>
          <w:szCs w:val="24"/>
          <w:shd w:val="clear" w:color="auto" w:fill="FFFFFF"/>
        </w:rPr>
        <w:t>la defensa</w:t>
      </w:r>
      <w:r w:rsidR="0070228D">
        <w:rPr>
          <w:rFonts w:ascii="Arial Narrow" w:hAnsi="Arial Narrow" w:cs="Aharoni"/>
          <w:i/>
          <w:sz w:val="24"/>
          <w:szCs w:val="24"/>
          <w:shd w:val="clear" w:color="auto" w:fill="FFFFFF"/>
        </w:rPr>
        <w:t>. El</w:t>
      </w:r>
      <w:r w:rsidR="00EB2848">
        <w:rPr>
          <w:rFonts w:ascii="Arial Narrow" w:hAnsi="Arial Narrow" w:cs="Aharoni"/>
          <w:i/>
          <w:sz w:val="24"/>
          <w:szCs w:val="24"/>
          <w:shd w:val="clear" w:color="auto" w:fill="FFFFFF"/>
        </w:rPr>
        <w:t xml:space="preserve"> resultado </w:t>
      </w:r>
      <w:r w:rsidR="008B5574">
        <w:rPr>
          <w:rFonts w:ascii="Arial Narrow" w:hAnsi="Arial Narrow" w:cs="Aharoni"/>
          <w:i/>
          <w:sz w:val="24"/>
          <w:szCs w:val="24"/>
          <w:shd w:val="clear" w:color="auto" w:fill="FFFFFF"/>
        </w:rPr>
        <w:t>evidencia</w:t>
      </w:r>
      <w:r w:rsidR="007959BC">
        <w:rPr>
          <w:rFonts w:ascii="Arial Narrow" w:hAnsi="Arial Narrow" w:cs="Aharoni"/>
          <w:i/>
          <w:sz w:val="24"/>
          <w:szCs w:val="24"/>
          <w:shd w:val="clear" w:color="auto" w:fill="FFFFFF"/>
        </w:rPr>
        <w:t>,</w:t>
      </w:r>
      <w:r w:rsidR="00886A14">
        <w:rPr>
          <w:rFonts w:ascii="Arial Narrow" w:hAnsi="Arial Narrow" w:cs="Aharoni"/>
          <w:i/>
          <w:sz w:val="24"/>
          <w:szCs w:val="24"/>
          <w:shd w:val="clear" w:color="auto" w:fill="FFFFFF"/>
        </w:rPr>
        <w:t xml:space="preserve"> una vez más</w:t>
      </w:r>
      <w:r w:rsidR="00126D40">
        <w:rPr>
          <w:rFonts w:ascii="Arial Narrow" w:hAnsi="Arial Narrow" w:cs="Aharoni"/>
          <w:i/>
          <w:sz w:val="24"/>
          <w:szCs w:val="24"/>
          <w:shd w:val="clear" w:color="auto" w:fill="FFFFFF"/>
        </w:rPr>
        <w:t>,</w:t>
      </w:r>
      <w:r w:rsidR="00886A14">
        <w:rPr>
          <w:rFonts w:ascii="Arial Narrow" w:hAnsi="Arial Narrow" w:cs="Aharoni"/>
          <w:i/>
          <w:sz w:val="24"/>
          <w:szCs w:val="24"/>
          <w:shd w:val="clear" w:color="auto" w:fill="FFFFFF"/>
        </w:rPr>
        <w:t xml:space="preserve"> </w:t>
      </w:r>
      <w:r w:rsidR="00563D8F">
        <w:rPr>
          <w:rFonts w:ascii="Arial Narrow" w:hAnsi="Arial Narrow" w:cs="Aharoni"/>
          <w:i/>
          <w:sz w:val="24"/>
          <w:szCs w:val="24"/>
          <w:shd w:val="clear" w:color="auto" w:fill="FFFFFF"/>
        </w:rPr>
        <w:t xml:space="preserve">que </w:t>
      </w:r>
      <w:r w:rsidR="005230C1">
        <w:rPr>
          <w:rFonts w:ascii="Arial Narrow" w:hAnsi="Arial Narrow" w:cs="Aharoni"/>
          <w:i/>
          <w:sz w:val="24"/>
          <w:szCs w:val="24"/>
          <w:shd w:val="clear" w:color="auto" w:fill="FFFFFF"/>
        </w:rPr>
        <w:t>los tratados</w:t>
      </w:r>
      <w:r w:rsidR="008B5574">
        <w:rPr>
          <w:rFonts w:ascii="Arial Narrow" w:hAnsi="Arial Narrow" w:cs="Aharoni"/>
          <w:i/>
          <w:sz w:val="24"/>
          <w:szCs w:val="24"/>
          <w:shd w:val="clear" w:color="auto" w:fill="FFFFFF"/>
        </w:rPr>
        <w:t xml:space="preserve"> de inversión</w:t>
      </w:r>
      <w:r w:rsidR="005230C1">
        <w:rPr>
          <w:rFonts w:ascii="Arial Narrow" w:hAnsi="Arial Narrow" w:cs="Aharoni"/>
          <w:i/>
          <w:sz w:val="24"/>
          <w:szCs w:val="24"/>
          <w:shd w:val="clear" w:color="auto" w:fill="FFFFFF"/>
        </w:rPr>
        <w:t xml:space="preserve"> y la seguridad jurídica que otorgan </w:t>
      </w:r>
      <w:r w:rsidR="00563D8F">
        <w:rPr>
          <w:rFonts w:ascii="Arial Narrow" w:hAnsi="Arial Narrow" w:cs="Aharoni"/>
          <w:i/>
          <w:sz w:val="24"/>
          <w:szCs w:val="24"/>
          <w:shd w:val="clear" w:color="auto" w:fill="FFFFFF"/>
        </w:rPr>
        <w:t xml:space="preserve">son sumamente importantes </w:t>
      </w:r>
      <w:r w:rsidR="005230C1">
        <w:rPr>
          <w:rFonts w:ascii="Arial Narrow" w:hAnsi="Arial Narrow" w:cs="Aharoni"/>
          <w:i/>
          <w:sz w:val="24"/>
          <w:szCs w:val="24"/>
          <w:shd w:val="clear" w:color="auto" w:fill="FFFFFF"/>
        </w:rPr>
        <w:t xml:space="preserve">para </w:t>
      </w:r>
      <w:r w:rsidR="00BA2CF7">
        <w:rPr>
          <w:rFonts w:ascii="Arial Narrow" w:hAnsi="Arial Narrow" w:cs="Aharoni"/>
          <w:i/>
          <w:sz w:val="24"/>
          <w:szCs w:val="24"/>
          <w:shd w:val="clear" w:color="auto" w:fill="FFFFFF"/>
        </w:rPr>
        <w:t xml:space="preserve">defender nuestros </w:t>
      </w:r>
      <w:r w:rsidR="005230C1">
        <w:rPr>
          <w:rFonts w:ascii="Arial Narrow" w:hAnsi="Arial Narrow" w:cs="Aharoni"/>
          <w:i/>
          <w:sz w:val="24"/>
          <w:szCs w:val="24"/>
          <w:shd w:val="clear" w:color="auto" w:fill="FFFFFF"/>
        </w:rPr>
        <w:t>inter</w:t>
      </w:r>
      <w:r w:rsidR="001426D8">
        <w:rPr>
          <w:rFonts w:ascii="Arial Narrow" w:hAnsi="Arial Narrow" w:cs="Aharoni"/>
          <w:i/>
          <w:sz w:val="24"/>
          <w:szCs w:val="24"/>
          <w:shd w:val="clear" w:color="auto" w:fill="FFFFFF"/>
        </w:rPr>
        <w:t xml:space="preserve">eses nacionales. </w:t>
      </w:r>
      <w:r w:rsidR="00B32628">
        <w:rPr>
          <w:rFonts w:ascii="Arial Narrow" w:hAnsi="Arial Narrow" w:cs="Aharoni"/>
          <w:i/>
          <w:sz w:val="24"/>
          <w:szCs w:val="24"/>
          <w:shd w:val="clear" w:color="auto" w:fill="FFFFFF"/>
        </w:rPr>
        <w:t>T</w:t>
      </w:r>
      <w:r w:rsidR="008B5574">
        <w:rPr>
          <w:rFonts w:ascii="Arial Narrow" w:hAnsi="Arial Narrow" w:cs="Aharoni"/>
          <w:i/>
          <w:sz w:val="24"/>
          <w:szCs w:val="24"/>
          <w:shd w:val="clear" w:color="auto" w:fill="FFFFFF"/>
        </w:rPr>
        <w:t>ambién confirma</w:t>
      </w:r>
      <w:r w:rsidR="00EB2848">
        <w:rPr>
          <w:rFonts w:ascii="Arial Narrow" w:hAnsi="Arial Narrow" w:cs="Aharoni"/>
          <w:i/>
          <w:sz w:val="24"/>
          <w:szCs w:val="24"/>
          <w:shd w:val="clear" w:color="auto" w:fill="FFFFFF"/>
        </w:rPr>
        <w:t xml:space="preserve"> qu</w:t>
      </w:r>
      <w:r w:rsidR="00900CBB">
        <w:rPr>
          <w:rFonts w:ascii="Arial Narrow" w:hAnsi="Arial Narrow" w:cs="Aharoni"/>
          <w:i/>
          <w:sz w:val="24"/>
          <w:szCs w:val="24"/>
          <w:shd w:val="clear" w:color="auto" w:fill="FFFFFF"/>
        </w:rPr>
        <w:t xml:space="preserve">e las garantías al debido proceso que </w:t>
      </w:r>
      <w:r w:rsidR="00B97084">
        <w:rPr>
          <w:rFonts w:ascii="Arial Narrow" w:hAnsi="Arial Narrow" w:cs="Aharoni"/>
          <w:i/>
          <w:sz w:val="24"/>
          <w:szCs w:val="24"/>
          <w:shd w:val="clear" w:color="auto" w:fill="FFFFFF"/>
        </w:rPr>
        <w:t>la</w:t>
      </w:r>
      <w:r w:rsidR="00BA2CF7">
        <w:rPr>
          <w:rFonts w:ascii="Arial Narrow" w:hAnsi="Arial Narrow" w:cs="Aharoni"/>
          <w:i/>
          <w:sz w:val="24"/>
          <w:szCs w:val="24"/>
          <w:shd w:val="clear" w:color="auto" w:fill="FFFFFF"/>
        </w:rPr>
        <w:t xml:space="preserve"> </w:t>
      </w:r>
      <w:r w:rsidR="00900CBB">
        <w:rPr>
          <w:rFonts w:ascii="Arial Narrow" w:hAnsi="Arial Narrow" w:cs="Aharoni"/>
          <w:i/>
          <w:sz w:val="24"/>
          <w:szCs w:val="24"/>
          <w:shd w:val="clear" w:color="auto" w:fill="FFFFFF"/>
        </w:rPr>
        <w:t xml:space="preserve">legislación </w:t>
      </w:r>
      <w:r w:rsidR="00B97084">
        <w:rPr>
          <w:rFonts w:ascii="Arial Narrow" w:hAnsi="Arial Narrow" w:cs="Aharoni"/>
          <w:i/>
          <w:sz w:val="24"/>
          <w:szCs w:val="24"/>
          <w:shd w:val="clear" w:color="auto" w:fill="FFFFFF"/>
        </w:rPr>
        <w:t xml:space="preserve">costarricense </w:t>
      </w:r>
      <w:r w:rsidR="00900CBB">
        <w:rPr>
          <w:rFonts w:ascii="Arial Narrow" w:hAnsi="Arial Narrow" w:cs="Aharoni"/>
          <w:i/>
          <w:sz w:val="24"/>
          <w:szCs w:val="24"/>
          <w:shd w:val="clear" w:color="auto" w:fill="FFFFFF"/>
        </w:rPr>
        <w:t>otorga a nacionales y extranjeros</w:t>
      </w:r>
      <w:r w:rsidR="00052785">
        <w:rPr>
          <w:rFonts w:ascii="Arial Narrow" w:hAnsi="Arial Narrow" w:cs="Aharoni"/>
          <w:i/>
          <w:sz w:val="24"/>
          <w:szCs w:val="24"/>
          <w:shd w:val="clear" w:color="auto" w:fill="FFFFFF"/>
        </w:rPr>
        <w:t xml:space="preserve"> </w:t>
      </w:r>
      <w:r w:rsidR="000C0D04">
        <w:rPr>
          <w:rFonts w:ascii="Arial Narrow" w:hAnsi="Arial Narrow" w:cs="Aharoni"/>
          <w:i/>
          <w:sz w:val="24"/>
          <w:szCs w:val="24"/>
          <w:shd w:val="clear" w:color="auto" w:fill="FFFFFF"/>
        </w:rPr>
        <w:t xml:space="preserve">por igual, </w:t>
      </w:r>
      <w:r w:rsidR="00052785">
        <w:rPr>
          <w:rFonts w:ascii="Arial Narrow" w:hAnsi="Arial Narrow" w:cs="Aharoni"/>
          <w:i/>
          <w:sz w:val="24"/>
          <w:szCs w:val="24"/>
          <w:shd w:val="clear" w:color="auto" w:fill="FFFFFF"/>
        </w:rPr>
        <w:t>se aplican con efectividad</w:t>
      </w:r>
      <w:r w:rsidR="00900CBB">
        <w:rPr>
          <w:rFonts w:ascii="Arial Narrow" w:hAnsi="Arial Narrow" w:cs="Aharoni"/>
          <w:i/>
          <w:sz w:val="24"/>
          <w:szCs w:val="24"/>
          <w:shd w:val="clear" w:color="auto" w:fill="FFFFFF"/>
        </w:rPr>
        <w:t>.</w:t>
      </w:r>
      <w:r w:rsidR="00EB2848">
        <w:rPr>
          <w:rFonts w:ascii="Arial Narrow" w:hAnsi="Arial Narrow" w:cs="Aharoni"/>
          <w:i/>
          <w:sz w:val="24"/>
          <w:szCs w:val="24"/>
          <w:shd w:val="clear" w:color="auto" w:fill="FFFFFF"/>
        </w:rPr>
        <w:t xml:space="preserve"> </w:t>
      </w:r>
      <w:r w:rsidR="000C0D04">
        <w:rPr>
          <w:rFonts w:ascii="Arial Narrow" w:hAnsi="Arial Narrow" w:cs="Aharoni"/>
          <w:i/>
          <w:sz w:val="24"/>
          <w:szCs w:val="24"/>
          <w:shd w:val="clear" w:color="auto" w:fill="FFFFFF"/>
        </w:rPr>
        <w:t xml:space="preserve">Felicito </w:t>
      </w:r>
      <w:r w:rsidR="00FB3ED3">
        <w:rPr>
          <w:rFonts w:ascii="Arial Narrow" w:hAnsi="Arial Narrow" w:cs="Aharoni"/>
          <w:i/>
          <w:sz w:val="24"/>
          <w:szCs w:val="24"/>
          <w:shd w:val="clear" w:color="auto" w:fill="FFFFFF"/>
        </w:rPr>
        <w:t xml:space="preserve">al equipo </w:t>
      </w:r>
      <w:r w:rsidR="008B5574">
        <w:rPr>
          <w:rFonts w:ascii="Arial Narrow" w:hAnsi="Arial Narrow" w:cs="Aharoni"/>
          <w:i/>
          <w:sz w:val="24"/>
          <w:szCs w:val="24"/>
          <w:shd w:val="clear" w:color="auto" w:fill="FFFFFF"/>
        </w:rPr>
        <w:t>de defensa nacional</w:t>
      </w:r>
      <w:r w:rsidR="00AE5B28">
        <w:rPr>
          <w:rFonts w:ascii="Arial Narrow" w:hAnsi="Arial Narrow" w:cs="Aharoni"/>
          <w:i/>
          <w:sz w:val="24"/>
          <w:szCs w:val="24"/>
          <w:shd w:val="clear" w:color="auto" w:fill="FFFFFF"/>
        </w:rPr>
        <w:t xml:space="preserve"> </w:t>
      </w:r>
      <w:r w:rsidR="005B5FF3">
        <w:rPr>
          <w:rFonts w:ascii="Arial Narrow" w:hAnsi="Arial Narrow" w:cs="Aharoni"/>
          <w:i/>
          <w:sz w:val="24"/>
          <w:szCs w:val="24"/>
          <w:shd w:val="clear" w:color="auto" w:fill="FFFFFF"/>
        </w:rPr>
        <w:t xml:space="preserve">cuyo </w:t>
      </w:r>
      <w:r w:rsidR="00E11D84">
        <w:rPr>
          <w:rFonts w:ascii="Arial Narrow" w:hAnsi="Arial Narrow" w:cs="Aharoni"/>
          <w:i/>
          <w:sz w:val="24"/>
          <w:szCs w:val="24"/>
          <w:shd w:val="clear" w:color="auto" w:fill="FFFFFF"/>
        </w:rPr>
        <w:t xml:space="preserve">trabajo </w:t>
      </w:r>
      <w:r w:rsidR="00681B3F">
        <w:rPr>
          <w:rFonts w:ascii="Arial Narrow" w:hAnsi="Arial Narrow" w:cs="Aharoni"/>
          <w:i/>
          <w:sz w:val="24"/>
          <w:szCs w:val="24"/>
          <w:shd w:val="clear" w:color="auto" w:fill="FFFFFF"/>
        </w:rPr>
        <w:lastRenderedPageBreak/>
        <w:t>conjunt</w:t>
      </w:r>
      <w:r w:rsidR="00E11D84">
        <w:rPr>
          <w:rFonts w:ascii="Arial Narrow" w:hAnsi="Arial Narrow" w:cs="Aharoni"/>
          <w:i/>
          <w:sz w:val="24"/>
          <w:szCs w:val="24"/>
          <w:shd w:val="clear" w:color="auto" w:fill="FFFFFF"/>
        </w:rPr>
        <w:t>o</w:t>
      </w:r>
      <w:r w:rsidR="00681B3F">
        <w:rPr>
          <w:rFonts w:ascii="Arial Narrow" w:hAnsi="Arial Narrow" w:cs="Aharoni"/>
          <w:i/>
          <w:sz w:val="24"/>
          <w:szCs w:val="24"/>
          <w:shd w:val="clear" w:color="auto" w:fill="FFFFFF"/>
        </w:rPr>
        <w:t xml:space="preserve"> </w:t>
      </w:r>
      <w:r w:rsidR="008B5574">
        <w:rPr>
          <w:rFonts w:ascii="Arial Narrow" w:hAnsi="Arial Narrow" w:cs="Aharoni"/>
          <w:i/>
          <w:sz w:val="24"/>
          <w:szCs w:val="24"/>
          <w:shd w:val="clear" w:color="auto" w:fill="FFFFFF"/>
        </w:rPr>
        <w:t>y coordinad</w:t>
      </w:r>
      <w:r w:rsidR="00E11D84">
        <w:rPr>
          <w:rFonts w:ascii="Arial Narrow" w:hAnsi="Arial Narrow" w:cs="Aharoni"/>
          <w:i/>
          <w:sz w:val="24"/>
          <w:szCs w:val="24"/>
          <w:shd w:val="clear" w:color="auto" w:fill="FFFFFF"/>
        </w:rPr>
        <w:t>o</w:t>
      </w:r>
      <w:r w:rsidR="00A024D9">
        <w:rPr>
          <w:rFonts w:ascii="Arial Narrow" w:hAnsi="Arial Narrow" w:cs="Aharoni"/>
          <w:i/>
          <w:sz w:val="24"/>
          <w:szCs w:val="24"/>
          <w:shd w:val="clear" w:color="auto" w:fill="FFFFFF"/>
        </w:rPr>
        <w:t>,</w:t>
      </w:r>
      <w:r w:rsidR="00681B3F">
        <w:rPr>
          <w:rFonts w:ascii="Arial Narrow" w:hAnsi="Arial Narrow" w:cs="Aharoni"/>
          <w:i/>
          <w:sz w:val="24"/>
          <w:szCs w:val="24"/>
          <w:shd w:val="clear" w:color="auto" w:fill="FFFFFF"/>
        </w:rPr>
        <w:t xml:space="preserve"> </w:t>
      </w:r>
      <w:r w:rsidR="00E11D84">
        <w:rPr>
          <w:rFonts w:ascii="Arial Narrow" w:hAnsi="Arial Narrow" w:cs="Aharoni"/>
          <w:i/>
          <w:sz w:val="24"/>
          <w:szCs w:val="24"/>
          <w:shd w:val="clear" w:color="auto" w:fill="FFFFFF"/>
        </w:rPr>
        <w:t>sin duda</w:t>
      </w:r>
      <w:r w:rsidR="0019530F">
        <w:rPr>
          <w:rFonts w:ascii="Arial Narrow" w:hAnsi="Arial Narrow" w:cs="Aharoni"/>
          <w:i/>
          <w:sz w:val="24"/>
          <w:szCs w:val="24"/>
          <w:shd w:val="clear" w:color="auto" w:fill="FFFFFF"/>
        </w:rPr>
        <w:t>,</w:t>
      </w:r>
      <w:r w:rsidR="00E11D84">
        <w:rPr>
          <w:rFonts w:ascii="Arial Narrow" w:hAnsi="Arial Narrow" w:cs="Aharoni"/>
          <w:i/>
          <w:sz w:val="24"/>
          <w:szCs w:val="24"/>
          <w:shd w:val="clear" w:color="auto" w:fill="FFFFFF"/>
        </w:rPr>
        <w:t xml:space="preserve"> permiti</w:t>
      </w:r>
      <w:r w:rsidR="0019530F">
        <w:rPr>
          <w:rFonts w:ascii="Arial Narrow" w:hAnsi="Arial Narrow" w:cs="Aharoni"/>
          <w:i/>
          <w:sz w:val="24"/>
          <w:szCs w:val="24"/>
          <w:shd w:val="clear" w:color="auto" w:fill="FFFFFF"/>
        </w:rPr>
        <w:t>ó</w:t>
      </w:r>
      <w:r w:rsidR="00E11D84">
        <w:rPr>
          <w:rFonts w:ascii="Arial Narrow" w:hAnsi="Arial Narrow" w:cs="Aharoni"/>
          <w:i/>
          <w:sz w:val="24"/>
          <w:szCs w:val="24"/>
          <w:shd w:val="clear" w:color="auto" w:fill="FFFFFF"/>
        </w:rPr>
        <w:t xml:space="preserve"> </w:t>
      </w:r>
      <w:r w:rsidR="0019530F">
        <w:rPr>
          <w:rFonts w:ascii="Arial Narrow" w:hAnsi="Arial Narrow" w:cs="Aharoni"/>
          <w:i/>
          <w:sz w:val="24"/>
          <w:szCs w:val="24"/>
          <w:shd w:val="clear" w:color="auto" w:fill="FFFFFF"/>
        </w:rPr>
        <w:t xml:space="preserve">que </w:t>
      </w:r>
      <w:r w:rsidR="00E11D84">
        <w:rPr>
          <w:rFonts w:ascii="Arial Narrow" w:hAnsi="Arial Narrow" w:cs="Aharoni"/>
          <w:i/>
          <w:sz w:val="24"/>
          <w:szCs w:val="24"/>
          <w:shd w:val="clear" w:color="auto" w:fill="FFFFFF"/>
        </w:rPr>
        <w:t>alcanz</w:t>
      </w:r>
      <w:r w:rsidR="0019530F">
        <w:rPr>
          <w:rFonts w:ascii="Arial Narrow" w:hAnsi="Arial Narrow" w:cs="Aharoni"/>
          <w:i/>
          <w:sz w:val="24"/>
          <w:szCs w:val="24"/>
          <w:shd w:val="clear" w:color="auto" w:fill="FFFFFF"/>
        </w:rPr>
        <w:t>á</w:t>
      </w:r>
      <w:r w:rsidR="00E11D84">
        <w:rPr>
          <w:rFonts w:ascii="Arial Narrow" w:hAnsi="Arial Narrow" w:cs="Aharoni"/>
          <w:i/>
          <w:sz w:val="24"/>
          <w:szCs w:val="24"/>
          <w:shd w:val="clear" w:color="auto" w:fill="FFFFFF"/>
        </w:rPr>
        <w:t>ra</w:t>
      </w:r>
      <w:r w:rsidR="0019530F">
        <w:rPr>
          <w:rFonts w:ascii="Arial Narrow" w:hAnsi="Arial Narrow" w:cs="Aharoni"/>
          <w:i/>
          <w:sz w:val="24"/>
          <w:szCs w:val="24"/>
          <w:shd w:val="clear" w:color="auto" w:fill="FFFFFF"/>
        </w:rPr>
        <w:t>mos</w:t>
      </w:r>
      <w:r w:rsidR="00E11D84">
        <w:rPr>
          <w:rFonts w:ascii="Arial Narrow" w:hAnsi="Arial Narrow" w:cs="Aharoni"/>
          <w:i/>
          <w:sz w:val="24"/>
          <w:szCs w:val="24"/>
          <w:shd w:val="clear" w:color="auto" w:fill="FFFFFF"/>
        </w:rPr>
        <w:t xml:space="preserve"> </w:t>
      </w:r>
      <w:r w:rsidR="00681B3F">
        <w:rPr>
          <w:rFonts w:ascii="Arial Narrow" w:hAnsi="Arial Narrow" w:cs="Aharoni"/>
          <w:i/>
          <w:sz w:val="24"/>
          <w:szCs w:val="24"/>
          <w:shd w:val="clear" w:color="auto" w:fill="FFFFFF"/>
        </w:rPr>
        <w:t>est</w:t>
      </w:r>
      <w:r w:rsidR="00A024D9">
        <w:rPr>
          <w:rFonts w:ascii="Arial Narrow" w:hAnsi="Arial Narrow" w:cs="Aharoni"/>
          <w:i/>
          <w:sz w:val="24"/>
          <w:szCs w:val="24"/>
          <w:shd w:val="clear" w:color="auto" w:fill="FFFFFF"/>
        </w:rPr>
        <w:t>a</w:t>
      </w:r>
      <w:r w:rsidR="00681B3F">
        <w:rPr>
          <w:rFonts w:ascii="Arial Narrow" w:hAnsi="Arial Narrow" w:cs="Aharoni"/>
          <w:i/>
          <w:sz w:val="24"/>
          <w:szCs w:val="24"/>
          <w:shd w:val="clear" w:color="auto" w:fill="FFFFFF"/>
        </w:rPr>
        <w:t xml:space="preserve"> </w:t>
      </w:r>
      <w:r w:rsidR="00E11D84">
        <w:rPr>
          <w:rFonts w:ascii="Arial Narrow" w:hAnsi="Arial Narrow" w:cs="Aharoni"/>
          <w:i/>
          <w:sz w:val="24"/>
          <w:szCs w:val="24"/>
          <w:shd w:val="clear" w:color="auto" w:fill="FFFFFF"/>
        </w:rPr>
        <w:t xml:space="preserve">trascendental </w:t>
      </w:r>
      <w:r w:rsidR="00A024D9">
        <w:rPr>
          <w:rFonts w:ascii="Arial Narrow" w:hAnsi="Arial Narrow" w:cs="Aharoni"/>
          <w:i/>
          <w:sz w:val="24"/>
          <w:szCs w:val="24"/>
          <w:shd w:val="clear" w:color="auto" w:fill="FFFFFF"/>
        </w:rPr>
        <w:t>conclusión</w:t>
      </w:r>
      <w:r w:rsidR="0019530F">
        <w:rPr>
          <w:rFonts w:ascii="Arial Narrow" w:hAnsi="Arial Narrow" w:cs="Aharoni"/>
          <w:i/>
          <w:sz w:val="24"/>
          <w:szCs w:val="24"/>
          <w:shd w:val="clear" w:color="auto" w:fill="FFFFFF"/>
        </w:rPr>
        <w:t xml:space="preserve"> para nuestro país</w:t>
      </w:r>
      <w:r w:rsidR="00681B3F">
        <w:rPr>
          <w:rFonts w:ascii="Arial Narrow" w:hAnsi="Arial Narrow" w:cs="Aharoni"/>
          <w:i/>
          <w:sz w:val="24"/>
          <w:szCs w:val="24"/>
          <w:shd w:val="clear" w:color="auto" w:fill="FFFFFF"/>
        </w:rPr>
        <w:t>”</w:t>
      </w:r>
      <w:r w:rsidR="00F405A1">
        <w:rPr>
          <w:rFonts w:ascii="Arial Narrow" w:hAnsi="Arial Narrow" w:cs="Aharoni"/>
          <w:i/>
          <w:sz w:val="24"/>
          <w:szCs w:val="24"/>
          <w:shd w:val="clear" w:color="auto" w:fill="FFFFFF"/>
        </w:rPr>
        <w:t>.</w:t>
      </w:r>
      <w:r w:rsidR="00201829">
        <w:rPr>
          <w:rFonts w:ascii="Arial Narrow" w:hAnsi="Arial Narrow" w:cs="Aharoni"/>
          <w:i/>
          <w:sz w:val="24"/>
          <w:szCs w:val="24"/>
          <w:shd w:val="clear" w:color="auto" w:fill="FFFFFF"/>
        </w:rPr>
        <w:t xml:space="preserve"> </w:t>
      </w:r>
    </w:p>
    <w:p w14:paraId="50EF02E0" w14:textId="7C4E1BEB" w:rsidR="00900CBB" w:rsidRDefault="00900CBB" w:rsidP="00AF572F">
      <w:pPr>
        <w:tabs>
          <w:tab w:val="left" w:pos="3768"/>
        </w:tabs>
        <w:spacing w:after="0" w:line="240" w:lineRule="auto"/>
        <w:jc w:val="both"/>
        <w:rPr>
          <w:rFonts w:ascii="Arial Narrow" w:hAnsi="Arial Narrow" w:cs="Aharoni"/>
          <w:i/>
          <w:sz w:val="24"/>
          <w:szCs w:val="24"/>
          <w:shd w:val="clear" w:color="auto" w:fill="FFFFFF"/>
        </w:rPr>
      </w:pPr>
    </w:p>
    <w:p w14:paraId="5CC1428E" w14:textId="77777777" w:rsidR="00C22E06" w:rsidRPr="00F50FF3" w:rsidRDefault="00C22E06" w:rsidP="00C22E06">
      <w:pPr>
        <w:tabs>
          <w:tab w:val="left" w:pos="3768"/>
        </w:tabs>
        <w:spacing w:after="0" w:line="240" w:lineRule="auto"/>
        <w:jc w:val="both"/>
        <w:rPr>
          <w:rFonts w:ascii="Arial Narrow" w:hAnsi="Arial Narrow" w:cs="Aharoni"/>
          <w:sz w:val="24"/>
          <w:szCs w:val="24"/>
          <w:shd w:val="clear" w:color="auto" w:fill="FFFFFF"/>
        </w:rPr>
      </w:pPr>
      <w:r w:rsidRPr="00F50FF3">
        <w:rPr>
          <w:rFonts w:ascii="Arial Narrow" w:hAnsi="Arial Narrow" w:cs="Aharoni"/>
          <w:sz w:val="24"/>
          <w:szCs w:val="24"/>
          <w:shd w:val="clear" w:color="auto" w:fill="FFFFFF"/>
        </w:rPr>
        <w:t xml:space="preserve">Por su parte, la Ministra de Ambiente y Energía, Andrea Meza, indicó que: </w:t>
      </w:r>
    </w:p>
    <w:p w14:paraId="7D2316A0" w14:textId="77777777" w:rsidR="00C22E06" w:rsidRPr="00C35603" w:rsidRDefault="00C22E06" w:rsidP="00C22E06">
      <w:pPr>
        <w:tabs>
          <w:tab w:val="left" w:pos="3768"/>
        </w:tabs>
        <w:spacing w:after="0" w:line="240" w:lineRule="auto"/>
        <w:jc w:val="both"/>
        <w:rPr>
          <w:rFonts w:ascii="Arial Narrow" w:hAnsi="Arial Narrow" w:cs="Aharoni"/>
          <w:sz w:val="24"/>
          <w:szCs w:val="24"/>
          <w:highlight w:val="yellow"/>
          <w:shd w:val="clear" w:color="auto" w:fill="FFFFFF"/>
        </w:rPr>
      </w:pPr>
    </w:p>
    <w:p w14:paraId="300C3B4C" w14:textId="03944716" w:rsidR="00882B09" w:rsidRDefault="00882B09" w:rsidP="00C22E06">
      <w:pPr>
        <w:tabs>
          <w:tab w:val="left" w:pos="3768"/>
        </w:tabs>
        <w:spacing w:after="0" w:line="240" w:lineRule="auto"/>
        <w:jc w:val="both"/>
        <w:rPr>
          <w:rFonts w:ascii="Arial Narrow" w:hAnsi="Arial Narrow" w:cs="Aharoni"/>
          <w:i/>
          <w:iCs/>
          <w:sz w:val="24"/>
          <w:szCs w:val="24"/>
          <w:shd w:val="clear" w:color="auto" w:fill="FFFFFF"/>
        </w:rPr>
      </w:pPr>
      <w:r>
        <w:rPr>
          <w:rFonts w:ascii="Arial Narrow" w:hAnsi="Arial Narrow" w:cs="Aharoni"/>
          <w:i/>
          <w:iCs/>
          <w:sz w:val="24"/>
          <w:szCs w:val="24"/>
          <w:shd w:val="clear" w:color="auto" w:fill="FFFFFF"/>
        </w:rPr>
        <w:t>“</w:t>
      </w:r>
      <w:r w:rsidRPr="00882B09">
        <w:rPr>
          <w:rFonts w:ascii="Arial Narrow" w:hAnsi="Arial Narrow" w:cs="Aharoni"/>
          <w:i/>
          <w:iCs/>
          <w:sz w:val="24"/>
          <w:szCs w:val="24"/>
          <w:shd w:val="clear" w:color="auto" w:fill="FFFFFF"/>
        </w:rPr>
        <w:t>El tribunal de arbitraje internacional reconoció que es legítimo que el país se declarara libre de la minería metálica a cielo abierto, como un objetivo soberano para proteger el medio ambiente. El tribunal nos dio la razón en ese punto, y sin duda es un triunfo no tener que indemnizar al inversionista. Desde el MINAE reiteramos nuestro respeto al marco jurídico y nacional como forma para la generación de certeza jurídica, aspecto central en los procesos vinculados al desarrollo sostenible. Reconocemos el trabajo profesional, dedicado y serio desplegado por el equipo interdisciplinario que representó al país en este proceso. Seguiremos trabajando en la promoción de la economía del futuro que transciende el enfoque extractivista, y se basa en la innovación, talento humano, en la circularidad y en las soluciones basadas en la naturaleza”</w:t>
      </w:r>
      <w:r>
        <w:rPr>
          <w:rFonts w:ascii="Arial Narrow" w:hAnsi="Arial Narrow" w:cs="Aharoni"/>
          <w:i/>
          <w:iCs/>
          <w:sz w:val="24"/>
          <w:szCs w:val="24"/>
          <w:shd w:val="clear" w:color="auto" w:fill="FFFFFF"/>
        </w:rPr>
        <w:t>.</w:t>
      </w:r>
      <w:r w:rsidRPr="00882B09">
        <w:rPr>
          <w:rFonts w:ascii="Arial Narrow" w:hAnsi="Arial Narrow" w:cs="Aharoni"/>
          <w:i/>
          <w:iCs/>
          <w:sz w:val="24"/>
          <w:szCs w:val="24"/>
          <w:shd w:val="clear" w:color="auto" w:fill="FFFFFF"/>
        </w:rPr>
        <w:t xml:space="preserve"> </w:t>
      </w:r>
    </w:p>
    <w:p w14:paraId="4E40F632" w14:textId="77777777" w:rsidR="00882B09" w:rsidRDefault="00882B09" w:rsidP="00C22E06">
      <w:pPr>
        <w:tabs>
          <w:tab w:val="left" w:pos="3768"/>
        </w:tabs>
        <w:spacing w:after="0" w:line="240" w:lineRule="auto"/>
        <w:jc w:val="both"/>
        <w:rPr>
          <w:rFonts w:ascii="Arial Narrow" w:hAnsi="Arial Narrow" w:cs="Aharoni"/>
          <w:i/>
          <w:iCs/>
          <w:sz w:val="24"/>
          <w:szCs w:val="24"/>
          <w:shd w:val="clear" w:color="auto" w:fill="FFFFFF"/>
        </w:rPr>
      </w:pPr>
    </w:p>
    <w:p w14:paraId="01D06F10" w14:textId="7A41B413" w:rsidR="00081745" w:rsidRDefault="00C22E06" w:rsidP="00AF572F">
      <w:pPr>
        <w:tabs>
          <w:tab w:val="left" w:pos="3768"/>
        </w:tabs>
        <w:spacing w:after="0" w:line="240" w:lineRule="auto"/>
        <w:jc w:val="both"/>
        <w:rPr>
          <w:rFonts w:ascii="Arial Narrow" w:hAnsi="Arial Narrow" w:cs="Aharoni"/>
          <w:iCs/>
          <w:sz w:val="24"/>
          <w:szCs w:val="24"/>
          <w:shd w:val="clear" w:color="auto" w:fill="FFFFFF"/>
        </w:rPr>
      </w:pPr>
      <w:r>
        <w:rPr>
          <w:rFonts w:ascii="Arial Narrow" w:hAnsi="Arial Narrow" w:cs="Aharoni"/>
          <w:iCs/>
          <w:sz w:val="24"/>
          <w:szCs w:val="24"/>
          <w:shd w:val="clear" w:color="auto" w:fill="FFFFFF"/>
        </w:rPr>
        <w:t xml:space="preserve">Finalmente, </w:t>
      </w:r>
      <w:r w:rsidR="00900CBB" w:rsidRPr="007A7C84">
        <w:rPr>
          <w:rFonts w:ascii="Arial Narrow" w:hAnsi="Arial Narrow" w:cs="Aharoni"/>
          <w:iCs/>
          <w:sz w:val="24"/>
          <w:szCs w:val="24"/>
          <w:shd w:val="clear" w:color="auto" w:fill="FFFFFF"/>
        </w:rPr>
        <w:t xml:space="preserve">Valenciano recordó que </w:t>
      </w:r>
      <w:r w:rsidR="00081745">
        <w:rPr>
          <w:rFonts w:ascii="Arial Narrow" w:hAnsi="Arial Narrow" w:cs="Aharoni"/>
          <w:iCs/>
          <w:sz w:val="24"/>
          <w:szCs w:val="24"/>
          <w:shd w:val="clear" w:color="auto" w:fill="FFFFFF"/>
        </w:rPr>
        <w:t xml:space="preserve">como país debemos </w:t>
      </w:r>
      <w:r w:rsidR="005A1463" w:rsidRPr="007A7C84">
        <w:rPr>
          <w:rFonts w:ascii="Arial Narrow" w:hAnsi="Arial Narrow" w:cs="Aharoni"/>
          <w:iCs/>
          <w:sz w:val="24"/>
          <w:szCs w:val="24"/>
          <w:shd w:val="clear" w:color="auto" w:fill="FFFFFF"/>
        </w:rPr>
        <w:t>diferencia</w:t>
      </w:r>
      <w:r w:rsidR="00001D1C">
        <w:rPr>
          <w:rFonts w:ascii="Arial Narrow" w:hAnsi="Arial Narrow" w:cs="Aharoni"/>
          <w:iCs/>
          <w:sz w:val="24"/>
          <w:szCs w:val="24"/>
          <w:shd w:val="clear" w:color="auto" w:fill="FFFFFF"/>
        </w:rPr>
        <w:t>rno</w:t>
      </w:r>
      <w:r w:rsidR="005A1463" w:rsidRPr="007A7C84">
        <w:rPr>
          <w:rFonts w:ascii="Arial Narrow" w:hAnsi="Arial Narrow" w:cs="Aharoni"/>
          <w:iCs/>
          <w:sz w:val="24"/>
          <w:szCs w:val="24"/>
          <w:shd w:val="clear" w:color="auto" w:fill="FFFFFF"/>
        </w:rPr>
        <w:t xml:space="preserve">s </w:t>
      </w:r>
      <w:r w:rsidR="00900CBB" w:rsidRPr="007A7C84">
        <w:rPr>
          <w:rFonts w:ascii="Arial Narrow" w:hAnsi="Arial Narrow" w:cs="Aharoni"/>
          <w:iCs/>
          <w:sz w:val="24"/>
          <w:szCs w:val="24"/>
          <w:shd w:val="clear" w:color="auto" w:fill="FFFFFF"/>
        </w:rPr>
        <w:t>en la fuerte competencia que afrontamos a la hora de atraer inversión</w:t>
      </w:r>
      <w:r w:rsidR="0057567C">
        <w:rPr>
          <w:rFonts w:ascii="Arial Narrow" w:hAnsi="Arial Narrow" w:cs="Aharoni"/>
          <w:iCs/>
          <w:sz w:val="24"/>
          <w:szCs w:val="24"/>
          <w:shd w:val="clear" w:color="auto" w:fill="FFFFFF"/>
        </w:rPr>
        <w:t>. Esta</w:t>
      </w:r>
      <w:r w:rsidR="00900CBB">
        <w:rPr>
          <w:rFonts w:ascii="Arial Narrow" w:hAnsi="Arial Narrow" w:cs="Aharoni"/>
          <w:iCs/>
          <w:sz w:val="24"/>
          <w:szCs w:val="24"/>
          <w:shd w:val="clear" w:color="auto" w:fill="FFFFFF"/>
        </w:rPr>
        <w:t xml:space="preserve"> es </w:t>
      </w:r>
      <w:r w:rsidR="0057567C">
        <w:rPr>
          <w:rFonts w:ascii="Arial Narrow" w:hAnsi="Arial Narrow" w:cs="Aharoni"/>
          <w:iCs/>
          <w:sz w:val="24"/>
          <w:szCs w:val="24"/>
          <w:shd w:val="clear" w:color="auto" w:fill="FFFFFF"/>
        </w:rPr>
        <w:t xml:space="preserve">una </w:t>
      </w:r>
      <w:r w:rsidR="00900CBB">
        <w:rPr>
          <w:rFonts w:ascii="Arial Narrow" w:hAnsi="Arial Narrow" w:cs="Aharoni"/>
          <w:iCs/>
          <w:sz w:val="24"/>
          <w:szCs w:val="24"/>
          <w:shd w:val="clear" w:color="auto" w:fill="FFFFFF"/>
        </w:rPr>
        <w:t>tarea fundamental para el dinamismo de la economía nacional</w:t>
      </w:r>
      <w:r w:rsidR="00900CBB" w:rsidRPr="007A7C84">
        <w:rPr>
          <w:rFonts w:ascii="Arial Narrow" w:hAnsi="Arial Narrow" w:cs="Aharoni"/>
          <w:iCs/>
          <w:sz w:val="24"/>
          <w:szCs w:val="24"/>
          <w:shd w:val="clear" w:color="auto" w:fill="FFFFFF"/>
        </w:rPr>
        <w:t xml:space="preserve">. </w:t>
      </w:r>
      <w:r w:rsidR="004F7629">
        <w:rPr>
          <w:rFonts w:ascii="Arial Narrow" w:hAnsi="Arial Narrow" w:cs="Aharoni"/>
          <w:iCs/>
          <w:sz w:val="24"/>
          <w:szCs w:val="24"/>
          <w:shd w:val="clear" w:color="auto" w:fill="FFFFFF"/>
        </w:rPr>
        <w:t>Indicó:</w:t>
      </w:r>
    </w:p>
    <w:p w14:paraId="4DD87990" w14:textId="77777777" w:rsidR="00081745" w:rsidRDefault="00081745" w:rsidP="00AF572F">
      <w:pPr>
        <w:tabs>
          <w:tab w:val="left" w:pos="3768"/>
        </w:tabs>
        <w:spacing w:after="0" w:line="240" w:lineRule="auto"/>
        <w:jc w:val="both"/>
        <w:rPr>
          <w:rFonts w:ascii="Arial Narrow" w:hAnsi="Arial Narrow" w:cs="Aharoni"/>
          <w:iCs/>
          <w:sz w:val="24"/>
          <w:szCs w:val="24"/>
          <w:shd w:val="clear" w:color="auto" w:fill="FFFFFF"/>
        </w:rPr>
      </w:pPr>
    </w:p>
    <w:p w14:paraId="04C3963F" w14:textId="344172A8" w:rsidR="00900CBB" w:rsidRDefault="00900CBB" w:rsidP="00AF572F">
      <w:pPr>
        <w:tabs>
          <w:tab w:val="left" w:pos="3768"/>
        </w:tabs>
        <w:spacing w:after="0" w:line="240" w:lineRule="auto"/>
        <w:jc w:val="both"/>
        <w:rPr>
          <w:rFonts w:ascii="Arial Narrow" w:hAnsi="Arial Narrow" w:cs="Aharoni"/>
          <w:i/>
          <w:sz w:val="24"/>
          <w:szCs w:val="24"/>
          <w:shd w:val="clear" w:color="auto" w:fill="FFFFFF"/>
        </w:rPr>
      </w:pPr>
      <w:r>
        <w:rPr>
          <w:rFonts w:ascii="Arial Narrow" w:hAnsi="Arial Narrow" w:cs="Aharoni"/>
          <w:i/>
          <w:sz w:val="24"/>
          <w:szCs w:val="24"/>
          <w:shd w:val="clear" w:color="auto" w:fill="FFFFFF"/>
        </w:rPr>
        <w:t xml:space="preserve">“Garantizar el respeto de las reglas es esencial para que los inversionistas sigan confiando en nosotros, y generando valiosas oportunidades de trabajo formal y bien remunerado para los costarricenses. También lo es el impulso del desarrollo sostenible, un valor con el que la comunidad inversionista reconoce y asocia la “marca” de Costa Rica. En estos momentos, en que luchamos sin cansancio por recuperarnos de la crisis pandémica, reactivando nuestra economía y las fuentes de ingreso para nuestra gente, </w:t>
      </w:r>
      <w:r w:rsidR="0056433F">
        <w:rPr>
          <w:rFonts w:ascii="Arial Narrow" w:hAnsi="Arial Narrow" w:cs="Aharoni"/>
          <w:i/>
          <w:sz w:val="24"/>
          <w:szCs w:val="24"/>
          <w:shd w:val="clear" w:color="auto" w:fill="FFFFFF"/>
        </w:rPr>
        <w:t xml:space="preserve">es crítico </w:t>
      </w:r>
      <w:r>
        <w:rPr>
          <w:rFonts w:ascii="Arial Narrow" w:hAnsi="Arial Narrow" w:cs="Aharoni"/>
          <w:i/>
          <w:sz w:val="24"/>
          <w:szCs w:val="24"/>
          <w:shd w:val="clear" w:color="auto" w:fill="FFFFFF"/>
        </w:rPr>
        <w:t>mantener nuestros altos estándares de protección en ambos campos</w:t>
      </w:r>
      <w:r w:rsidR="0056433F">
        <w:rPr>
          <w:rFonts w:ascii="Arial Narrow" w:hAnsi="Arial Narrow" w:cs="Aharoni"/>
          <w:i/>
          <w:sz w:val="24"/>
          <w:szCs w:val="24"/>
          <w:shd w:val="clear" w:color="auto" w:fill="FFFFFF"/>
        </w:rPr>
        <w:t>,</w:t>
      </w:r>
      <w:r>
        <w:rPr>
          <w:rFonts w:ascii="Arial Narrow" w:hAnsi="Arial Narrow" w:cs="Aharoni"/>
          <w:i/>
          <w:sz w:val="24"/>
          <w:szCs w:val="24"/>
          <w:shd w:val="clear" w:color="auto" w:fill="FFFFFF"/>
        </w:rPr>
        <w:t xml:space="preserve"> para que la recuperación sea mejor, más incluyente, más verde y, por ende, más resiliente. Es precisamente bajo estas convicciones que continuaremos impulsando todos nuestros esfuerzos, siempre identificando áreas de mejora para promover de manera articulada el desarrollo al que aspiramos”.</w:t>
      </w:r>
    </w:p>
    <w:p w14:paraId="5B9210B0" w14:textId="37D5C62B" w:rsidR="00900CBB" w:rsidRDefault="00900CBB" w:rsidP="00AF572F">
      <w:pPr>
        <w:tabs>
          <w:tab w:val="left" w:pos="3768"/>
        </w:tabs>
        <w:spacing w:after="0" w:line="240" w:lineRule="auto"/>
        <w:jc w:val="both"/>
        <w:rPr>
          <w:rFonts w:ascii="Arial Narrow" w:hAnsi="Arial Narrow" w:cs="Aharoni"/>
          <w:iCs/>
          <w:sz w:val="24"/>
          <w:szCs w:val="24"/>
          <w:shd w:val="clear" w:color="auto" w:fill="FFFFFF"/>
        </w:rPr>
      </w:pPr>
    </w:p>
    <w:p w14:paraId="71EB93AF" w14:textId="06E8DD71" w:rsidR="0056433F" w:rsidRDefault="0056433F" w:rsidP="00AF572F">
      <w:pPr>
        <w:tabs>
          <w:tab w:val="left" w:pos="3768"/>
        </w:tabs>
        <w:spacing w:after="0" w:line="240" w:lineRule="auto"/>
        <w:jc w:val="both"/>
        <w:rPr>
          <w:rFonts w:ascii="Arial Narrow" w:hAnsi="Arial Narrow"/>
          <w:sz w:val="24"/>
          <w:szCs w:val="24"/>
        </w:rPr>
      </w:pPr>
      <w:r w:rsidRPr="00D71C11">
        <w:rPr>
          <w:rFonts w:ascii="Arial Narrow" w:hAnsi="Arial Narrow"/>
          <w:sz w:val="24"/>
          <w:szCs w:val="24"/>
        </w:rPr>
        <w:t>E</w:t>
      </w:r>
      <w:r w:rsidRPr="007A7C84">
        <w:rPr>
          <w:rFonts w:ascii="Arial Narrow" w:hAnsi="Arial Narrow"/>
          <w:sz w:val="24"/>
          <w:szCs w:val="24"/>
        </w:rPr>
        <w:t xml:space="preserve">l equipo nacional </w:t>
      </w:r>
      <w:r w:rsidRPr="00AA7B7A">
        <w:rPr>
          <w:rFonts w:ascii="Arial Narrow" w:hAnsi="Arial Narrow" w:cs="Aharoni"/>
          <w:sz w:val="24"/>
          <w:szCs w:val="24"/>
          <w:shd w:val="clear" w:color="auto" w:fill="FFFFFF"/>
        </w:rPr>
        <w:t>que tuvo a cargo la defensa</w:t>
      </w:r>
      <w:r w:rsidRPr="007A7C84">
        <w:rPr>
          <w:rFonts w:ascii="Arial Narrow" w:hAnsi="Arial Narrow" w:cs="Aharoni"/>
          <w:sz w:val="24"/>
          <w:szCs w:val="24"/>
          <w:shd w:val="clear" w:color="auto" w:fill="FFFFFF"/>
        </w:rPr>
        <w:t xml:space="preserve"> </w:t>
      </w:r>
      <w:r>
        <w:rPr>
          <w:rFonts w:ascii="Arial Narrow" w:hAnsi="Arial Narrow" w:cs="Aharoni"/>
          <w:sz w:val="24"/>
          <w:szCs w:val="24"/>
          <w:shd w:val="clear" w:color="auto" w:fill="FFFFFF"/>
        </w:rPr>
        <w:t>de</w:t>
      </w:r>
      <w:r w:rsidR="000865D0">
        <w:rPr>
          <w:rFonts w:ascii="Arial Narrow" w:hAnsi="Arial Narrow" w:cs="Aharoni"/>
          <w:sz w:val="24"/>
          <w:szCs w:val="24"/>
          <w:shd w:val="clear" w:color="auto" w:fill="FFFFFF"/>
        </w:rPr>
        <w:t xml:space="preserve"> este</w:t>
      </w:r>
      <w:r>
        <w:rPr>
          <w:rFonts w:ascii="Arial Narrow" w:hAnsi="Arial Narrow" w:cs="Aharoni"/>
          <w:sz w:val="24"/>
          <w:szCs w:val="24"/>
          <w:shd w:val="clear" w:color="auto" w:fill="FFFFFF"/>
        </w:rPr>
        <w:t xml:space="preserve"> caso </w:t>
      </w:r>
      <w:r w:rsidRPr="007A7C84">
        <w:rPr>
          <w:rFonts w:ascii="Arial Narrow" w:hAnsi="Arial Narrow" w:cs="Aharoni"/>
          <w:sz w:val="24"/>
          <w:szCs w:val="24"/>
          <w:shd w:val="clear" w:color="auto" w:fill="FFFFFF"/>
        </w:rPr>
        <w:t xml:space="preserve">estuvo </w:t>
      </w:r>
      <w:r w:rsidRPr="0084683B">
        <w:rPr>
          <w:rFonts w:ascii="Arial Narrow" w:hAnsi="Arial Narrow" w:cs="Aharoni"/>
          <w:sz w:val="24"/>
          <w:szCs w:val="24"/>
          <w:shd w:val="clear" w:color="auto" w:fill="FFFFFF"/>
        </w:rPr>
        <w:t>liderado por COMEX</w:t>
      </w:r>
      <w:r w:rsidRPr="00D71C11">
        <w:rPr>
          <w:rFonts w:ascii="Arial Narrow" w:hAnsi="Arial Narrow" w:cs="Aharoni"/>
          <w:sz w:val="24"/>
          <w:szCs w:val="24"/>
          <w:shd w:val="clear" w:color="auto" w:fill="FFFFFF"/>
        </w:rPr>
        <w:t xml:space="preserve"> </w:t>
      </w:r>
      <w:r>
        <w:rPr>
          <w:rFonts w:ascii="Arial Narrow" w:hAnsi="Arial Narrow" w:cs="Aharoni"/>
          <w:sz w:val="24"/>
          <w:szCs w:val="24"/>
          <w:shd w:val="clear" w:color="auto" w:fill="FFFFFF"/>
        </w:rPr>
        <w:t xml:space="preserve">e </w:t>
      </w:r>
      <w:r w:rsidRPr="00D71C11">
        <w:rPr>
          <w:rFonts w:ascii="Arial Narrow" w:hAnsi="Arial Narrow" w:cs="Aharoni"/>
          <w:sz w:val="24"/>
          <w:szCs w:val="24"/>
          <w:shd w:val="clear" w:color="auto" w:fill="FFFFFF"/>
        </w:rPr>
        <w:t xml:space="preserve">integrado por </w:t>
      </w:r>
      <w:r w:rsidRPr="007A7C84">
        <w:rPr>
          <w:rFonts w:ascii="Arial Narrow" w:hAnsi="Arial Narrow" w:cs="Aharoni"/>
          <w:sz w:val="24"/>
          <w:szCs w:val="24"/>
          <w:shd w:val="clear" w:color="auto" w:fill="FFFFFF"/>
        </w:rPr>
        <w:t xml:space="preserve">funcionarios </w:t>
      </w:r>
      <w:r w:rsidR="00BA3EE8">
        <w:rPr>
          <w:rFonts w:ascii="Arial Narrow" w:hAnsi="Arial Narrow" w:cs="Aharoni"/>
          <w:sz w:val="24"/>
          <w:szCs w:val="24"/>
          <w:shd w:val="clear" w:color="auto" w:fill="FFFFFF"/>
        </w:rPr>
        <w:t xml:space="preserve">de varios departamentos </w:t>
      </w:r>
      <w:r w:rsidRPr="007A7C84">
        <w:rPr>
          <w:rFonts w:ascii="Arial Narrow" w:hAnsi="Arial Narrow" w:cs="Aharoni"/>
          <w:sz w:val="24"/>
          <w:szCs w:val="24"/>
          <w:shd w:val="clear" w:color="auto" w:fill="FFFFFF"/>
        </w:rPr>
        <w:t xml:space="preserve">del </w:t>
      </w:r>
      <w:r w:rsidRPr="007A7C84">
        <w:rPr>
          <w:rFonts w:ascii="Arial Narrow" w:hAnsi="Arial Narrow"/>
          <w:sz w:val="24"/>
          <w:szCs w:val="24"/>
        </w:rPr>
        <w:t>MINAE</w:t>
      </w:r>
      <w:r w:rsidR="00BA3EE8">
        <w:rPr>
          <w:rFonts w:ascii="Arial Narrow" w:hAnsi="Arial Narrow"/>
          <w:sz w:val="24"/>
          <w:szCs w:val="24"/>
        </w:rPr>
        <w:t xml:space="preserve"> (despacho ministerial, dirección legal, SETENA, SINAC, </w:t>
      </w:r>
      <w:r w:rsidR="00A169C6">
        <w:rPr>
          <w:rFonts w:ascii="Arial Narrow" w:hAnsi="Arial Narrow"/>
          <w:sz w:val="24"/>
          <w:szCs w:val="24"/>
        </w:rPr>
        <w:t>y Geología y Minas</w:t>
      </w:r>
      <w:r w:rsidR="00BA3EE8">
        <w:rPr>
          <w:rFonts w:ascii="Arial Narrow" w:hAnsi="Arial Narrow"/>
          <w:sz w:val="24"/>
          <w:szCs w:val="24"/>
        </w:rPr>
        <w:t>)</w:t>
      </w:r>
      <w:r w:rsidRPr="007A7C84">
        <w:rPr>
          <w:rFonts w:ascii="Arial Narrow" w:hAnsi="Arial Narrow"/>
          <w:sz w:val="24"/>
          <w:szCs w:val="24"/>
        </w:rPr>
        <w:t xml:space="preserve">, </w:t>
      </w:r>
      <w:r w:rsidRPr="007A7C84">
        <w:rPr>
          <w:rFonts w:ascii="Arial Narrow" w:hAnsi="Arial Narrow" w:cs="Aharoni"/>
          <w:sz w:val="24"/>
          <w:szCs w:val="24"/>
          <w:shd w:val="clear" w:color="auto" w:fill="FFFFFF"/>
        </w:rPr>
        <w:t>la Procuraduría General de la República, peritos en los campos del derecho administrativo</w:t>
      </w:r>
      <w:r w:rsidR="00520BA6">
        <w:rPr>
          <w:rFonts w:ascii="Arial Narrow" w:hAnsi="Arial Narrow" w:cs="Aharoni"/>
          <w:sz w:val="24"/>
          <w:szCs w:val="24"/>
          <w:shd w:val="clear" w:color="auto" w:fill="FFFFFF"/>
        </w:rPr>
        <w:t xml:space="preserve"> y</w:t>
      </w:r>
      <w:r w:rsidRPr="007A7C84">
        <w:rPr>
          <w:rFonts w:ascii="Arial Narrow" w:hAnsi="Arial Narrow" w:cs="Aharoni"/>
          <w:sz w:val="24"/>
          <w:szCs w:val="24"/>
          <w:shd w:val="clear" w:color="auto" w:fill="FFFFFF"/>
        </w:rPr>
        <w:t xml:space="preserve"> </w:t>
      </w:r>
      <w:r>
        <w:rPr>
          <w:rFonts w:ascii="Arial Narrow" w:hAnsi="Arial Narrow" w:cs="Aharoni"/>
          <w:sz w:val="24"/>
          <w:szCs w:val="24"/>
          <w:shd w:val="clear" w:color="auto" w:fill="FFFFFF"/>
        </w:rPr>
        <w:t>finanzas (</w:t>
      </w:r>
      <w:r w:rsidRPr="007A7C84">
        <w:rPr>
          <w:rFonts w:ascii="Arial Narrow" w:hAnsi="Arial Narrow" w:cs="Aharoni"/>
          <w:sz w:val="24"/>
          <w:szCs w:val="24"/>
          <w:shd w:val="clear" w:color="auto" w:fill="FFFFFF"/>
        </w:rPr>
        <w:t>cuy</w:t>
      </w:r>
      <w:r w:rsidR="00947824">
        <w:rPr>
          <w:rFonts w:ascii="Arial Narrow" w:hAnsi="Arial Narrow" w:cs="Aharoni"/>
          <w:sz w:val="24"/>
          <w:szCs w:val="24"/>
          <w:shd w:val="clear" w:color="auto" w:fill="FFFFFF"/>
        </w:rPr>
        <w:t xml:space="preserve">as opiniones técnicas </w:t>
      </w:r>
      <w:r w:rsidRPr="007A7C84">
        <w:rPr>
          <w:rFonts w:ascii="Arial Narrow" w:hAnsi="Arial Narrow" w:cs="Aharoni"/>
          <w:sz w:val="24"/>
          <w:szCs w:val="24"/>
          <w:shd w:val="clear" w:color="auto" w:fill="FFFFFF"/>
        </w:rPr>
        <w:t>se aportaron como prueba para complementar los argumentos del país en el proceso</w:t>
      </w:r>
      <w:r>
        <w:rPr>
          <w:rFonts w:ascii="Arial Narrow" w:hAnsi="Arial Narrow" w:cs="Aharoni"/>
          <w:sz w:val="24"/>
          <w:szCs w:val="24"/>
          <w:shd w:val="clear" w:color="auto" w:fill="FFFFFF"/>
        </w:rPr>
        <w:t>)</w:t>
      </w:r>
      <w:r w:rsidRPr="007A7C84">
        <w:rPr>
          <w:rFonts w:ascii="Arial Narrow" w:hAnsi="Arial Narrow" w:cs="Aharoni"/>
          <w:sz w:val="24"/>
          <w:szCs w:val="24"/>
          <w:shd w:val="clear" w:color="auto" w:fill="FFFFFF"/>
        </w:rPr>
        <w:t xml:space="preserve">, </w:t>
      </w:r>
      <w:r w:rsidR="000865D0">
        <w:rPr>
          <w:rFonts w:ascii="Arial Narrow" w:hAnsi="Arial Narrow" w:cs="Aharoni"/>
          <w:sz w:val="24"/>
          <w:szCs w:val="24"/>
          <w:shd w:val="clear" w:color="auto" w:fill="FFFFFF"/>
        </w:rPr>
        <w:t xml:space="preserve">y </w:t>
      </w:r>
      <w:r w:rsidRPr="007A7C84">
        <w:rPr>
          <w:rFonts w:ascii="Arial Narrow" w:hAnsi="Arial Narrow"/>
          <w:sz w:val="24"/>
          <w:szCs w:val="24"/>
        </w:rPr>
        <w:t xml:space="preserve">la firma legal internacional Arnold &amp; Porter </w:t>
      </w:r>
      <w:proofErr w:type="spellStart"/>
      <w:r w:rsidRPr="007A7C84">
        <w:rPr>
          <w:rFonts w:ascii="Arial Narrow" w:hAnsi="Arial Narrow"/>
          <w:sz w:val="24"/>
          <w:szCs w:val="24"/>
        </w:rPr>
        <w:t>Kaye</w:t>
      </w:r>
      <w:proofErr w:type="spellEnd"/>
      <w:r w:rsidRPr="007A7C84">
        <w:rPr>
          <w:rFonts w:ascii="Arial Narrow" w:hAnsi="Arial Narrow"/>
          <w:sz w:val="24"/>
          <w:szCs w:val="24"/>
        </w:rPr>
        <w:t xml:space="preserve"> </w:t>
      </w:r>
      <w:proofErr w:type="spellStart"/>
      <w:r w:rsidRPr="007A7C84">
        <w:rPr>
          <w:rFonts w:ascii="Arial Narrow" w:hAnsi="Arial Narrow"/>
          <w:sz w:val="24"/>
          <w:szCs w:val="24"/>
        </w:rPr>
        <w:t>Scholer</w:t>
      </w:r>
      <w:proofErr w:type="spellEnd"/>
      <w:r w:rsidRPr="007A7C84">
        <w:rPr>
          <w:rFonts w:ascii="Arial Narrow" w:hAnsi="Arial Narrow"/>
          <w:sz w:val="24"/>
          <w:szCs w:val="24"/>
        </w:rPr>
        <w:t xml:space="preserve">, </w:t>
      </w:r>
      <w:r w:rsidRPr="007A7C84">
        <w:rPr>
          <w:rFonts w:ascii="Arial Narrow" w:hAnsi="Arial Narrow" w:cs="Aharoni"/>
          <w:sz w:val="24"/>
          <w:szCs w:val="24"/>
          <w:shd w:val="clear" w:color="auto" w:fill="FFFFFF"/>
        </w:rPr>
        <w:t xml:space="preserve">expertos contratados para </w:t>
      </w:r>
      <w:r>
        <w:rPr>
          <w:rFonts w:ascii="Arial Narrow" w:hAnsi="Arial Narrow" w:cs="Aharoni"/>
          <w:sz w:val="24"/>
          <w:szCs w:val="24"/>
          <w:shd w:val="clear" w:color="auto" w:fill="FFFFFF"/>
        </w:rPr>
        <w:t xml:space="preserve">coordinar </w:t>
      </w:r>
      <w:r w:rsidRPr="007A7C84">
        <w:rPr>
          <w:rFonts w:ascii="Arial Narrow" w:hAnsi="Arial Narrow" w:cs="Aharoni"/>
          <w:sz w:val="24"/>
          <w:szCs w:val="24"/>
          <w:shd w:val="clear" w:color="auto" w:fill="FFFFFF"/>
        </w:rPr>
        <w:t xml:space="preserve">nuestra </w:t>
      </w:r>
      <w:r>
        <w:rPr>
          <w:rFonts w:ascii="Arial Narrow" w:hAnsi="Arial Narrow" w:cs="Aharoni"/>
          <w:sz w:val="24"/>
          <w:szCs w:val="24"/>
          <w:shd w:val="clear" w:color="auto" w:fill="FFFFFF"/>
        </w:rPr>
        <w:t xml:space="preserve">estrategia y </w:t>
      </w:r>
      <w:r w:rsidRPr="007A7C84">
        <w:rPr>
          <w:rFonts w:ascii="Arial Narrow" w:hAnsi="Arial Narrow" w:cs="Aharoni"/>
          <w:sz w:val="24"/>
          <w:szCs w:val="24"/>
          <w:shd w:val="clear" w:color="auto" w:fill="FFFFFF"/>
        </w:rPr>
        <w:t>defensa</w:t>
      </w:r>
      <w:r w:rsidRPr="00D71C11">
        <w:rPr>
          <w:rFonts w:ascii="Arial Narrow" w:hAnsi="Arial Narrow"/>
          <w:sz w:val="24"/>
          <w:szCs w:val="24"/>
        </w:rPr>
        <w:t xml:space="preserve"> </w:t>
      </w:r>
      <w:r>
        <w:rPr>
          <w:rFonts w:ascii="Arial Narrow" w:hAnsi="Arial Narrow"/>
          <w:sz w:val="24"/>
          <w:szCs w:val="24"/>
        </w:rPr>
        <w:t>legal</w:t>
      </w:r>
      <w:r w:rsidR="00F34DB9">
        <w:rPr>
          <w:rFonts w:ascii="Arial Narrow" w:hAnsi="Arial Narrow"/>
          <w:sz w:val="24"/>
          <w:szCs w:val="24"/>
        </w:rPr>
        <w:t>,</w:t>
      </w:r>
      <w:r>
        <w:rPr>
          <w:rFonts w:ascii="Arial Narrow" w:hAnsi="Arial Narrow"/>
          <w:sz w:val="24"/>
          <w:szCs w:val="24"/>
        </w:rPr>
        <w:t xml:space="preserve"> y </w:t>
      </w:r>
      <w:r w:rsidR="00A3744F">
        <w:rPr>
          <w:rFonts w:ascii="Arial Narrow" w:hAnsi="Arial Narrow"/>
          <w:sz w:val="24"/>
          <w:szCs w:val="24"/>
        </w:rPr>
        <w:t xml:space="preserve">para </w:t>
      </w:r>
      <w:r>
        <w:rPr>
          <w:rFonts w:ascii="Arial Narrow" w:hAnsi="Arial Narrow"/>
          <w:sz w:val="24"/>
          <w:szCs w:val="24"/>
        </w:rPr>
        <w:t xml:space="preserve">brindar </w:t>
      </w:r>
      <w:r w:rsidRPr="00D71C11">
        <w:rPr>
          <w:rFonts w:ascii="Arial Narrow" w:hAnsi="Arial Narrow"/>
          <w:sz w:val="24"/>
          <w:szCs w:val="24"/>
          <w:lang w:val="es-419"/>
        </w:rPr>
        <w:t>el apoyo técnico</w:t>
      </w:r>
      <w:r>
        <w:rPr>
          <w:rFonts w:ascii="Arial Narrow" w:hAnsi="Arial Narrow"/>
          <w:sz w:val="24"/>
          <w:szCs w:val="24"/>
          <w:lang w:val="es-419"/>
        </w:rPr>
        <w:t>-</w:t>
      </w:r>
      <w:r w:rsidRPr="007A7C84">
        <w:rPr>
          <w:rFonts w:ascii="Arial Narrow" w:hAnsi="Arial Narrow"/>
          <w:sz w:val="24"/>
          <w:szCs w:val="24"/>
          <w:lang w:val="es-419"/>
        </w:rPr>
        <w:t>jurídico</w:t>
      </w:r>
      <w:r>
        <w:rPr>
          <w:rFonts w:ascii="Arial Narrow" w:hAnsi="Arial Narrow"/>
          <w:sz w:val="24"/>
          <w:szCs w:val="24"/>
          <w:lang w:val="es-419"/>
        </w:rPr>
        <w:t xml:space="preserve"> </w:t>
      </w:r>
      <w:r w:rsidR="00D57F1C">
        <w:rPr>
          <w:rFonts w:ascii="Arial Narrow" w:hAnsi="Arial Narrow"/>
          <w:sz w:val="24"/>
          <w:szCs w:val="24"/>
          <w:lang w:val="es-419"/>
        </w:rPr>
        <w:t xml:space="preserve">especializado </w:t>
      </w:r>
      <w:r>
        <w:rPr>
          <w:rFonts w:ascii="Arial Narrow" w:hAnsi="Arial Narrow"/>
          <w:sz w:val="24"/>
          <w:szCs w:val="24"/>
          <w:lang w:val="es-419"/>
        </w:rPr>
        <w:t xml:space="preserve">necesario </w:t>
      </w:r>
      <w:r w:rsidR="00A3744F">
        <w:rPr>
          <w:rFonts w:ascii="Arial Narrow" w:hAnsi="Arial Narrow"/>
          <w:sz w:val="24"/>
          <w:szCs w:val="24"/>
          <w:lang w:val="es-419"/>
        </w:rPr>
        <w:t xml:space="preserve">durante </w:t>
      </w:r>
      <w:r>
        <w:rPr>
          <w:rFonts w:ascii="Arial Narrow" w:hAnsi="Arial Narrow"/>
          <w:sz w:val="24"/>
          <w:szCs w:val="24"/>
          <w:lang w:val="es-419"/>
        </w:rPr>
        <w:t>todo el proceso</w:t>
      </w:r>
      <w:r w:rsidRPr="007A7C84">
        <w:rPr>
          <w:rFonts w:ascii="Arial Narrow" w:hAnsi="Arial Narrow"/>
          <w:sz w:val="24"/>
          <w:szCs w:val="24"/>
        </w:rPr>
        <w:t>.</w:t>
      </w:r>
    </w:p>
    <w:p w14:paraId="4E864EBA" w14:textId="11870346" w:rsidR="00111784" w:rsidRDefault="00111784" w:rsidP="00AF572F">
      <w:pPr>
        <w:tabs>
          <w:tab w:val="left" w:pos="3768"/>
        </w:tabs>
        <w:spacing w:after="0" w:line="240" w:lineRule="auto"/>
        <w:jc w:val="both"/>
        <w:rPr>
          <w:rFonts w:ascii="Arial Narrow" w:hAnsi="Arial Narrow" w:cs="Aharoni"/>
          <w:sz w:val="24"/>
          <w:szCs w:val="24"/>
          <w:shd w:val="clear" w:color="auto" w:fill="FFFFFF"/>
        </w:rPr>
      </w:pPr>
    </w:p>
    <w:tbl>
      <w:tblPr>
        <w:tblStyle w:val="Tablaconcuadrcula"/>
        <w:tblW w:w="0" w:type="auto"/>
        <w:tblLook w:val="04A0" w:firstRow="1" w:lastRow="0" w:firstColumn="1" w:lastColumn="0" w:noHBand="0" w:noVBand="1"/>
      </w:tblPr>
      <w:tblGrid>
        <w:gridCol w:w="6091"/>
        <w:gridCol w:w="2727"/>
      </w:tblGrid>
      <w:tr w:rsidR="0056433F" w:rsidRPr="007A7C84" w14:paraId="7BAF5C10" w14:textId="77777777" w:rsidTr="007574C4">
        <w:trPr>
          <w:tblHeader/>
        </w:trPr>
        <w:tc>
          <w:tcPr>
            <w:tcW w:w="8818" w:type="dxa"/>
            <w:gridSpan w:val="2"/>
            <w:shd w:val="clear" w:color="auto" w:fill="0099CC"/>
          </w:tcPr>
          <w:p w14:paraId="361FC402" w14:textId="77777777" w:rsidR="0056433F" w:rsidRPr="007A7C84" w:rsidRDefault="0056433F" w:rsidP="00AF572F">
            <w:pPr>
              <w:jc w:val="center"/>
              <w:rPr>
                <w:rFonts w:ascii="Arial Narrow" w:hAnsi="Arial Narrow"/>
                <w:b/>
                <w:bCs/>
                <w:color w:val="FFFFFF" w:themeColor="background1"/>
                <w:sz w:val="20"/>
                <w:szCs w:val="20"/>
              </w:rPr>
            </w:pPr>
            <w:r w:rsidRPr="007A7C84">
              <w:rPr>
                <w:rFonts w:ascii="Arial Narrow" w:hAnsi="Arial Narrow"/>
                <w:b/>
                <w:color w:val="FFFFFF" w:themeColor="background1"/>
                <w:sz w:val="20"/>
                <w:szCs w:val="20"/>
              </w:rPr>
              <w:t>Cronología del arbitraje</w:t>
            </w:r>
          </w:p>
        </w:tc>
      </w:tr>
      <w:tr w:rsidR="0056433F" w:rsidRPr="007A7C84" w14:paraId="72DA4C3A" w14:textId="77777777" w:rsidTr="007574C4">
        <w:trPr>
          <w:tblHeader/>
        </w:trPr>
        <w:tc>
          <w:tcPr>
            <w:tcW w:w="6091" w:type="dxa"/>
            <w:shd w:val="clear" w:color="auto" w:fill="EC7A08"/>
            <w:hideMark/>
          </w:tcPr>
          <w:p w14:paraId="116BBBC4" w14:textId="77777777" w:rsidR="0056433F" w:rsidRPr="007A7C84" w:rsidRDefault="0056433F" w:rsidP="00AF572F">
            <w:pPr>
              <w:jc w:val="center"/>
              <w:rPr>
                <w:rFonts w:ascii="Arial Narrow" w:hAnsi="Arial Narrow"/>
                <w:b/>
                <w:bCs/>
                <w:color w:val="FFFFFF" w:themeColor="background1"/>
                <w:sz w:val="20"/>
                <w:szCs w:val="20"/>
              </w:rPr>
            </w:pPr>
            <w:r w:rsidRPr="007A7C84">
              <w:rPr>
                <w:rFonts w:ascii="Arial Narrow" w:hAnsi="Arial Narrow"/>
                <w:b/>
                <w:bCs/>
                <w:color w:val="FFFFFF" w:themeColor="background1"/>
                <w:sz w:val="20"/>
                <w:szCs w:val="20"/>
              </w:rPr>
              <w:t>Etapa procesal</w:t>
            </w:r>
          </w:p>
        </w:tc>
        <w:tc>
          <w:tcPr>
            <w:tcW w:w="2727" w:type="dxa"/>
            <w:shd w:val="clear" w:color="auto" w:fill="EC7A08"/>
            <w:hideMark/>
          </w:tcPr>
          <w:p w14:paraId="6D0EFBAF" w14:textId="77777777" w:rsidR="0056433F" w:rsidRPr="007A7C84" w:rsidRDefault="0056433F" w:rsidP="00AF572F">
            <w:pPr>
              <w:jc w:val="center"/>
              <w:rPr>
                <w:rFonts w:ascii="Arial Narrow" w:hAnsi="Arial Narrow"/>
                <w:b/>
                <w:bCs/>
                <w:color w:val="FFFFFF" w:themeColor="background1"/>
                <w:sz w:val="20"/>
                <w:szCs w:val="20"/>
              </w:rPr>
            </w:pPr>
            <w:r w:rsidRPr="007A7C84">
              <w:rPr>
                <w:rFonts w:ascii="Arial Narrow" w:hAnsi="Arial Narrow"/>
                <w:b/>
                <w:bCs/>
                <w:color w:val="FFFFFF" w:themeColor="background1"/>
                <w:sz w:val="20"/>
                <w:szCs w:val="20"/>
              </w:rPr>
              <w:t>Fecha</w:t>
            </w:r>
          </w:p>
        </w:tc>
      </w:tr>
      <w:tr w:rsidR="0056433F" w:rsidRPr="007A7C84" w14:paraId="5A4E15E2" w14:textId="77777777" w:rsidTr="007574C4">
        <w:tc>
          <w:tcPr>
            <w:tcW w:w="6091" w:type="dxa"/>
            <w:hideMark/>
          </w:tcPr>
          <w:p w14:paraId="3BAB3D63" w14:textId="77777777" w:rsidR="0056433F" w:rsidRPr="007A7C84" w:rsidRDefault="0056433F" w:rsidP="00AF572F">
            <w:pPr>
              <w:jc w:val="both"/>
              <w:rPr>
                <w:rFonts w:ascii="Arial Narrow" w:hAnsi="Arial Narrow"/>
                <w:b/>
                <w:bCs/>
                <w:sz w:val="20"/>
                <w:szCs w:val="20"/>
              </w:rPr>
            </w:pPr>
            <w:r w:rsidRPr="007A7C84">
              <w:rPr>
                <w:rFonts w:ascii="Arial Narrow" w:hAnsi="Arial Narrow"/>
                <w:sz w:val="20"/>
                <w:szCs w:val="20"/>
              </w:rPr>
              <w:t xml:space="preserve">Registro ante el CIADI </w:t>
            </w:r>
          </w:p>
        </w:tc>
        <w:tc>
          <w:tcPr>
            <w:tcW w:w="2727" w:type="dxa"/>
            <w:hideMark/>
          </w:tcPr>
          <w:p w14:paraId="335EE398"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4 de marzo de 2014</w:t>
            </w:r>
          </w:p>
        </w:tc>
      </w:tr>
      <w:tr w:rsidR="0056433F" w:rsidRPr="007A7C84" w14:paraId="45375604" w14:textId="77777777" w:rsidTr="007574C4">
        <w:tc>
          <w:tcPr>
            <w:tcW w:w="6091" w:type="dxa"/>
          </w:tcPr>
          <w:p w14:paraId="00AA6CE0" w14:textId="77777777" w:rsidR="0056433F" w:rsidRPr="007A7C84" w:rsidRDefault="0056433F" w:rsidP="00AF572F">
            <w:pPr>
              <w:jc w:val="both"/>
              <w:rPr>
                <w:rFonts w:ascii="Arial Narrow" w:hAnsi="Arial Narrow"/>
                <w:sz w:val="20"/>
                <w:szCs w:val="20"/>
              </w:rPr>
            </w:pPr>
            <w:r w:rsidRPr="007A7C84">
              <w:rPr>
                <w:rFonts w:ascii="Arial Narrow" w:hAnsi="Arial Narrow"/>
                <w:sz w:val="20"/>
                <w:szCs w:val="20"/>
              </w:rPr>
              <w:t>Solicitud de participación como</w:t>
            </w:r>
            <w:r w:rsidRPr="007A7C84">
              <w:rPr>
                <w:rFonts w:ascii="Arial Narrow" w:hAnsi="Arial Narrow"/>
                <w:i/>
                <w:iCs/>
                <w:sz w:val="20"/>
                <w:szCs w:val="20"/>
              </w:rPr>
              <w:t xml:space="preserve"> </w:t>
            </w:r>
            <w:proofErr w:type="spellStart"/>
            <w:r w:rsidRPr="007A7C84">
              <w:rPr>
                <w:rFonts w:ascii="Arial Narrow" w:hAnsi="Arial Narrow"/>
                <w:i/>
                <w:iCs/>
                <w:sz w:val="20"/>
                <w:szCs w:val="20"/>
              </w:rPr>
              <w:t>amicus</w:t>
            </w:r>
            <w:proofErr w:type="spellEnd"/>
            <w:r w:rsidRPr="007A7C84">
              <w:rPr>
                <w:rFonts w:ascii="Arial Narrow" w:hAnsi="Arial Narrow"/>
                <w:i/>
                <w:iCs/>
                <w:sz w:val="20"/>
                <w:szCs w:val="20"/>
              </w:rPr>
              <w:t xml:space="preserve"> </w:t>
            </w:r>
            <w:proofErr w:type="spellStart"/>
            <w:r w:rsidRPr="007A7C84">
              <w:rPr>
                <w:rFonts w:ascii="Arial Narrow" w:hAnsi="Arial Narrow"/>
                <w:i/>
                <w:iCs/>
                <w:sz w:val="20"/>
                <w:szCs w:val="20"/>
              </w:rPr>
              <w:t>curiae</w:t>
            </w:r>
            <w:proofErr w:type="spellEnd"/>
            <w:r w:rsidRPr="007A7C84">
              <w:rPr>
                <w:rFonts w:ascii="Arial Narrow" w:hAnsi="Arial Narrow"/>
                <w:i/>
                <w:iCs/>
                <w:sz w:val="20"/>
                <w:szCs w:val="20"/>
              </w:rPr>
              <w:t xml:space="preserve"> </w:t>
            </w:r>
            <w:r w:rsidRPr="007A7C84">
              <w:rPr>
                <w:rFonts w:ascii="Arial Narrow" w:hAnsi="Arial Narrow"/>
                <w:sz w:val="20"/>
                <w:szCs w:val="20"/>
              </w:rPr>
              <w:t>(APREFLOFAS)</w:t>
            </w:r>
          </w:p>
        </w:tc>
        <w:tc>
          <w:tcPr>
            <w:tcW w:w="2727" w:type="dxa"/>
          </w:tcPr>
          <w:p w14:paraId="251F84D3"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15 de setiembre de 2014</w:t>
            </w:r>
          </w:p>
        </w:tc>
      </w:tr>
      <w:tr w:rsidR="0056433F" w:rsidRPr="007A7C84" w14:paraId="12A7DB84" w14:textId="77777777" w:rsidTr="007574C4">
        <w:tc>
          <w:tcPr>
            <w:tcW w:w="6091" w:type="dxa"/>
          </w:tcPr>
          <w:p w14:paraId="76EBA1BE" w14:textId="77777777" w:rsidR="0056433F" w:rsidRPr="007A7C84" w:rsidRDefault="0056433F" w:rsidP="00AF572F">
            <w:pPr>
              <w:jc w:val="both"/>
              <w:rPr>
                <w:rFonts w:ascii="Arial Narrow" w:hAnsi="Arial Narrow"/>
                <w:sz w:val="20"/>
                <w:szCs w:val="20"/>
              </w:rPr>
            </w:pPr>
            <w:r w:rsidRPr="007A7C84">
              <w:rPr>
                <w:rFonts w:ascii="Arial Narrow" w:hAnsi="Arial Narrow"/>
                <w:sz w:val="20"/>
                <w:szCs w:val="20"/>
              </w:rPr>
              <w:t xml:space="preserve">Constitución del Tribunal Arbitral </w:t>
            </w:r>
          </w:p>
        </w:tc>
        <w:tc>
          <w:tcPr>
            <w:tcW w:w="2727" w:type="dxa"/>
          </w:tcPr>
          <w:p w14:paraId="48A8E6B7"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29 de setiembre de 2014</w:t>
            </w:r>
          </w:p>
        </w:tc>
      </w:tr>
      <w:tr w:rsidR="0056433F" w:rsidRPr="007A7C84" w14:paraId="658884AA" w14:textId="77777777" w:rsidTr="007574C4">
        <w:tc>
          <w:tcPr>
            <w:tcW w:w="6091" w:type="dxa"/>
            <w:hideMark/>
          </w:tcPr>
          <w:p w14:paraId="4C9D130C" w14:textId="77777777" w:rsidR="0056433F" w:rsidRPr="007A7C84" w:rsidRDefault="0056433F" w:rsidP="00AF572F">
            <w:pPr>
              <w:jc w:val="both"/>
              <w:rPr>
                <w:rFonts w:ascii="Arial Narrow" w:hAnsi="Arial Narrow"/>
                <w:b/>
                <w:bCs/>
                <w:sz w:val="20"/>
                <w:szCs w:val="20"/>
              </w:rPr>
            </w:pPr>
            <w:r w:rsidRPr="007A7C84">
              <w:rPr>
                <w:rFonts w:ascii="Arial Narrow" w:hAnsi="Arial Narrow"/>
                <w:sz w:val="20"/>
                <w:szCs w:val="20"/>
              </w:rPr>
              <w:t>Memorial de demanda (Infinito Gold Ltd.)</w:t>
            </w:r>
          </w:p>
        </w:tc>
        <w:tc>
          <w:tcPr>
            <w:tcW w:w="2727" w:type="dxa"/>
            <w:hideMark/>
          </w:tcPr>
          <w:p w14:paraId="40F080C3"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23 de diciembre de 2015</w:t>
            </w:r>
          </w:p>
        </w:tc>
      </w:tr>
      <w:tr w:rsidR="0056433F" w:rsidRPr="007A7C84" w14:paraId="291B7315" w14:textId="77777777" w:rsidTr="007574C4">
        <w:tc>
          <w:tcPr>
            <w:tcW w:w="6091" w:type="dxa"/>
          </w:tcPr>
          <w:p w14:paraId="41566711" w14:textId="77777777" w:rsidR="0056433F" w:rsidRPr="007A7C84" w:rsidRDefault="0056433F" w:rsidP="00AF572F">
            <w:pPr>
              <w:jc w:val="both"/>
              <w:rPr>
                <w:rFonts w:ascii="Arial Narrow" w:hAnsi="Arial Narrow"/>
                <w:b/>
                <w:bCs/>
                <w:sz w:val="20"/>
                <w:szCs w:val="20"/>
              </w:rPr>
            </w:pPr>
            <w:r w:rsidRPr="007A7C84">
              <w:rPr>
                <w:rFonts w:ascii="Arial Narrow" w:hAnsi="Arial Narrow"/>
                <w:sz w:val="20"/>
                <w:szCs w:val="20"/>
              </w:rPr>
              <w:t xml:space="preserve">Memorial de jurisdicción (Costa Rica) </w:t>
            </w:r>
          </w:p>
        </w:tc>
        <w:tc>
          <w:tcPr>
            <w:tcW w:w="2727" w:type="dxa"/>
          </w:tcPr>
          <w:p w14:paraId="2ABCD3F0"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8 de abril de 2016</w:t>
            </w:r>
          </w:p>
        </w:tc>
      </w:tr>
      <w:tr w:rsidR="0056433F" w:rsidRPr="007A7C84" w14:paraId="01945E5C" w14:textId="77777777" w:rsidTr="007574C4">
        <w:tc>
          <w:tcPr>
            <w:tcW w:w="6091" w:type="dxa"/>
          </w:tcPr>
          <w:p w14:paraId="1D1ABEC1" w14:textId="77777777" w:rsidR="0056433F" w:rsidRPr="007A7C84" w:rsidRDefault="0056433F" w:rsidP="00AF572F">
            <w:pPr>
              <w:jc w:val="both"/>
              <w:rPr>
                <w:rFonts w:ascii="Arial Narrow" w:hAnsi="Arial Narrow"/>
                <w:sz w:val="20"/>
                <w:szCs w:val="20"/>
              </w:rPr>
            </w:pPr>
            <w:r w:rsidRPr="007A7C84">
              <w:rPr>
                <w:rFonts w:ascii="Arial Narrow" w:hAnsi="Arial Narrow"/>
                <w:sz w:val="20"/>
                <w:szCs w:val="20"/>
              </w:rPr>
              <w:t xml:space="preserve">Observaciones a la participación del </w:t>
            </w:r>
            <w:proofErr w:type="spellStart"/>
            <w:r w:rsidRPr="007A7C84">
              <w:rPr>
                <w:rFonts w:ascii="Arial Narrow" w:hAnsi="Arial Narrow"/>
                <w:i/>
                <w:iCs/>
                <w:sz w:val="20"/>
                <w:szCs w:val="20"/>
              </w:rPr>
              <w:t>amicus</w:t>
            </w:r>
            <w:proofErr w:type="spellEnd"/>
            <w:r w:rsidRPr="007A7C84">
              <w:rPr>
                <w:rFonts w:ascii="Arial Narrow" w:hAnsi="Arial Narrow"/>
                <w:i/>
                <w:iCs/>
                <w:sz w:val="20"/>
                <w:szCs w:val="20"/>
              </w:rPr>
              <w:t xml:space="preserve"> </w:t>
            </w:r>
            <w:proofErr w:type="spellStart"/>
            <w:r w:rsidRPr="007A7C84">
              <w:rPr>
                <w:rFonts w:ascii="Arial Narrow" w:hAnsi="Arial Narrow"/>
                <w:i/>
                <w:iCs/>
                <w:sz w:val="20"/>
                <w:szCs w:val="20"/>
              </w:rPr>
              <w:t>curiae</w:t>
            </w:r>
            <w:proofErr w:type="spellEnd"/>
            <w:r w:rsidRPr="007A7C84">
              <w:rPr>
                <w:rFonts w:ascii="Arial Narrow" w:hAnsi="Arial Narrow"/>
                <w:i/>
                <w:iCs/>
                <w:sz w:val="20"/>
                <w:szCs w:val="20"/>
              </w:rPr>
              <w:t xml:space="preserve"> </w:t>
            </w:r>
            <w:r w:rsidRPr="007A7C84">
              <w:rPr>
                <w:rFonts w:ascii="Arial Narrow" w:hAnsi="Arial Narrow"/>
                <w:sz w:val="20"/>
                <w:szCs w:val="20"/>
              </w:rPr>
              <w:t>(ambos partes)</w:t>
            </w:r>
          </w:p>
        </w:tc>
        <w:tc>
          <w:tcPr>
            <w:tcW w:w="2727" w:type="dxa"/>
          </w:tcPr>
          <w:p w14:paraId="2614A897"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29 de abril de 2016</w:t>
            </w:r>
          </w:p>
        </w:tc>
      </w:tr>
      <w:tr w:rsidR="0056433F" w:rsidRPr="007A7C84" w14:paraId="3550F23D" w14:textId="77777777" w:rsidTr="007574C4">
        <w:tc>
          <w:tcPr>
            <w:tcW w:w="6091" w:type="dxa"/>
            <w:hideMark/>
          </w:tcPr>
          <w:p w14:paraId="33F4970F" w14:textId="77777777" w:rsidR="0056433F" w:rsidRPr="007A7C84" w:rsidRDefault="0056433F" w:rsidP="00AF572F">
            <w:pPr>
              <w:jc w:val="both"/>
              <w:rPr>
                <w:rFonts w:ascii="Arial Narrow" w:hAnsi="Arial Narrow"/>
                <w:sz w:val="20"/>
                <w:szCs w:val="20"/>
              </w:rPr>
            </w:pPr>
            <w:r w:rsidRPr="007A7C84">
              <w:rPr>
                <w:rFonts w:ascii="Arial Narrow" w:hAnsi="Arial Narrow"/>
                <w:sz w:val="20"/>
                <w:szCs w:val="20"/>
              </w:rPr>
              <w:t>Memorial de contestación sobre la jurisdicción (Infinito Gold Ltd.)</w:t>
            </w:r>
          </w:p>
        </w:tc>
        <w:tc>
          <w:tcPr>
            <w:tcW w:w="2727" w:type="dxa"/>
            <w:hideMark/>
          </w:tcPr>
          <w:p w14:paraId="4953F7A9"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7 de julio de 2016</w:t>
            </w:r>
          </w:p>
        </w:tc>
      </w:tr>
      <w:tr w:rsidR="0056433F" w:rsidRPr="007A7C84" w14:paraId="7F13ACDC" w14:textId="77777777" w:rsidTr="007574C4">
        <w:tc>
          <w:tcPr>
            <w:tcW w:w="6091" w:type="dxa"/>
          </w:tcPr>
          <w:p w14:paraId="7D69D63D" w14:textId="77777777" w:rsidR="0056433F" w:rsidRPr="007A7C84" w:rsidRDefault="0056433F" w:rsidP="00AF572F">
            <w:pPr>
              <w:jc w:val="both"/>
              <w:rPr>
                <w:rFonts w:ascii="Arial Narrow" w:hAnsi="Arial Narrow"/>
                <w:sz w:val="20"/>
                <w:szCs w:val="20"/>
              </w:rPr>
            </w:pPr>
            <w:r w:rsidRPr="007A7C84">
              <w:rPr>
                <w:rFonts w:ascii="Arial Narrow" w:hAnsi="Arial Narrow"/>
                <w:sz w:val="20"/>
                <w:szCs w:val="20"/>
              </w:rPr>
              <w:t>Escrito del</w:t>
            </w:r>
            <w:r w:rsidRPr="007A7C84">
              <w:rPr>
                <w:rFonts w:ascii="Arial Narrow" w:hAnsi="Arial Narrow"/>
                <w:i/>
                <w:iCs/>
                <w:sz w:val="20"/>
                <w:szCs w:val="20"/>
              </w:rPr>
              <w:t xml:space="preserve"> </w:t>
            </w:r>
            <w:proofErr w:type="spellStart"/>
            <w:r w:rsidRPr="007A7C84">
              <w:rPr>
                <w:rFonts w:ascii="Arial Narrow" w:hAnsi="Arial Narrow"/>
                <w:i/>
                <w:iCs/>
                <w:sz w:val="20"/>
                <w:szCs w:val="20"/>
              </w:rPr>
              <w:t>amicus</w:t>
            </w:r>
            <w:proofErr w:type="spellEnd"/>
            <w:r w:rsidRPr="007A7C84">
              <w:rPr>
                <w:rFonts w:ascii="Arial Narrow" w:hAnsi="Arial Narrow"/>
                <w:i/>
                <w:iCs/>
                <w:sz w:val="20"/>
                <w:szCs w:val="20"/>
              </w:rPr>
              <w:t xml:space="preserve"> </w:t>
            </w:r>
            <w:proofErr w:type="spellStart"/>
            <w:r w:rsidRPr="007A7C84">
              <w:rPr>
                <w:rFonts w:ascii="Arial Narrow" w:hAnsi="Arial Narrow"/>
                <w:i/>
                <w:iCs/>
                <w:sz w:val="20"/>
                <w:szCs w:val="20"/>
              </w:rPr>
              <w:t>curiae</w:t>
            </w:r>
            <w:proofErr w:type="spellEnd"/>
            <w:r w:rsidRPr="007A7C84">
              <w:rPr>
                <w:rFonts w:ascii="Arial Narrow" w:hAnsi="Arial Narrow"/>
                <w:i/>
                <w:iCs/>
                <w:sz w:val="20"/>
                <w:szCs w:val="20"/>
              </w:rPr>
              <w:t xml:space="preserve"> </w:t>
            </w:r>
            <w:r w:rsidRPr="007A7C84">
              <w:rPr>
                <w:rFonts w:ascii="Arial Narrow" w:hAnsi="Arial Narrow"/>
                <w:sz w:val="20"/>
                <w:szCs w:val="20"/>
              </w:rPr>
              <w:t>(APREFLOFAS)</w:t>
            </w:r>
          </w:p>
        </w:tc>
        <w:tc>
          <w:tcPr>
            <w:tcW w:w="2727" w:type="dxa"/>
          </w:tcPr>
          <w:p w14:paraId="604CD852"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19 de julio de 2016</w:t>
            </w:r>
          </w:p>
        </w:tc>
      </w:tr>
      <w:tr w:rsidR="0056433F" w:rsidRPr="007A7C84" w14:paraId="6B681C61" w14:textId="77777777" w:rsidTr="007574C4">
        <w:tc>
          <w:tcPr>
            <w:tcW w:w="6091" w:type="dxa"/>
          </w:tcPr>
          <w:p w14:paraId="30DB636B" w14:textId="77777777" w:rsidR="0056433F" w:rsidRPr="007A7C84" w:rsidRDefault="0056433F" w:rsidP="00AF572F">
            <w:pPr>
              <w:jc w:val="both"/>
              <w:rPr>
                <w:rFonts w:ascii="Arial Narrow" w:hAnsi="Arial Narrow"/>
                <w:sz w:val="20"/>
                <w:szCs w:val="20"/>
              </w:rPr>
            </w:pPr>
            <w:r w:rsidRPr="007A7C84">
              <w:rPr>
                <w:rFonts w:ascii="Arial Narrow" w:hAnsi="Arial Narrow"/>
                <w:sz w:val="20"/>
                <w:szCs w:val="20"/>
              </w:rPr>
              <w:lastRenderedPageBreak/>
              <w:t>Memorial de réplica sobre la jurisdicción (Costa Rica)</w:t>
            </w:r>
          </w:p>
        </w:tc>
        <w:tc>
          <w:tcPr>
            <w:tcW w:w="2727" w:type="dxa"/>
          </w:tcPr>
          <w:p w14:paraId="6B81BE22"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16 de diciembre de 2016</w:t>
            </w:r>
          </w:p>
        </w:tc>
      </w:tr>
      <w:tr w:rsidR="0056433F" w:rsidRPr="007A7C84" w14:paraId="1B096226" w14:textId="77777777" w:rsidTr="007574C4">
        <w:tc>
          <w:tcPr>
            <w:tcW w:w="6091" w:type="dxa"/>
            <w:hideMark/>
          </w:tcPr>
          <w:p w14:paraId="1415A329" w14:textId="77777777" w:rsidR="0056433F" w:rsidRPr="007A7C84" w:rsidRDefault="0056433F" w:rsidP="00AF572F">
            <w:pPr>
              <w:jc w:val="both"/>
              <w:rPr>
                <w:rFonts w:ascii="Arial Narrow" w:hAnsi="Arial Narrow"/>
                <w:b/>
                <w:bCs/>
                <w:sz w:val="20"/>
                <w:szCs w:val="20"/>
              </w:rPr>
            </w:pPr>
            <w:r w:rsidRPr="007A7C84">
              <w:rPr>
                <w:rFonts w:ascii="Arial Narrow" w:hAnsi="Arial Narrow"/>
                <w:sz w:val="20"/>
                <w:szCs w:val="20"/>
              </w:rPr>
              <w:t xml:space="preserve">Audiencia sobre jurisdicción </w:t>
            </w:r>
          </w:p>
        </w:tc>
        <w:tc>
          <w:tcPr>
            <w:tcW w:w="2727" w:type="dxa"/>
            <w:hideMark/>
          </w:tcPr>
          <w:p w14:paraId="1D21215B"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19 y 20 de enero de 2017</w:t>
            </w:r>
          </w:p>
        </w:tc>
      </w:tr>
      <w:tr w:rsidR="0056433F" w:rsidRPr="007A7C84" w14:paraId="6FAAFCD0" w14:textId="77777777" w:rsidTr="007574C4">
        <w:tc>
          <w:tcPr>
            <w:tcW w:w="6091" w:type="dxa"/>
            <w:hideMark/>
          </w:tcPr>
          <w:p w14:paraId="52070739" w14:textId="77777777" w:rsidR="0056433F" w:rsidRPr="007A7C84" w:rsidRDefault="0056433F" w:rsidP="00AF572F">
            <w:pPr>
              <w:jc w:val="both"/>
              <w:rPr>
                <w:rFonts w:ascii="Arial Narrow" w:hAnsi="Arial Narrow"/>
                <w:sz w:val="20"/>
                <w:szCs w:val="20"/>
              </w:rPr>
            </w:pPr>
            <w:r w:rsidRPr="007A7C84">
              <w:rPr>
                <w:rFonts w:ascii="Arial Narrow" w:hAnsi="Arial Narrow"/>
                <w:sz w:val="20"/>
                <w:szCs w:val="20"/>
              </w:rPr>
              <w:t xml:space="preserve">Decisión sobre jurisdicción </w:t>
            </w:r>
          </w:p>
        </w:tc>
        <w:tc>
          <w:tcPr>
            <w:tcW w:w="2727" w:type="dxa"/>
            <w:hideMark/>
          </w:tcPr>
          <w:p w14:paraId="72ACF11E"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4 de diciembre de 2017</w:t>
            </w:r>
          </w:p>
        </w:tc>
      </w:tr>
      <w:tr w:rsidR="0056433F" w:rsidRPr="007A7C84" w14:paraId="24E02882" w14:textId="77777777" w:rsidTr="007574C4">
        <w:tc>
          <w:tcPr>
            <w:tcW w:w="6091" w:type="dxa"/>
          </w:tcPr>
          <w:p w14:paraId="0DB1AD94" w14:textId="77777777" w:rsidR="0056433F" w:rsidRPr="007A7C84" w:rsidRDefault="0056433F" w:rsidP="00AF572F">
            <w:pPr>
              <w:jc w:val="both"/>
              <w:rPr>
                <w:rFonts w:ascii="Arial Narrow" w:hAnsi="Arial Narrow"/>
                <w:sz w:val="20"/>
                <w:szCs w:val="20"/>
              </w:rPr>
            </w:pPr>
            <w:r w:rsidRPr="007A7C84">
              <w:rPr>
                <w:rFonts w:ascii="Arial Narrow" w:hAnsi="Arial Narrow"/>
                <w:sz w:val="20"/>
                <w:szCs w:val="20"/>
              </w:rPr>
              <w:t xml:space="preserve">Solicitud de participación como parte no contendiente (Canadá) </w:t>
            </w:r>
          </w:p>
        </w:tc>
        <w:tc>
          <w:tcPr>
            <w:tcW w:w="2727" w:type="dxa"/>
          </w:tcPr>
          <w:p w14:paraId="745CBD89"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19 de enero de 2018</w:t>
            </w:r>
          </w:p>
        </w:tc>
      </w:tr>
      <w:tr w:rsidR="0056433F" w:rsidRPr="007A7C84" w14:paraId="25E92556" w14:textId="77777777" w:rsidTr="007574C4">
        <w:tc>
          <w:tcPr>
            <w:tcW w:w="6091" w:type="dxa"/>
          </w:tcPr>
          <w:p w14:paraId="467EC0E4" w14:textId="77777777" w:rsidR="0056433F" w:rsidRPr="007A7C84" w:rsidRDefault="0056433F" w:rsidP="00AF572F">
            <w:pPr>
              <w:jc w:val="both"/>
              <w:rPr>
                <w:rFonts w:ascii="Arial Narrow" w:hAnsi="Arial Narrow"/>
                <w:sz w:val="20"/>
                <w:szCs w:val="20"/>
              </w:rPr>
            </w:pPr>
            <w:r w:rsidRPr="007A7C84">
              <w:rPr>
                <w:rFonts w:ascii="Arial Narrow" w:hAnsi="Arial Narrow"/>
                <w:sz w:val="20"/>
                <w:szCs w:val="20"/>
              </w:rPr>
              <w:t xml:space="preserve">Observaciones a la participación de la parte no contendiente (ambas partes) </w:t>
            </w:r>
          </w:p>
        </w:tc>
        <w:tc>
          <w:tcPr>
            <w:tcW w:w="2727" w:type="dxa"/>
          </w:tcPr>
          <w:p w14:paraId="07BAD77A"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9 de febrero de 2018</w:t>
            </w:r>
          </w:p>
        </w:tc>
      </w:tr>
      <w:tr w:rsidR="0056433F" w:rsidRPr="007A7C84" w14:paraId="0782D500" w14:textId="77777777" w:rsidTr="007574C4">
        <w:tc>
          <w:tcPr>
            <w:tcW w:w="6091" w:type="dxa"/>
          </w:tcPr>
          <w:p w14:paraId="7C4A08B0" w14:textId="77777777" w:rsidR="0056433F" w:rsidRPr="007A7C84" w:rsidRDefault="0056433F" w:rsidP="00AF572F">
            <w:pPr>
              <w:jc w:val="both"/>
              <w:rPr>
                <w:rFonts w:ascii="Arial Narrow" w:hAnsi="Arial Narrow"/>
                <w:sz w:val="20"/>
                <w:szCs w:val="20"/>
              </w:rPr>
            </w:pPr>
            <w:r w:rsidRPr="007A7C84">
              <w:rPr>
                <w:rFonts w:ascii="Arial Narrow" w:hAnsi="Arial Narrow"/>
                <w:sz w:val="20"/>
                <w:szCs w:val="20"/>
              </w:rPr>
              <w:t xml:space="preserve">Escrito de la parte no contendiente (Canadá) </w:t>
            </w:r>
          </w:p>
        </w:tc>
        <w:tc>
          <w:tcPr>
            <w:tcW w:w="2727" w:type="dxa"/>
          </w:tcPr>
          <w:p w14:paraId="3F3C4DD6"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30 de abril de 2018</w:t>
            </w:r>
          </w:p>
        </w:tc>
      </w:tr>
      <w:tr w:rsidR="0056433F" w:rsidRPr="007A7C84" w14:paraId="731DF055" w14:textId="77777777" w:rsidTr="007574C4">
        <w:tc>
          <w:tcPr>
            <w:tcW w:w="6091" w:type="dxa"/>
            <w:hideMark/>
          </w:tcPr>
          <w:p w14:paraId="413214B3" w14:textId="77777777" w:rsidR="0056433F" w:rsidRPr="007A7C84" w:rsidRDefault="0056433F" w:rsidP="00AF572F">
            <w:pPr>
              <w:jc w:val="both"/>
              <w:rPr>
                <w:rFonts w:ascii="Arial Narrow" w:hAnsi="Arial Narrow"/>
                <w:sz w:val="20"/>
                <w:szCs w:val="20"/>
              </w:rPr>
            </w:pPr>
            <w:r w:rsidRPr="007A7C84">
              <w:rPr>
                <w:rFonts w:ascii="Arial Narrow" w:hAnsi="Arial Narrow"/>
                <w:sz w:val="20"/>
                <w:szCs w:val="20"/>
              </w:rPr>
              <w:t>Memorial de contestación sobre el fondo (Costa Rica)</w:t>
            </w:r>
          </w:p>
        </w:tc>
        <w:tc>
          <w:tcPr>
            <w:tcW w:w="2727" w:type="dxa"/>
            <w:hideMark/>
          </w:tcPr>
          <w:p w14:paraId="3950FD9B"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30 de julio de 2018</w:t>
            </w:r>
          </w:p>
        </w:tc>
      </w:tr>
      <w:tr w:rsidR="0056433F" w:rsidRPr="007A7C84" w14:paraId="3DE42A8A" w14:textId="77777777" w:rsidTr="007574C4">
        <w:trPr>
          <w:trHeight w:val="50"/>
        </w:trPr>
        <w:tc>
          <w:tcPr>
            <w:tcW w:w="6091" w:type="dxa"/>
            <w:hideMark/>
          </w:tcPr>
          <w:p w14:paraId="5E99E297" w14:textId="77777777" w:rsidR="0056433F" w:rsidRPr="007A7C84" w:rsidRDefault="0056433F" w:rsidP="00AF572F">
            <w:pPr>
              <w:jc w:val="both"/>
              <w:rPr>
                <w:rFonts w:ascii="Arial Narrow" w:hAnsi="Arial Narrow"/>
                <w:sz w:val="20"/>
                <w:szCs w:val="20"/>
              </w:rPr>
            </w:pPr>
            <w:r w:rsidRPr="007A7C84">
              <w:rPr>
                <w:rFonts w:ascii="Arial Narrow" w:hAnsi="Arial Narrow"/>
                <w:sz w:val="20"/>
                <w:szCs w:val="20"/>
              </w:rPr>
              <w:t xml:space="preserve">Memorial de réplica sobre el fondo (Infinito Gold Ltd.) </w:t>
            </w:r>
          </w:p>
        </w:tc>
        <w:tc>
          <w:tcPr>
            <w:tcW w:w="2727" w:type="dxa"/>
            <w:hideMark/>
          </w:tcPr>
          <w:p w14:paraId="5096A27B"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 xml:space="preserve">5 de febrero de 2019 </w:t>
            </w:r>
          </w:p>
        </w:tc>
      </w:tr>
      <w:tr w:rsidR="0056433F" w:rsidRPr="007A7C84" w14:paraId="63F21DE9" w14:textId="77777777" w:rsidTr="007574C4">
        <w:trPr>
          <w:trHeight w:val="50"/>
        </w:trPr>
        <w:tc>
          <w:tcPr>
            <w:tcW w:w="6091" w:type="dxa"/>
          </w:tcPr>
          <w:p w14:paraId="7540D283" w14:textId="77777777" w:rsidR="0056433F" w:rsidRPr="007A7C84" w:rsidRDefault="0056433F" w:rsidP="00AF572F">
            <w:pPr>
              <w:jc w:val="both"/>
              <w:rPr>
                <w:rFonts w:ascii="Arial Narrow" w:hAnsi="Arial Narrow"/>
                <w:sz w:val="20"/>
                <w:szCs w:val="20"/>
              </w:rPr>
            </w:pPr>
            <w:r w:rsidRPr="007A7C84">
              <w:rPr>
                <w:rFonts w:ascii="Arial Narrow" w:hAnsi="Arial Narrow"/>
                <w:sz w:val="20"/>
                <w:szCs w:val="20"/>
              </w:rPr>
              <w:t>Memorial de dúplica sobre el fondo (Costa Rica)</w:t>
            </w:r>
          </w:p>
        </w:tc>
        <w:tc>
          <w:tcPr>
            <w:tcW w:w="2727" w:type="dxa"/>
          </w:tcPr>
          <w:p w14:paraId="52D8D863"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31 de mayo de 2019</w:t>
            </w:r>
          </w:p>
        </w:tc>
      </w:tr>
      <w:tr w:rsidR="0056433F" w:rsidRPr="007A7C84" w14:paraId="3C7197DC" w14:textId="77777777" w:rsidTr="007574C4">
        <w:trPr>
          <w:trHeight w:val="50"/>
        </w:trPr>
        <w:tc>
          <w:tcPr>
            <w:tcW w:w="6091" w:type="dxa"/>
          </w:tcPr>
          <w:p w14:paraId="5A726C94" w14:textId="77777777" w:rsidR="0056433F" w:rsidRPr="007A7C84" w:rsidRDefault="0056433F" w:rsidP="00AF572F">
            <w:pPr>
              <w:jc w:val="both"/>
              <w:rPr>
                <w:rFonts w:ascii="Arial Narrow" w:hAnsi="Arial Narrow"/>
                <w:sz w:val="20"/>
                <w:szCs w:val="20"/>
              </w:rPr>
            </w:pPr>
            <w:r w:rsidRPr="007A7C84">
              <w:rPr>
                <w:rFonts w:ascii="Arial Narrow" w:hAnsi="Arial Narrow"/>
                <w:sz w:val="20"/>
                <w:szCs w:val="20"/>
              </w:rPr>
              <w:t xml:space="preserve">Audiencia sobre el fondo </w:t>
            </w:r>
          </w:p>
        </w:tc>
        <w:tc>
          <w:tcPr>
            <w:tcW w:w="2727" w:type="dxa"/>
          </w:tcPr>
          <w:p w14:paraId="72BC4A0C" w14:textId="77777777" w:rsidR="0056433F" w:rsidRPr="007A7C84" w:rsidRDefault="0056433F" w:rsidP="00AF572F">
            <w:pPr>
              <w:jc w:val="center"/>
              <w:rPr>
                <w:rFonts w:ascii="Arial Narrow" w:hAnsi="Arial Narrow"/>
                <w:sz w:val="20"/>
                <w:szCs w:val="20"/>
              </w:rPr>
            </w:pPr>
            <w:r w:rsidRPr="007A7C84">
              <w:rPr>
                <w:rFonts w:ascii="Arial Narrow" w:hAnsi="Arial Narrow"/>
                <w:sz w:val="20"/>
                <w:szCs w:val="20"/>
              </w:rPr>
              <w:t>22 al 25 de julio de 2019</w:t>
            </w:r>
          </w:p>
        </w:tc>
      </w:tr>
      <w:tr w:rsidR="0056433F" w:rsidRPr="007A7C84" w14:paraId="0E233721" w14:textId="77777777" w:rsidTr="007574C4">
        <w:trPr>
          <w:trHeight w:val="50"/>
        </w:trPr>
        <w:tc>
          <w:tcPr>
            <w:tcW w:w="6091" w:type="dxa"/>
          </w:tcPr>
          <w:p w14:paraId="6CDBA32B" w14:textId="77777777" w:rsidR="0056433F" w:rsidRPr="007A7C84" w:rsidRDefault="0056433F" w:rsidP="00AF572F">
            <w:pPr>
              <w:jc w:val="both"/>
              <w:rPr>
                <w:rFonts w:ascii="Arial Narrow" w:hAnsi="Arial Narrow"/>
                <w:sz w:val="20"/>
                <w:szCs w:val="20"/>
              </w:rPr>
            </w:pPr>
            <w:r w:rsidRPr="007A7C84">
              <w:rPr>
                <w:rFonts w:ascii="Arial Narrow" w:hAnsi="Arial Narrow"/>
                <w:sz w:val="20"/>
                <w:szCs w:val="20"/>
              </w:rPr>
              <w:t xml:space="preserve">Laudo final </w:t>
            </w:r>
          </w:p>
        </w:tc>
        <w:tc>
          <w:tcPr>
            <w:tcW w:w="2727" w:type="dxa"/>
          </w:tcPr>
          <w:p w14:paraId="410F9711" w14:textId="43E20A55" w:rsidR="0056433F" w:rsidRPr="007A7C84" w:rsidRDefault="002160F7" w:rsidP="00AF572F">
            <w:pPr>
              <w:jc w:val="center"/>
              <w:rPr>
                <w:rFonts w:ascii="Arial Narrow" w:hAnsi="Arial Narrow"/>
                <w:sz w:val="20"/>
                <w:szCs w:val="20"/>
              </w:rPr>
            </w:pPr>
            <w:r w:rsidRPr="002160F7">
              <w:rPr>
                <w:rFonts w:ascii="Arial Narrow" w:hAnsi="Arial Narrow"/>
                <w:sz w:val="20"/>
                <w:szCs w:val="20"/>
              </w:rPr>
              <w:t>3</w:t>
            </w:r>
            <w:r w:rsidR="0056433F" w:rsidRPr="002160F7">
              <w:rPr>
                <w:rFonts w:ascii="Arial Narrow" w:hAnsi="Arial Narrow"/>
                <w:sz w:val="20"/>
                <w:szCs w:val="20"/>
              </w:rPr>
              <w:t xml:space="preserve"> de </w:t>
            </w:r>
            <w:r w:rsidR="004D2885" w:rsidRPr="002160F7">
              <w:rPr>
                <w:rFonts w:ascii="Arial Narrow" w:hAnsi="Arial Narrow"/>
                <w:sz w:val="20"/>
                <w:szCs w:val="20"/>
              </w:rPr>
              <w:t>junio</w:t>
            </w:r>
            <w:r w:rsidR="0056433F" w:rsidRPr="002160F7">
              <w:rPr>
                <w:rFonts w:ascii="Arial Narrow" w:hAnsi="Arial Narrow"/>
                <w:sz w:val="20"/>
                <w:szCs w:val="20"/>
              </w:rPr>
              <w:t xml:space="preserve"> de</w:t>
            </w:r>
            <w:r w:rsidR="0056433F" w:rsidRPr="007A7C84">
              <w:rPr>
                <w:rFonts w:ascii="Arial Narrow" w:hAnsi="Arial Narrow"/>
                <w:sz w:val="20"/>
                <w:szCs w:val="20"/>
              </w:rPr>
              <w:t xml:space="preserve"> 2021</w:t>
            </w:r>
          </w:p>
        </w:tc>
      </w:tr>
    </w:tbl>
    <w:p w14:paraId="78069931" w14:textId="77777777" w:rsidR="0056433F" w:rsidRDefault="0056433F" w:rsidP="00AF572F">
      <w:pPr>
        <w:spacing w:after="0" w:line="240" w:lineRule="auto"/>
      </w:pPr>
    </w:p>
    <w:p w14:paraId="039555C5" w14:textId="77777777" w:rsidR="00111784" w:rsidRPr="00BB43A0" w:rsidRDefault="00111784" w:rsidP="00AF572F">
      <w:pPr>
        <w:tabs>
          <w:tab w:val="left" w:pos="3768"/>
        </w:tabs>
        <w:spacing w:after="0" w:line="240" w:lineRule="auto"/>
        <w:jc w:val="both"/>
        <w:rPr>
          <w:rFonts w:ascii="Arial Narrow" w:hAnsi="Arial Narrow" w:cs="Aharoni"/>
          <w:sz w:val="24"/>
          <w:szCs w:val="24"/>
          <w:shd w:val="clear" w:color="auto" w:fill="FFFFFF"/>
        </w:rPr>
      </w:pPr>
    </w:p>
    <w:sectPr w:rsidR="00111784" w:rsidRPr="00BB43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CCB7" w14:textId="77777777" w:rsidR="00DC3FFD" w:rsidRDefault="00DC3FFD" w:rsidP="00D71B1B">
      <w:pPr>
        <w:spacing w:after="0" w:line="240" w:lineRule="auto"/>
      </w:pPr>
      <w:r>
        <w:separator/>
      </w:r>
    </w:p>
  </w:endnote>
  <w:endnote w:type="continuationSeparator" w:id="0">
    <w:p w14:paraId="0C93E211" w14:textId="77777777" w:rsidR="00DC3FFD" w:rsidRDefault="00DC3FFD" w:rsidP="00D7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0E64" w14:textId="77777777" w:rsidR="00DC3FFD" w:rsidRDefault="00DC3FFD" w:rsidP="00D71B1B">
      <w:pPr>
        <w:spacing w:after="0" w:line="240" w:lineRule="auto"/>
      </w:pPr>
      <w:r>
        <w:separator/>
      </w:r>
    </w:p>
  </w:footnote>
  <w:footnote w:type="continuationSeparator" w:id="0">
    <w:p w14:paraId="359FEA7D" w14:textId="77777777" w:rsidR="00DC3FFD" w:rsidRDefault="00DC3FFD" w:rsidP="00D71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F39C7"/>
    <w:multiLevelType w:val="hybridMultilevel"/>
    <w:tmpl w:val="A6488E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7F1175ED"/>
    <w:multiLevelType w:val="hybridMultilevel"/>
    <w:tmpl w:val="C3286CE4"/>
    <w:lvl w:ilvl="0" w:tplc="42D2D930">
      <w:start w:val="1"/>
      <w:numFmt w:val="lowerRoman"/>
      <w:lvlText w:val="(%1)"/>
      <w:lvlJc w:val="left"/>
      <w:pPr>
        <w:ind w:left="720"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16"/>
    <w:rsid w:val="00001D1C"/>
    <w:rsid w:val="00012269"/>
    <w:rsid w:val="000136F5"/>
    <w:rsid w:val="000146D7"/>
    <w:rsid w:val="00015F1F"/>
    <w:rsid w:val="000205DF"/>
    <w:rsid w:val="00037615"/>
    <w:rsid w:val="00052785"/>
    <w:rsid w:val="00054141"/>
    <w:rsid w:val="00065386"/>
    <w:rsid w:val="0006562F"/>
    <w:rsid w:val="000732F6"/>
    <w:rsid w:val="00076F9B"/>
    <w:rsid w:val="00081745"/>
    <w:rsid w:val="0008235B"/>
    <w:rsid w:val="000865D0"/>
    <w:rsid w:val="000A2C9C"/>
    <w:rsid w:val="000C0D04"/>
    <w:rsid w:val="000D1916"/>
    <w:rsid w:val="000F671B"/>
    <w:rsid w:val="000F6DCA"/>
    <w:rsid w:val="000F6F20"/>
    <w:rsid w:val="00105E15"/>
    <w:rsid w:val="00111784"/>
    <w:rsid w:val="00116D17"/>
    <w:rsid w:val="001239CA"/>
    <w:rsid w:val="00125233"/>
    <w:rsid w:val="00126CF3"/>
    <w:rsid w:val="00126D40"/>
    <w:rsid w:val="0013760A"/>
    <w:rsid w:val="001426D8"/>
    <w:rsid w:val="00162169"/>
    <w:rsid w:val="00166CAE"/>
    <w:rsid w:val="0019530F"/>
    <w:rsid w:val="001A3506"/>
    <w:rsid w:val="001B1376"/>
    <w:rsid w:val="001C0E4E"/>
    <w:rsid w:val="001D51DA"/>
    <w:rsid w:val="001E13E0"/>
    <w:rsid w:val="001E655A"/>
    <w:rsid w:val="00201829"/>
    <w:rsid w:val="00203A39"/>
    <w:rsid w:val="002160F7"/>
    <w:rsid w:val="00217B78"/>
    <w:rsid w:val="00220302"/>
    <w:rsid w:val="00222B77"/>
    <w:rsid w:val="002250BA"/>
    <w:rsid w:val="002329F9"/>
    <w:rsid w:val="002437A9"/>
    <w:rsid w:val="00247F93"/>
    <w:rsid w:val="00251040"/>
    <w:rsid w:val="002666D6"/>
    <w:rsid w:val="00281A36"/>
    <w:rsid w:val="002D2A98"/>
    <w:rsid w:val="002E09E8"/>
    <w:rsid w:val="002E0ED8"/>
    <w:rsid w:val="002E7F9B"/>
    <w:rsid w:val="002F0295"/>
    <w:rsid w:val="002F2EBD"/>
    <w:rsid w:val="002F70CA"/>
    <w:rsid w:val="003019D4"/>
    <w:rsid w:val="00302163"/>
    <w:rsid w:val="0032051F"/>
    <w:rsid w:val="00325F39"/>
    <w:rsid w:val="00330832"/>
    <w:rsid w:val="003350FB"/>
    <w:rsid w:val="003400FC"/>
    <w:rsid w:val="0034128A"/>
    <w:rsid w:val="003471F9"/>
    <w:rsid w:val="0035765B"/>
    <w:rsid w:val="00361689"/>
    <w:rsid w:val="00392E26"/>
    <w:rsid w:val="003A69E1"/>
    <w:rsid w:val="003D433A"/>
    <w:rsid w:val="003D6A94"/>
    <w:rsid w:val="003E1FE4"/>
    <w:rsid w:val="003E7D15"/>
    <w:rsid w:val="003F2488"/>
    <w:rsid w:val="003F4BBC"/>
    <w:rsid w:val="00414750"/>
    <w:rsid w:val="004174A3"/>
    <w:rsid w:val="0049019B"/>
    <w:rsid w:val="004914F1"/>
    <w:rsid w:val="00491542"/>
    <w:rsid w:val="00493EFC"/>
    <w:rsid w:val="004A0D5F"/>
    <w:rsid w:val="004A2D3E"/>
    <w:rsid w:val="004A301C"/>
    <w:rsid w:val="004A7F39"/>
    <w:rsid w:val="004A7F82"/>
    <w:rsid w:val="004B0564"/>
    <w:rsid w:val="004B21DB"/>
    <w:rsid w:val="004B619F"/>
    <w:rsid w:val="004C7115"/>
    <w:rsid w:val="004D2885"/>
    <w:rsid w:val="004D4EB0"/>
    <w:rsid w:val="004D5BF0"/>
    <w:rsid w:val="004E0D5C"/>
    <w:rsid w:val="004E54EA"/>
    <w:rsid w:val="004E78BC"/>
    <w:rsid w:val="004F0E5C"/>
    <w:rsid w:val="004F6A5E"/>
    <w:rsid w:val="004F7629"/>
    <w:rsid w:val="00504220"/>
    <w:rsid w:val="00505D07"/>
    <w:rsid w:val="00520BA6"/>
    <w:rsid w:val="00521E50"/>
    <w:rsid w:val="005230C1"/>
    <w:rsid w:val="00543D3D"/>
    <w:rsid w:val="005512E5"/>
    <w:rsid w:val="00560622"/>
    <w:rsid w:val="00563D8F"/>
    <w:rsid w:val="0056433F"/>
    <w:rsid w:val="00570306"/>
    <w:rsid w:val="0057135F"/>
    <w:rsid w:val="00574AF8"/>
    <w:rsid w:val="0057567C"/>
    <w:rsid w:val="00576FA1"/>
    <w:rsid w:val="0057769E"/>
    <w:rsid w:val="005A1463"/>
    <w:rsid w:val="005A164F"/>
    <w:rsid w:val="005B4985"/>
    <w:rsid w:val="005B5121"/>
    <w:rsid w:val="005B5FF3"/>
    <w:rsid w:val="005B68F8"/>
    <w:rsid w:val="005C15FD"/>
    <w:rsid w:val="005F46A7"/>
    <w:rsid w:val="005F4A5F"/>
    <w:rsid w:val="005F4AE0"/>
    <w:rsid w:val="00606CDA"/>
    <w:rsid w:val="00610DF4"/>
    <w:rsid w:val="00621298"/>
    <w:rsid w:val="00623849"/>
    <w:rsid w:val="00636D98"/>
    <w:rsid w:val="00642C8B"/>
    <w:rsid w:val="006432BE"/>
    <w:rsid w:val="00645E79"/>
    <w:rsid w:val="00650498"/>
    <w:rsid w:val="006508CF"/>
    <w:rsid w:val="006633C9"/>
    <w:rsid w:val="0066399B"/>
    <w:rsid w:val="00664BD5"/>
    <w:rsid w:val="00681B3F"/>
    <w:rsid w:val="00683CD3"/>
    <w:rsid w:val="00695048"/>
    <w:rsid w:val="006B1FEC"/>
    <w:rsid w:val="006B2F17"/>
    <w:rsid w:val="006B36A4"/>
    <w:rsid w:val="006B5179"/>
    <w:rsid w:val="006B7442"/>
    <w:rsid w:val="006C3537"/>
    <w:rsid w:val="006C3DB4"/>
    <w:rsid w:val="006E1C74"/>
    <w:rsid w:val="006E3B68"/>
    <w:rsid w:val="006F798B"/>
    <w:rsid w:val="0070228D"/>
    <w:rsid w:val="00705141"/>
    <w:rsid w:val="00731880"/>
    <w:rsid w:val="007337C6"/>
    <w:rsid w:val="00744DBA"/>
    <w:rsid w:val="00755A85"/>
    <w:rsid w:val="00775185"/>
    <w:rsid w:val="007807BA"/>
    <w:rsid w:val="00785F89"/>
    <w:rsid w:val="007959BC"/>
    <w:rsid w:val="007A4324"/>
    <w:rsid w:val="007A6B65"/>
    <w:rsid w:val="007B0B1E"/>
    <w:rsid w:val="007B5112"/>
    <w:rsid w:val="007C0996"/>
    <w:rsid w:val="007C58B5"/>
    <w:rsid w:val="007C7604"/>
    <w:rsid w:val="007E54A1"/>
    <w:rsid w:val="007F0B9B"/>
    <w:rsid w:val="007F2F14"/>
    <w:rsid w:val="007F333A"/>
    <w:rsid w:val="008034F1"/>
    <w:rsid w:val="00803C29"/>
    <w:rsid w:val="008054B8"/>
    <w:rsid w:val="00814539"/>
    <w:rsid w:val="008168E4"/>
    <w:rsid w:val="00821A9C"/>
    <w:rsid w:val="00846DF0"/>
    <w:rsid w:val="008669D4"/>
    <w:rsid w:val="008701D5"/>
    <w:rsid w:val="00880301"/>
    <w:rsid w:val="00882B09"/>
    <w:rsid w:val="00885FFD"/>
    <w:rsid w:val="00886A14"/>
    <w:rsid w:val="008973C5"/>
    <w:rsid w:val="008A543E"/>
    <w:rsid w:val="008B0F68"/>
    <w:rsid w:val="008B36F4"/>
    <w:rsid w:val="008B5574"/>
    <w:rsid w:val="008C08BB"/>
    <w:rsid w:val="008C616D"/>
    <w:rsid w:val="008E1C33"/>
    <w:rsid w:val="008E4CA4"/>
    <w:rsid w:val="008E5B43"/>
    <w:rsid w:val="00900CBB"/>
    <w:rsid w:val="0092541B"/>
    <w:rsid w:val="009273F9"/>
    <w:rsid w:val="009430E0"/>
    <w:rsid w:val="00947824"/>
    <w:rsid w:val="009706E4"/>
    <w:rsid w:val="00975F5A"/>
    <w:rsid w:val="0098027B"/>
    <w:rsid w:val="009A1CD6"/>
    <w:rsid w:val="009A489C"/>
    <w:rsid w:val="009C2A6F"/>
    <w:rsid w:val="009C566A"/>
    <w:rsid w:val="009D4A9A"/>
    <w:rsid w:val="009E1E38"/>
    <w:rsid w:val="009E67E3"/>
    <w:rsid w:val="009F5099"/>
    <w:rsid w:val="00A024D9"/>
    <w:rsid w:val="00A033C5"/>
    <w:rsid w:val="00A169C6"/>
    <w:rsid w:val="00A24418"/>
    <w:rsid w:val="00A26440"/>
    <w:rsid w:val="00A33F54"/>
    <w:rsid w:val="00A3744F"/>
    <w:rsid w:val="00A4356D"/>
    <w:rsid w:val="00A44462"/>
    <w:rsid w:val="00A551C4"/>
    <w:rsid w:val="00A85449"/>
    <w:rsid w:val="00A9286C"/>
    <w:rsid w:val="00A93EE4"/>
    <w:rsid w:val="00AA1D1C"/>
    <w:rsid w:val="00AA39E5"/>
    <w:rsid w:val="00AD0056"/>
    <w:rsid w:val="00AD5FA5"/>
    <w:rsid w:val="00AE5B28"/>
    <w:rsid w:val="00AE646F"/>
    <w:rsid w:val="00AF56B2"/>
    <w:rsid w:val="00AF572F"/>
    <w:rsid w:val="00B011FD"/>
    <w:rsid w:val="00B02EA5"/>
    <w:rsid w:val="00B1313C"/>
    <w:rsid w:val="00B1326C"/>
    <w:rsid w:val="00B14EAF"/>
    <w:rsid w:val="00B21D04"/>
    <w:rsid w:val="00B27003"/>
    <w:rsid w:val="00B27882"/>
    <w:rsid w:val="00B32628"/>
    <w:rsid w:val="00B37F47"/>
    <w:rsid w:val="00B44827"/>
    <w:rsid w:val="00B476E4"/>
    <w:rsid w:val="00B56794"/>
    <w:rsid w:val="00B60A69"/>
    <w:rsid w:val="00B63706"/>
    <w:rsid w:val="00B70CCB"/>
    <w:rsid w:val="00B84504"/>
    <w:rsid w:val="00B84F94"/>
    <w:rsid w:val="00B860EB"/>
    <w:rsid w:val="00B86E09"/>
    <w:rsid w:val="00B92032"/>
    <w:rsid w:val="00B94002"/>
    <w:rsid w:val="00B94863"/>
    <w:rsid w:val="00B95B8C"/>
    <w:rsid w:val="00B97084"/>
    <w:rsid w:val="00B975AE"/>
    <w:rsid w:val="00BA0FEB"/>
    <w:rsid w:val="00BA1CDF"/>
    <w:rsid w:val="00BA2CF7"/>
    <w:rsid w:val="00BA3EE8"/>
    <w:rsid w:val="00BB43A0"/>
    <w:rsid w:val="00BB4BF4"/>
    <w:rsid w:val="00BC5F77"/>
    <w:rsid w:val="00BD5F40"/>
    <w:rsid w:val="00BE03BF"/>
    <w:rsid w:val="00BE25E2"/>
    <w:rsid w:val="00C0612E"/>
    <w:rsid w:val="00C0693E"/>
    <w:rsid w:val="00C142FB"/>
    <w:rsid w:val="00C22E06"/>
    <w:rsid w:val="00C24219"/>
    <w:rsid w:val="00C274E8"/>
    <w:rsid w:val="00C33BCC"/>
    <w:rsid w:val="00C35603"/>
    <w:rsid w:val="00C40746"/>
    <w:rsid w:val="00C41D66"/>
    <w:rsid w:val="00C57497"/>
    <w:rsid w:val="00C57D8F"/>
    <w:rsid w:val="00C64858"/>
    <w:rsid w:val="00C70DA4"/>
    <w:rsid w:val="00C72273"/>
    <w:rsid w:val="00C759F8"/>
    <w:rsid w:val="00C814AE"/>
    <w:rsid w:val="00C815A5"/>
    <w:rsid w:val="00C8308F"/>
    <w:rsid w:val="00C865C2"/>
    <w:rsid w:val="00C87EC3"/>
    <w:rsid w:val="00C917FD"/>
    <w:rsid w:val="00CB4299"/>
    <w:rsid w:val="00CC1D04"/>
    <w:rsid w:val="00CC662B"/>
    <w:rsid w:val="00CC6CFC"/>
    <w:rsid w:val="00CC7F24"/>
    <w:rsid w:val="00CD3386"/>
    <w:rsid w:val="00CF3802"/>
    <w:rsid w:val="00D02E2F"/>
    <w:rsid w:val="00D06B42"/>
    <w:rsid w:val="00D06E88"/>
    <w:rsid w:val="00D06F37"/>
    <w:rsid w:val="00D13AC4"/>
    <w:rsid w:val="00D16A7E"/>
    <w:rsid w:val="00D30EEC"/>
    <w:rsid w:val="00D446DC"/>
    <w:rsid w:val="00D57F1C"/>
    <w:rsid w:val="00D610FF"/>
    <w:rsid w:val="00D65071"/>
    <w:rsid w:val="00D71B1B"/>
    <w:rsid w:val="00D72FD9"/>
    <w:rsid w:val="00D974EF"/>
    <w:rsid w:val="00DA3CC6"/>
    <w:rsid w:val="00DB05C6"/>
    <w:rsid w:val="00DB0A13"/>
    <w:rsid w:val="00DC0709"/>
    <w:rsid w:val="00DC3FFD"/>
    <w:rsid w:val="00DC72A4"/>
    <w:rsid w:val="00DC7CF3"/>
    <w:rsid w:val="00DD6898"/>
    <w:rsid w:val="00DE4491"/>
    <w:rsid w:val="00DE65FA"/>
    <w:rsid w:val="00DF1413"/>
    <w:rsid w:val="00E1023B"/>
    <w:rsid w:val="00E11D84"/>
    <w:rsid w:val="00E123DF"/>
    <w:rsid w:val="00E20217"/>
    <w:rsid w:val="00E3785C"/>
    <w:rsid w:val="00E4652B"/>
    <w:rsid w:val="00E521A0"/>
    <w:rsid w:val="00E604B0"/>
    <w:rsid w:val="00E618A5"/>
    <w:rsid w:val="00E75EFE"/>
    <w:rsid w:val="00E76A50"/>
    <w:rsid w:val="00E80221"/>
    <w:rsid w:val="00E917C7"/>
    <w:rsid w:val="00EA34CA"/>
    <w:rsid w:val="00EB2848"/>
    <w:rsid w:val="00EB4258"/>
    <w:rsid w:val="00ED4FB4"/>
    <w:rsid w:val="00ED6DBF"/>
    <w:rsid w:val="00EE2930"/>
    <w:rsid w:val="00EF4163"/>
    <w:rsid w:val="00EF7C30"/>
    <w:rsid w:val="00F04735"/>
    <w:rsid w:val="00F14B3F"/>
    <w:rsid w:val="00F2259F"/>
    <w:rsid w:val="00F2740D"/>
    <w:rsid w:val="00F27C46"/>
    <w:rsid w:val="00F342E3"/>
    <w:rsid w:val="00F34DB9"/>
    <w:rsid w:val="00F405A1"/>
    <w:rsid w:val="00F4071D"/>
    <w:rsid w:val="00F50FF3"/>
    <w:rsid w:val="00F56A46"/>
    <w:rsid w:val="00F56A72"/>
    <w:rsid w:val="00F56E1F"/>
    <w:rsid w:val="00F6437C"/>
    <w:rsid w:val="00F65F16"/>
    <w:rsid w:val="00F65F9E"/>
    <w:rsid w:val="00F73622"/>
    <w:rsid w:val="00F73A37"/>
    <w:rsid w:val="00F809CA"/>
    <w:rsid w:val="00F80B15"/>
    <w:rsid w:val="00F82476"/>
    <w:rsid w:val="00F83A1D"/>
    <w:rsid w:val="00F86C2C"/>
    <w:rsid w:val="00F87434"/>
    <w:rsid w:val="00F954EE"/>
    <w:rsid w:val="00FA7EBF"/>
    <w:rsid w:val="00FB3ED3"/>
    <w:rsid w:val="00FB4BBD"/>
    <w:rsid w:val="00FC45BB"/>
    <w:rsid w:val="00FC5EC0"/>
    <w:rsid w:val="00FD3D26"/>
    <w:rsid w:val="00FD79F7"/>
    <w:rsid w:val="00FE3290"/>
    <w:rsid w:val="00FF4D5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E414"/>
  <w15:chartTrackingRefBased/>
  <w15:docId w15:val="{25D7E046-5283-44FD-8075-F6CA252A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916"/>
  </w:style>
  <w:style w:type="paragraph" w:styleId="Ttulo1">
    <w:name w:val="heading 1"/>
    <w:basedOn w:val="Normal"/>
    <w:next w:val="Normal"/>
    <w:link w:val="Ttulo1Car"/>
    <w:uiPriority w:val="9"/>
    <w:qFormat/>
    <w:rsid w:val="000146D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4-nfasis5">
    <w:name w:val="Grid Table 4 Accent 5"/>
    <w:basedOn w:val="Tablanormal"/>
    <w:uiPriority w:val="49"/>
    <w:rsid w:val="000146D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tulo1Car">
    <w:name w:val="Título 1 Car"/>
    <w:basedOn w:val="Fuentedeprrafopredeter"/>
    <w:link w:val="Ttulo1"/>
    <w:uiPriority w:val="9"/>
    <w:rsid w:val="000146D7"/>
    <w:rPr>
      <w:rFonts w:asciiTheme="majorHAnsi" w:eastAsiaTheme="majorEastAsia" w:hAnsiTheme="majorHAnsi" w:cstheme="majorBidi"/>
      <w:b/>
      <w:bCs/>
      <w:color w:val="2F5496" w:themeColor="accent1" w:themeShade="BF"/>
      <w:sz w:val="28"/>
      <w:szCs w:val="28"/>
    </w:rPr>
  </w:style>
  <w:style w:type="paragraph" w:styleId="Prrafodelista">
    <w:name w:val="List Paragraph"/>
    <w:basedOn w:val="Normal"/>
    <w:uiPriority w:val="34"/>
    <w:qFormat/>
    <w:rsid w:val="000146D7"/>
    <w:pPr>
      <w:ind w:left="720"/>
      <w:contextualSpacing/>
    </w:pPr>
  </w:style>
  <w:style w:type="table" w:styleId="Tablaconcuadrcula">
    <w:name w:val="Table Grid"/>
    <w:basedOn w:val="Tablanormal"/>
    <w:uiPriority w:val="39"/>
    <w:rsid w:val="00C7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22B77"/>
    <w:rPr>
      <w:sz w:val="16"/>
      <w:szCs w:val="16"/>
    </w:rPr>
  </w:style>
  <w:style w:type="paragraph" w:styleId="Textocomentario">
    <w:name w:val="annotation text"/>
    <w:basedOn w:val="Normal"/>
    <w:link w:val="TextocomentarioCar"/>
    <w:uiPriority w:val="99"/>
    <w:semiHidden/>
    <w:unhideWhenUsed/>
    <w:rsid w:val="00222B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2B77"/>
    <w:rPr>
      <w:sz w:val="20"/>
      <w:szCs w:val="20"/>
    </w:rPr>
  </w:style>
  <w:style w:type="paragraph" w:styleId="Asuntodelcomentario">
    <w:name w:val="annotation subject"/>
    <w:basedOn w:val="Textocomentario"/>
    <w:next w:val="Textocomentario"/>
    <w:link w:val="AsuntodelcomentarioCar"/>
    <w:uiPriority w:val="99"/>
    <w:semiHidden/>
    <w:unhideWhenUsed/>
    <w:rsid w:val="00222B77"/>
    <w:rPr>
      <w:b/>
      <w:bCs/>
    </w:rPr>
  </w:style>
  <w:style w:type="character" w:customStyle="1" w:styleId="AsuntodelcomentarioCar">
    <w:name w:val="Asunto del comentario Car"/>
    <w:basedOn w:val="TextocomentarioCar"/>
    <w:link w:val="Asuntodelcomentario"/>
    <w:uiPriority w:val="99"/>
    <w:semiHidden/>
    <w:rsid w:val="00222B77"/>
    <w:rPr>
      <w:b/>
      <w:bCs/>
      <w:sz w:val="20"/>
      <w:szCs w:val="20"/>
    </w:rPr>
  </w:style>
  <w:style w:type="paragraph" w:styleId="Encabezado">
    <w:name w:val="header"/>
    <w:basedOn w:val="Normal"/>
    <w:link w:val="EncabezadoCar"/>
    <w:uiPriority w:val="99"/>
    <w:unhideWhenUsed/>
    <w:rsid w:val="00D71B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B1B"/>
  </w:style>
  <w:style w:type="paragraph" w:styleId="Piedepgina">
    <w:name w:val="footer"/>
    <w:basedOn w:val="Normal"/>
    <w:link w:val="PiedepginaCar"/>
    <w:uiPriority w:val="99"/>
    <w:unhideWhenUsed/>
    <w:rsid w:val="00D71B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FA2B-3E40-4DB6-BD02-E4F4FC65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1066</Words>
  <Characters>5865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Murillo</dc:creator>
  <cp:keywords/>
  <dc:description/>
  <cp:lastModifiedBy>Gabriela Castro</cp:lastModifiedBy>
  <cp:revision>32</cp:revision>
  <dcterms:created xsi:type="dcterms:W3CDTF">2021-06-04T00:17:00Z</dcterms:created>
  <dcterms:modified xsi:type="dcterms:W3CDTF">2021-06-04T01:44:00Z</dcterms:modified>
</cp:coreProperties>
</file>