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Thank you for the opportunity to respond to the issues raised in relation to RAN’s 2020 Banking on Climate Change Report.</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BMO recognizes that climate change is a critical and complex global issue and we are committed to being part of the solution, consistent with our Purpose to Boldly Grow the Good in Business and in Life. We believe that we can have the greatest positive impact by working closely with our clients, communities, and business partners to collaboratively navigate a just transition to a lower carbon economy – an effort that involves balancing economic, social and environmental imperatives.</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xml:space="preserve">BMO has demonstrated industry leadership in our strategy, our risk management approach, and in our disclosures on the topic of climate change. For example, we were among the first banks to publicly support the Financial Stability Board’s Task Force on Climate-related Financial Disclosures (TCFD) in </w:t>
      </w:r>
      <w:proofErr w:type="gramStart"/>
      <w:r w:rsidRPr="00B92208">
        <w:rPr>
          <w:rFonts w:ascii="Calibri" w:eastAsia="Times New Roman" w:hAnsi="Calibri" w:cs="Calibri"/>
          <w:color w:val="000000"/>
          <w:lang w:val="en-CA"/>
        </w:rPr>
        <w:t>2017, and</w:t>
      </w:r>
      <w:proofErr w:type="gramEnd"/>
      <w:r w:rsidRPr="00B92208">
        <w:rPr>
          <w:rFonts w:ascii="Calibri" w:eastAsia="Times New Roman" w:hAnsi="Calibri" w:cs="Calibri"/>
          <w:color w:val="000000"/>
          <w:lang w:val="en-CA"/>
        </w:rPr>
        <w:t xml:space="preserve"> have made great progress in implementing the TCFD’s recommendations on understanding and disclosing climate-related risks and opportunities.</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Key aspects of BMO’s approach to climate risk include:</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w:t>
      </w:r>
    </w:p>
    <w:p w:rsidR="00B92208" w:rsidRPr="00B92208" w:rsidRDefault="00B92208" w:rsidP="00B92208">
      <w:pPr>
        <w:ind w:left="1440" w:hanging="36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w:t>
      </w:r>
      <w:r w:rsidRPr="00B92208">
        <w:rPr>
          <w:rFonts w:ascii="Times New Roman" w:eastAsia="Times New Roman" w:hAnsi="Times New Roman" w:cs="Times New Roman"/>
          <w:color w:val="000000"/>
          <w:sz w:val="14"/>
          <w:szCs w:val="14"/>
          <w:lang w:val="en-CA"/>
        </w:rPr>
        <w:t>         </w:t>
      </w:r>
      <w:r w:rsidRPr="00B92208">
        <w:rPr>
          <w:rFonts w:ascii="Calibri" w:eastAsia="Times New Roman" w:hAnsi="Calibri" w:cs="Calibri"/>
          <w:color w:val="000000"/>
          <w:sz w:val="20"/>
          <w:szCs w:val="20"/>
          <w:lang w:val="en-CA"/>
        </w:rPr>
        <w:t>Establishing a robust governance approach and applying international good practice in climate-related risk management. In particular, we are playing a leadership role in the development of methodologies to analyze climate risk alongside our peers, including within the United Nations Environment Programme Finance Initiative (UNEP-FI).</w:t>
      </w:r>
    </w:p>
    <w:p w:rsidR="00B92208" w:rsidRPr="00B92208" w:rsidRDefault="00B92208" w:rsidP="00B92208">
      <w:pPr>
        <w:ind w:left="144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2160" w:hanging="360"/>
        <w:rPr>
          <w:rFonts w:ascii="Calibri" w:eastAsia="Times New Roman" w:hAnsi="Calibri" w:cs="Calibri"/>
          <w:color w:val="000000"/>
          <w:sz w:val="20"/>
          <w:szCs w:val="20"/>
          <w:lang w:val="en-CA"/>
        </w:rPr>
      </w:pPr>
      <w:r w:rsidRPr="00B92208">
        <w:rPr>
          <w:rFonts w:ascii="Courier New" w:eastAsia="Times New Roman" w:hAnsi="Courier New" w:cs="Courier New"/>
          <w:color w:val="000000"/>
          <w:sz w:val="20"/>
          <w:szCs w:val="20"/>
          <w:lang w:val="en-CA"/>
        </w:rPr>
        <w:t>o</w:t>
      </w:r>
      <w:r w:rsidRPr="00B92208">
        <w:rPr>
          <w:rFonts w:ascii="Times New Roman" w:eastAsia="Times New Roman" w:hAnsi="Times New Roman" w:cs="Times New Roman"/>
          <w:color w:val="000000"/>
          <w:sz w:val="14"/>
          <w:szCs w:val="14"/>
          <w:lang w:val="en-CA"/>
        </w:rPr>
        <w:t>    </w:t>
      </w:r>
      <w:proofErr w:type="gramStart"/>
      <w:r w:rsidRPr="00B92208">
        <w:rPr>
          <w:rFonts w:ascii="Calibri" w:eastAsia="Times New Roman" w:hAnsi="Calibri" w:cs="Calibri"/>
          <w:color w:val="000000"/>
          <w:sz w:val="20"/>
          <w:szCs w:val="20"/>
          <w:lang w:val="en-CA"/>
        </w:rPr>
        <w:t>As</w:t>
      </w:r>
      <w:proofErr w:type="gramEnd"/>
      <w:r w:rsidRPr="00B92208">
        <w:rPr>
          <w:rFonts w:ascii="Calibri" w:eastAsia="Times New Roman" w:hAnsi="Calibri" w:cs="Calibri"/>
          <w:color w:val="000000"/>
          <w:sz w:val="20"/>
          <w:szCs w:val="20"/>
          <w:lang w:val="en-CA"/>
        </w:rPr>
        <w:t xml:space="preserve"> part of this effort, we established a TCFD-aligned scenario analysis program that we began to roll out in 2019, and which we continue to expand. We have also developed and delivered board training on climate risk and the TCFD framework. </w:t>
      </w:r>
    </w:p>
    <w:p w:rsidR="00B92208" w:rsidRPr="00B92208" w:rsidRDefault="00B92208" w:rsidP="00B92208">
      <w:pPr>
        <w:ind w:left="144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1440" w:hanging="36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w:t>
      </w:r>
      <w:r w:rsidRPr="00B92208">
        <w:rPr>
          <w:rFonts w:ascii="Times New Roman" w:eastAsia="Times New Roman" w:hAnsi="Times New Roman" w:cs="Times New Roman"/>
          <w:color w:val="000000"/>
          <w:sz w:val="14"/>
          <w:szCs w:val="14"/>
          <w:lang w:val="en-CA"/>
        </w:rPr>
        <w:t>         </w:t>
      </w:r>
      <w:r w:rsidRPr="00B92208">
        <w:rPr>
          <w:rFonts w:ascii="Calibri" w:eastAsia="Times New Roman" w:hAnsi="Calibri" w:cs="Calibri"/>
          <w:color w:val="000000"/>
          <w:sz w:val="20"/>
          <w:szCs w:val="20"/>
          <w:lang w:val="en-CA"/>
        </w:rPr>
        <w:t>In 2019, BMO pledged to </w:t>
      </w:r>
      <w:r w:rsidRPr="00B92208">
        <w:rPr>
          <w:rFonts w:ascii="Calibri" w:eastAsia="Times New Roman" w:hAnsi="Calibri" w:cs="Calibri"/>
          <w:b/>
          <w:bCs/>
          <w:color w:val="000000"/>
          <w:sz w:val="20"/>
          <w:szCs w:val="20"/>
          <w:u w:val="single"/>
          <w:lang w:val="en-CA"/>
        </w:rPr>
        <w:t>mobilize $400 billion in sustainable finance</w:t>
      </w:r>
      <w:r w:rsidRPr="00B92208">
        <w:rPr>
          <w:rFonts w:ascii="Calibri" w:eastAsia="Times New Roman" w:hAnsi="Calibri" w:cs="Calibri"/>
          <w:color w:val="000000"/>
          <w:sz w:val="20"/>
          <w:szCs w:val="20"/>
          <w:lang w:val="en-CA"/>
        </w:rPr>
        <w:t>, including $150 billion in financing for clients seeking to improve environmental and social outcomes.  </w:t>
      </w:r>
    </w:p>
    <w:p w:rsidR="00B92208" w:rsidRPr="00B92208" w:rsidRDefault="00B92208" w:rsidP="00B92208">
      <w:pPr>
        <w:ind w:left="72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2160" w:hanging="360"/>
        <w:rPr>
          <w:rFonts w:ascii="Calibri" w:eastAsia="Times New Roman" w:hAnsi="Calibri" w:cs="Calibri"/>
          <w:color w:val="000000"/>
          <w:sz w:val="20"/>
          <w:szCs w:val="20"/>
          <w:lang w:val="en-CA"/>
        </w:rPr>
      </w:pPr>
      <w:r w:rsidRPr="00B92208">
        <w:rPr>
          <w:rFonts w:ascii="Courier New" w:eastAsia="Times New Roman" w:hAnsi="Courier New" w:cs="Courier New"/>
          <w:color w:val="000000"/>
          <w:sz w:val="20"/>
          <w:szCs w:val="20"/>
          <w:lang w:val="en-CA"/>
        </w:rPr>
        <w:t>o</w:t>
      </w:r>
      <w:r w:rsidRPr="00B92208">
        <w:rPr>
          <w:rFonts w:ascii="Times New Roman" w:eastAsia="Times New Roman" w:hAnsi="Times New Roman" w:cs="Times New Roman"/>
          <w:color w:val="000000"/>
          <w:sz w:val="14"/>
          <w:szCs w:val="14"/>
          <w:lang w:val="en-CA"/>
        </w:rPr>
        <w:t>    </w:t>
      </w:r>
      <w:r w:rsidRPr="00B92208">
        <w:rPr>
          <w:rFonts w:ascii="Calibri" w:eastAsia="Times New Roman" w:hAnsi="Calibri" w:cs="Calibri"/>
          <w:color w:val="000000"/>
          <w:sz w:val="20"/>
          <w:szCs w:val="20"/>
          <w:lang w:val="en-CA"/>
        </w:rPr>
        <w:t>Leveraging our role as a trusted advisor, BMO is developing new ways of working with clients to identify and implement sustainable, low-carbon solutions.</w:t>
      </w:r>
    </w:p>
    <w:p w:rsidR="00B92208" w:rsidRPr="00B92208" w:rsidRDefault="00B92208" w:rsidP="00B92208">
      <w:pPr>
        <w:ind w:left="144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1440" w:hanging="36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w:t>
      </w:r>
      <w:r w:rsidRPr="00B92208">
        <w:rPr>
          <w:rFonts w:ascii="Times New Roman" w:eastAsia="Times New Roman" w:hAnsi="Times New Roman" w:cs="Times New Roman"/>
          <w:color w:val="000000"/>
          <w:sz w:val="14"/>
          <w:szCs w:val="14"/>
          <w:lang w:val="en-CA"/>
        </w:rPr>
        <w:t>         </w:t>
      </w:r>
      <w:r w:rsidRPr="00B92208">
        <w:rPr>
          <w:rFonts w:ascii="Calibri" w:eastAsia="Times New Roman" w:hAnsi="Calibri" w:cs="Calibri"/>
          <w:color w:val="000000"/>
          <w:sz w:val="20"/>
          <w:szCs w:val="20"/>
          <w:lang w:val="en-CA"/>
        </w:rPr>
        <w:t>Minimizing our own environmental footprint and running our operations sustainably. For example, operationally, we have been </w:t>
      </w:r>
      <w:r w:rsidRPr="00B92208">
        <w:rPr>
          <w:rFonts w:ascii="Calibri" w:eastAsia="Times New Roman" w:hAnsi="Calibri" w:cs="Calibri"/>
          <w:b/>
          <w:bCs/>
          <w:color w:val="000000"/>
          <w:sz w:val="20"/>
          <w:szCs w:val="20"/>
          <w:u w:val="single"/>
          <w:lang w:val="en-CA"/>
        </w:rPr>
        <w:t>carbon neutral since 2010</w:t>
      </w:r>
      <w:r w:rsidRPr="00B92208">
        <w:rPr>
          <w:rFonts w:ascii="Calibri" w:eastAsia="Times New Roman" w:hAnsi="Calibri" w:cs="Calibri"/>
          <w:color w:val="000000"/>
          <w:sz w:val="20"/>
          <w:szCs w:val="20"/>
          <w:lang w:val="en-CA"/>
        </w:rPr>
        <w:t>. We are also planning to achieve 100% renewable energy purchases by 2020.</w:t>
      </w:r>
    </w:p>
    <w:p w:rsidR="00B92208" w:rsidRPr="00B92208" w:rsidRDefault="00B92208" w:rsidP="00B92208">
      <w:pPr>
        <w:ind w:left="144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1440" w:hanging="36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w:t>
      </w:r>
      <w:r w:rsidRPr="00B92208">
        <w:rPr>
          <w:rFonts w:ascii="Times New Roman" w:eastAsia="Times New Roman" w:hAnsi="Times New Roman" w:cs="Times New Roman"/>
          <w:color w:val="000000"/>
          <w:sz w:val="14"/>
          <w:szCs w:val="14"/>
          <w:lang w:val="en-CA"/>
        </w:rPr>
        <w:t>         </w:t>
      </w:r>
      <w:r w:rsidRPr="00B92208">
        <w:rPr>
          <w:rFonts w:ascii="Calibri" w:eastAsia="Times New Roman" w:hAnsi="Calibri" w:cs="Calibri"/>
          <w:color w:val="000000"/>
          <w:sz w:val="20"/>
          <w:szCs w:val="20"/>
          <w:lang w:val="en-CA"/>
        </w:rPr>
        <w:t>Providing strong, climate-related disclosure aligned with international expectations such as the TCFD and CDP.</w:t>
      </w:r>
    </w:p>
    <w:p w:rsidR="00B92208" w:rsidRPr="00B92208" w:rsidRDefault="00B92208" w:rsidP="00B92208">
      <w:pPr>
        <w:ind w:left="72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2160" w:hanging="360"/>
        <w:rPr>
          <w:rFonts w:ascii="Calibri" w:eastAsia="Times New Roman" w:hAnsi="Calibri" w:cs="Calibri"/>
          <w:color w:val="000000"/>
          <w:sz w:val="20"/>
          <w:szCs w:val="20"/>
          <w:lang w:val="en-CA"/>
        </w:rPr>
      </w:pPr>
      <w:r w:rsidRPr="00B92208">
        <w:rPr>
          <w:rFonts w:ascii="Courier New" w:eastAsia="Times New Roman" w:hAnsi="Courier New" w:cs="Courier New"/>
          <w:color w:val="000000"/>
          <w:sz w:val="20"/>
          <w:szCs w:val="20"/>
          <w:lang w:val="en-CA"/>
        </w:rPr>
        <w:t>o</w:t>
      </w:r>
      <w:r w:rsidRPr="00B92208">
        <w:rPr>
          <w:rFonts w:ascii="Times New Roman" w:eastAsia="Times New Roman" w:hAnsi="Times New Roman" w:cs="Times New Roman"/>
          <w:color w:val="000000"/>
          <w:sz w:val="14"/>
          <w:szCs w:val="14"/>
          <w:lang w:val="en-CA"/>
        </w:rPr>
        <w:t>    </w:t>
      </w:r>
      <w:proofErr w:type="gramStart"/>
      <w:r w:rsidRPr="00B92208">
        <w:rPr>
          <w:rFonts w:ascii="Calibri" w:eastAsia="Times New Roman" w:hAnsi="Calibri" w:cs="Calibri"/>
          <w:color w:val="000000"/>
          <w:sz w:val="20"/>
          <w:szCs w:val="20"/>
          <w:lang w:val="en-CA"/>
        </w:rPr>
        <w:t>In</w:t>
      </w:r>
      <w:proofErr w:type="gramEnd"/>
      <w:r w:rsidRPr="00B92208">
        <w:rPr>
          <w:rFonts w:ascii="Calibri" w:eastAsia="Times New Roman" w:hAnsi="Calibri" w:cs="Calibri"/>
          <w:color w:val="000000"/>
          <w:sz w:val="20"/>
          <w:szCs w:val="20"/>
          <w:lang w:val="en-CA"/>
        </w:rPr>
        <w:t xml:space="preserve"> 2019, we published a Climate Report to provide investors and other stakeholders with pertinent information on the climate-related risks and opportunities that we face, and our approach to measuring and managing climate-related impacts. </w:t>
      </w:r>
    </w:p>
    <w:p w:rsidR="00B92208" w:rsidRPr="00B92208" w:rsidRDefault="00B92208" w:rsidP="00B92208">
      <w:pPr>
        <w:ind w:left="2160"/>
        <w:rPr>
          <w:rFonts w:ascii="Calibri" w:eastAsia="Times New Roman" w:hAnsi="Calibri" w:cs="Calibri"/>
          <w:color w:val="000000"/>
          <w:sz w:val="20"/>
          <w:szCs w:val="20"/>
          <w:lang w:val="en-CA"/>
        </w:rPr>
      </w:pPr>
      <w:r w:rsidRPr="00B92208">
        <w:rPr>
          <w:rFonts w:ascii="Calibri" w:eastAsia="Times New Roman" w:hAnsi="Calibri" w:cs="Calibri"/>
          <w:color w:val="000000"/>
          <w:sz w:val="20"/>
          <w:szCs w:val="20"/>
          <w:lang w:val="en-CA"/>
        </w:rPr>
        <w:t> </w:t>
      </w:r>
    </w:p>
    <w:p w:rsidR="00B92208" w:rsidRPr="00B92208" w:rsidRDefault="00B92208" w:rsidP="00B92208">
      <w:pPr>
        <w:ind w:left="2160" w:hanging="360"/>
        <w:rPr>
          <w:rFonts w:ascii="Calibri" w:eastAsia="Times New Roman" w:hAnsi="Calibri" w:cs="Calibri"/>
          <w:color w:val="000000"/>
          <w:sz w:val="20"/>
          <w:szCs w:val="20"/>
          <w:lang w:val="en-CA"/>
        </w:rPr>
      </w:pPr>
      <w:r w:rsidRPr="00B92208">
        <w:rPr>
          <w:rFonts w:ascii="Courier New" w:eastAsia="Times New Roman" w:hAnsi="Courier New" w:cs="Courier New"/>
          <w:color w:val="000000"/>
          <w:sz w:val="20"/>
          <w:szCs w:val="20"/>
          <w:lang w:val="en-CA"/>
        </w:rPr>
        <w:t>o</w:t>
      </w:r>
      <w:r w:rsidRPr="00B92208">
        <w:rPr>
          <w:rFonts w:ascii="Times New Roman" w:eastAsia="Times New Roman" w:hAnsi="Times New Roman" w:cs="Times New Roman"/>
          <w:color w:val="000000"/>
          <w:sz w:val="14"/>
          <w:szCs w:val="14"/>
          <w:lang w:val="en-CA"/>
        </w:rPr>
        <w:t>    </w:t>
      </w:r>
      <w:r w:rsidRPr="00B92208">
        <w:rPr>
          <w:rFonts w:ascii="Calibri" w:eastAsia="Times New Roman" w:hAnsi="Calibri" w:cs="Calibri"/>
          <w:color w:val="000000"/>
          <w:sz w:val="20"/>
          <w:szCs w:val="20"/>
          <w:lang w:val="en-CA"/>
        </w:rPr>
        <w:t>We were recognized by CDP for the strength of our actions and transparency in the areas of climate change governance, risk management and emissions reduction. BMO’s “A</w:t>
      </w:r>
      <w:proofErr w:type="gramStart"/>
      <w:r w:rsidRPr="00B92208">
        <w:rPr>
          <w:rFonts w:ascii="Calibri" w:eastAsia="Times New Roman" w:hAnsi="Calibri" w:cs="Calibri"/>
          <w:color w:val="000000"/>
          <w:sz w:val="20"/>
          <w:szCs w:val="20"/>
          <w:lang w:val="en-CA"/>
        </w:rPr>
        <w:t>-“ score</w:t>
      </w:r>
      <w:proofErr w:type="gramEnd"/>
      <w:r w:rsidRPr="00B92208">
        <w:rPr>
          <w:rFonts w:ascii="Calibri" w:eastAsia="Times New Roman" w:hAnsi="Calibri" w:cs="Calibri"/>
          <w:color w:val="000000"/>
          <w:sz w:val="20"/>
          <w:szCs w:val="20"/>
          <w:lang w:val="en-CA"/>
        </w:rPr>
        <w:t xml:space="preserve"> makes us global leaders in the financial services sector.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xml:space="preserve">We continue to advance in all of these </w:t>
      </w:r>
      <w:proofErr w:type="gramStart"/>
      <w:r w:rsidRPr="00B92208">
        <w:rPr>
          <w:rFonts w:ascii="Calibri" w:eastAsia="Times New Roman" w:hAnsi="Calibri" w:cs="Calibri"/>
          <w:color w:val="000000"/>
          <w:lang w:val="en-CA"/>
        </w:rPr>
        <w:t>areas, and</w:t>
      </w:r>
      <w:proofErr w:type="gramEnd"/>
      <w:r w:rsidRPr="00B92208">
        <w:rPr>
          <w:rFonts w:ascii="Calibri" w:eastAsia="Times New Roman" w:hAnsi="Calibri" w:cs="Calibri"/>
          <w:color w:val="000000"/>
          <w:lang w:val="en-CA"/>
        </w:rPr>
        <w:t xml:space="preserve"> are confident that our approach to climate risk and sustainable finance both advances global goals and enhances our resilience as an organization while supporting our clients and communities during the global transition.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lastRenderedPageBreak/>
        <w:t>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For more information, I encourage you to review </w:t>
      </w:r>
      <w:hyperlink r:id="rId4" w:history="1">
        <w:r w:rsidRPr="00B92208">
          <w:rPr>
            <w:rStyle w:val="Lienhypertexte"/>
            <w:rFonts w:ascii="Calibri" w:eastAsia="Times New Roman" w:hAnsi="Calibri" w:cs="Calibri"/>
            <w:lang w:val="en-CA"/>
          </w:rPr>
          <w:t>BMO’s 2019 Clim</w:t>
        </w:r>
        <w:r w:rsidRPr="00B92208">
          <w:rPr>
            <w:rStyle w:val="Lienhypertexte"/>
            <w:rFonts w:ascii="Calibri" w:eastAsia="Times New Roman" w:hAnsi="Calibri" w:cs="Calibri"/>
            <w:lang w:val="en-CA"/>
          </w:rPr>
          <w:t>a</w:t>
        </w:r>
        <w:r w:rsidRPr="00B92208">
          <w:rPr>
            <w:rStyle w:val="Lienhypertexte"/>
            <w:rFonts w:ascii="Calibri" w:eastAsia="Times New Roman" w:hAnsi="Calibri" w:cs="Calibri"/>
            <w:lang w:val="en-CA"/>
          </w:rPr>
          <w:t>te Report</w:t>
        </w:r>
      </w:hyperlink>
      <w:r w:rsidRPr="00B92208">
        <w:rPr>
          <w:rFonts w:ascii="Calibri" w:eastAsia="Times New Roman" w:hAnsi="Calibri" w:cs="Calibri"/>
          <w:color w:val="000000"/>
          <w:lang w:val="en-CA"/>
        </w:rPr>
        <w:t>, which provides a comprehensive overview of our industry-leading climate program.</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 </w:t>
      </w:r>
    </w:p>
    <w:p w:rsidR="00B92208" w:rsidRPr="00B92208" w:rsidRDefault="00B92208" w:rsidP="00B92208">
      <w:pPr>
        <w:rPr>
          <w:rFonts w:ascii="Calibri" w:eastAsia="Times New Roman" w:hAnsi="Calibri" w:cs="Calibri"/>
          <w:color w:val="000000"/>
          <w:lang w:val="en-CA"/>
        </w:rPr>
      </w:pPr>
      <w:r w:rsidRPr="00B92208">
        <w:rPr>
          <w:rFonts w:ascii="Calibri" w:eastAsia="Times New Roman" w:hAnsi="Calibri" w:cs="Calibri"/>
          <w:color w:val="000000"/>
          <w:lang w:val="en-CA"/>
        </w:rPr>
        <w:t>For information on our broader sustainability approach please see </w:t>
      </w:r>
      <w:hyperlink r:id="rId5" w:history="1">
        <w:r w:rsidRPr="00B92208">
          <w:rPr>
            <w:rStyle w:val="Lienhypertexte"/>
            <w:rFonts w:ascii="Calibri" w:eastAsia="Times New Roman" w:hAnsi="Calibri" w:cs="Calibri"/>
            <w:lang w:val="en-CA"/>
          </w:rPr>
          <w:t>BMO’s 2019 Sus</w:t>
        </w:r>
        <w:r w:rsidRPr="00B92208">
          <w:rPr>
            <w:rStyle w:val="Lienhypertexte"/>
            <w:rFonts w:ascii="Calibri" w:eastAsia="Times New Roman" w:hAnsi="Calibri" w:cs="Calibri"/>
            <w:lang w:val="en-CA"/>
          </w:rPr>
          <w:t>t</w:t>
        </w:r>
        <w:r w:rsidRPr="00B92208">
          <w:rPr>
            <w:rStyle w:val="Lienhypertexte"/>
            <w:rFonts w:ascii="Calibri" w:eastAsia="Times New Roman" w:hAnsi="Calibri" w:cs="Calibri"/>
            <w:lang w:val="en-CA"/>
          </w:rPr>
          <w:t>ainability Report</w:t>
        </w:r>
      </w:hyperlink>
      <w:bookmarkStart w:id="0" w:name="_GoBack"/>
      <w:bookmarkEnd w:id="0"/>
      <w:r w:rsidRPr="00B92208">
        <w:rPr>
          <w:rFonts w:ascii="Calibri" w:eastAsia="Times New Roman" w:hAnsi="Calibri" w:cs="Calibri"/>
          <w:color w:val="000000"/>
          <w:lang w:val="en-CA"/>
        </w:rPr>
        <w:t>.</w:t>
      </w:r>
    </w:p>
    <w:p w:rsidR="00E82A5F" w:rsidRPr="00B92208" w:rsidRDefault="00E82A5F">
      <w:pPr>
        <w:rPr>
          <w:lang w:val="en-GB"/>
        </w:rPr>
      </w:pPr>
    </w:p>
    <w:sectPr w:rsidR="00E82A5F" w:rsidRPr="00B92208" w:rsidSect="00680F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08"/>
    <w:rsid w:val="00680FFC"/>
    <w:rsid w:val="00B92208"/>
    <w:rsid w:val="00E82A5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1FA878-8E89-D944-8BF3-06021D8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22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B92208"/>
  </w:style>
  <w:style w:type="character" w:styleId="Lienhypertexte">
    <w:name w:val="Hyperlink"/>
    <w:basedOn w:val="Policepardfaut"/>
    <w:uiPriority w:val="99"/>
    <w:unhideWhenUsed/>
    <w:rsid w:val="00B92208"/>
    <w:rPr>
      <w:color w:val="0000FF"/>
      <w:u w:val="single"/>
    </w:rPr>
  </w:style>
  <w:style w:type="character" w:styleId="Mentionnonrsolue">
    <w:name w:val="Unresolved Mention"/>
    <w:basedOn w:val="Policepardfaut"/>
    <w:uiPriority w:val="99"/>
    <w:semiHidden/>
    <w:unhideWhenUsed/>
    <w:rsid w:val="00B9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porate-responsibility.bmo.com/wp-content/uploads/2020/03/BMO-2019-Sustainability-Report-and-PAS_3.pdf" TargetMode="External"/><Relationship Id="rId4" Type="http://schemas.openxmlformats.org/officeDocument/2006/relationships/hyperlink" Target="https://corporate-responsibility.bmo.com/wp-content/uploads/2019/12/BMO-2019-Climate-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3124</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Eliane Regalia</dc:creator>
  <cp:keywords/>
  <dc:description/>
  <cp:lastModifiedBy>Stephanie Eliane Regalia</cp:lastModifiedBy>
  <cp:revision>1</cp:revision>
  <dcterms:created xsi:type="dcterms:W3CDTF">2020-04-17T15:05:00Z</dcterms:created>
  <dcterms:modified xsi:type="dcterms:W3CDTF">2020-04-17T15:07:00Z</dcterms:modified>
</cp:coreProperties>
</file>