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2D49D3C" w14:textId="77777777" w:rsidTr="00DD7D05">
        <w:trPr>
          <w:trHeight w:val="851"/>
        </w:trPr>
        <w:tc>
          <w:tcPr>
            <w:tcW w:w="1259" w:type="dxa"/>
            <w:tcBorders>
              <w:top w:val="nil"/>
              <w:left w:val="nil"/>
              <w:bottom w:val="single" w:sz="4" w:space="0" w:color="auto"/>
              <w:right w:val="nil"/>
            </w:tcBorders>
          </w:tcPr>
          <w:p w14:paraId="7D3B7CBB" w14:textId="77777777" w:rsidR="00EC2011" w:rsidRDefault="00EC2011" w:rsidP="00DD7D05">
            <w:pPr>
              <w:pStyle w:val="SingleTxtG"/>
            </w:pPr>
            <w:bookmarkStart w:id="0" w:name="_GoBack"/>
            <w:bookmarkEnd w:id="0"/>
          </w:p>
        </w:tc>
        <w:tc>
          <w:tcPr>
            <w:tcW w:w="2236" w:type="dxa"/>
            <w:tcBorders>
              <w:top w:val="nil"/>
              <w:left w:val="nil"/>
              <w:bottom w:val="single" w:sz="4" w:space="0" w:color="auto"/>
              <w:right w:val="nil"/>
            </w:tcBorders>
            <w:vAlign w:val="bottom"/>
          </w:tcPr>
          <w:p w14:paraId="6E2D0F70" w14:textId="02462B1F"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1B61F1E" w14:textId="77777777" w:rsidR="00EC2011" w:rsidRDefault="00B52172" w:rsidP="00B52172">
            <w:pPr>
              <w:spacing w:after="20" w:line="240" w:lineRule="atLeast"/>
              <w:jc w:val="right"/>
            </w:pPr>
            <w:r w:rsidRPr="00B52172">
              <w:rPr>
                <w:sz w:val="40"/>
              </w:rPr>
              <w:t>A</w:t>
            </w:r>
            <w:r>
              <w:t>/HRC/48/49</w:t>
            </w:r>
          </w:p>
        </w:tc>
      </w:tr>
      <w:tr w:rsidR="00EC2011" w14:paraId="4229C95F" w14:textId="77777777" w:rsidTr="00DD7D05">
        <w:trPr>
          <w:trHeight w:val="2835"/>
        </w:trPr>
        <w:tc>
          <w:tcPr>
            <w:tcW w:w="1259" w:type="dxa"/>
            <w:tcBorders>
              <w:top w:val="single" w:sz="4" w:space="0" w:color="auto"/>
              <w:left w:val="nil"/>
              <w:bottom w:val="single" w:sz="12" w:space="0" w:color="auto"/>
              <w:right w:val="nil"/>
            </w:tcBorders>
          </w:tcPr>
          <w:p w14:paraId="41A0F0BF" w14:textId="336F24E9"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5640A315" w14:textId="74DBE863" w:rsidR="00EC2011" w:rsidRDefault="0034367A"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8BD325A" w14:textId="77777777" w:rsidR="00EC2011" w:rsidRDefault="00B52172" w:rsidP="00B52172">
            <w:pPr>
              <w:spacing w:before="240"/>
            </w:pPr>
            <w:r>
              <w:t>Distr.: General</w:t>
            </w:r>
          </w:p>
          <w:p w14:paraId="5D415261" w14:textId="41D1D267" w:rsidR="00B52172" w:rsidRDefault="00870835" w:rsidP="00B52172">
            <w:r>
              <w:t>1</w:t>
            </w:r>
            <w:r w:rsidR="009A1A32">
              <w:t>6</w:t>
            </w:r>
            <w:r>
              <w:t xml:space="preserve"> </w:t>
            </w:r>
            <w:r w:rsidR="00B52172">
              <w:t>September 2021</w:t>
            </w:r>
          </w:p>
          <w:p w14:paraId="2E02291C" w14:textId="77777777" w:rsidR="00B52172" w:rsidRDefault="00B52172" w:rsidP="00B52172"/>
          <w:p w14:paraId="23EFD0CB" w14:textId="77777777" w:rsidR="00B52172" w:rsidRDefault="00B52172" w:rsidP="00B52172">
            <w:pPr>
              <w:spacing w:line="240" w:lineRule="atLeast"/>
            </w:pPr>
            <w:r>
              <w:t>Original: English</w:t>
            </w:r>
          </w:p>
        </w:tc>
      </w:tr>
    </w:tbl>
    <w:p w14:paraId="53C148C1" w14:textId="77777777" w:rsidR="00657C1B" w:rsidRPr="00A3379A" w:rsidRDefault="00657C1B" w:rsidP="00657C1B">
      <w:pPr>
        <w:spacing w:before="120"/>
        <w:rPr>
          <w:b/>
          <w:bCs/>
          <w:sz w:val="24"/>
          <w:szCs w:val="24"/>
        </w:rPr>
      </w:pPr>
      <w:r w:rsidRPr="00A3379A">
        <w:rPr>
          <w:b/>
          <w:bCs/>
          <w:sz w:val="24"/>
          <w:szCs w:val="24"/>
        </w:rPr>
        <w:t>Human Rights Council</w:t>
      </w:r>
    </w:p>
    <w:p w14:paraId="391104F5" w14:textId="77777777" w:rsidR="00657C1B" w:rsidRPr="00A3379A" w:rsidRDefault="00657C1B" w:rsidP="00657C1B">
      <w:pPr>
        <w:rPr>
          <w:b/>
          <w:bCs/>
        </w:rPr>
      </w:pPr>
      <w:r w:rsidRPr="00A3379A">
        <w:rPr>
          <w:b/>
          <w:bCs/>
        </w:rPr>
        <w:t>Forty-</w:t>
      </w:r>
      <w:r>
        <w:rPr>
          <w:b/>
          <w:bCs/>
        </w:rPr>
        <w:t>eighth</w:t>
      </w:r>
      <w:r w:rsidRPr="00A3379A">
        <w:rPr>
          <w:b/>
          <w:bCs/>
        </w:rPr>
        <w:t xml:space="preserve"> session</w:t>
      </w:r>
    </w:p>
    <w:p w14:paraId="5CF7F39C" w14:textId="77777777" w:rsidR="00657C1B" w:rsidRPr="00E61BE7" w:rsidRDefault="00657C1B" w:rsidP="00657C1B">
      <w:pPr>
        <w:rPr>
          <w:bCs/>
        </w:rPr>
      </w:pPr>
      <w:r>
        <w:rPr>
          <w:bCs/>
        </w:rPr>
        <w:t>13 September–</w:t>
      </w:r>
      <w:r w:rsidRPr="00E61BE7">
        <w:rPr>
          <w:bCs/>
        </w:rPr>
        <w:t>1 October 2021</w:t>
      </w:r>
    </w:p>
    <w:p w14:paraId="2F4981E3" w14:textId="77777777" w:rsidR="00657C1B" w:rsidRPr="00A3379A" w:rsidRDefault="00657C1B" w:rsidP="00657C1B">
      <w:r w:rsidRPr="00A3379A">
        <w:t xml:space="preserve">Agenda items </w:t>
      </w:r>
      <w:r>
        <w:t>2 and 10</w:t>
      </w:r>
    </w:p>
    <w:p w14:paraId="3208AF9E" w14:textId="77777777" w:rsidR="00657C1B" w:rsidRDefault="00657C1B" w:rsidP="00657C1B">
      <w:pPr>
        <w:spacing w:after="120"/>
        <w:rPr>
          <w:b/>
          <w:bCs/>
        </w:rPr>
      </w:pPr>
      <w:r>
        <w:rPr>
          <w:b/>
          <w:bCs/>
        </w:rPr>
        <w:t>Annual r</w:t>
      </w:r>
      <w:r w:rsidRPr="00A3379A">
        <w:rPr>
          <w:b/>
          <w:bCs/>
        </w:rPr>
        <w:t>eport of the United Nations High Commissioner</w:t>
      </w:r>
      <w:r w:rsidRPr="00A3379A">
        <w:rPr>
          <w:b/>
          <w:bCs/>
        </w:rPr>
        <w:br/>
        <w:t>for Human Rights and reports of the Office of the</w:t>
      </w:r>
      <w:r w:rsidRPr="00A3379A">
        <w:rPr>
          <w:b/>
          <w:bCs/>
        </w:rPr>
        <w:br/>
        <w:t xml:space="preserve">High Commissioner and the Secretary-General </w:t>
      </w:r>
    </w:p>
    <w:p w14:paraId="12460530" w14:textId="77777777" w:rsidR="00657C1B" w:rsidRPr="001E254C" w:rsidRDefault="00657C1B" w:rsidP="00657C1B">
      <w:pPr>
        <w:spacing w:after="120"/>
        <w:rPr>
          <w:b/>
          <w:bCs/>
        </w:rPr>
      </w:pPr>
      <w:r w:rsidRPr="001E254C">
        <w:rPr>
          <w:b/>
          <w:bCs/>
        </w:rPr>
        <w:t xml:space="preserve">Technical assistance and capacity-building </w:t>
      </w:r>
    </w:p>
    <w:p w14:paraId="2341AC2D" w14:textId="77777777" w:rsidR="00657C1B" w:rsidRDefault="00657C1B" w:rsidP="00657C1B">
      <w:pPr>
        <w:pStyle w:val="HChG"/>
      </w:pPr>
      <w:r>
        <w:tab/>
      </w:r>
      <w:r>
        <w:tab/>
      </w:r>
      <w:r>
        <w:tab/>
      </w:r>
      <w:r w:rsidRPr="00770569">
        <w:t>Role and achievements of the Office of the United Nations High Commissioner for Human Rights in assisting the Government and people of Cambodia in the promotion</w:t>
      </w:r>
      <w:r>
        <w:t xml:space="preserve"> and protection of human rights</w:t>
      </w:r>
    </w:p>
    <w:p w14:paraId="2976F47E" w14:textId="19B41AE4" w:rsidR="00657C1B" w:rsidRDefault="00657C1B" w:rsidP="00657C1B">
      <w:pPr>
        <w:pStyle w:val="H1G"/>
        <w:rPr>
          <w:b w:val="0"/>
          <w:sz w:val="20"/>
        </w:rPr>
      </w:pPr>
      <w:r>
        <w:tab/>
      </w:r>
      <w:r>
        <w:tab/>
      </w:r>
      <w:r w:rsidRPr="001E254C">
        <w:t>Report of the Secretary-General</w:t>
      </w:r>
      <w:r w:rsidRPr="00E2343F">
        <w:rPr>
          <w:b w:val="0"/>
          <w:sz w:val="20"/>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F53ED2" w14:paraId="2A4D4346" w14:textId="77777777" w:rsidTr="00F53ED2">
        <w:trPr>
          <w:jc w:val="center"/>
        </w:trPr>
        <w:tc>
          <w:tcPr>
            <w:tcW w:w="9637" w:type="dxa"/>
            <w:tcBorders>
              <w:bottom w:val="nil"/>
            </w:tcBorders>
          </w:tcPr>
          <w:p w14:paraId="40A58E34" w14:textId="66C69664" w:rsidR="00F53ED2" w:rsidRPr="00F53ED2" w:rsidRDefault="00F53ED2" w:rsidP="00F53ED2">
            <w:pPr>
              <w:tabs>
                <w:tab w:val="left" w:pos="255"/>
              </w:tabs>
              <w:suppressAutoHyphens w:val="0"/>
              <w:spacing w:before="240" w:after="120" w:line="240" w:lineRule="atLeast"/>
              <w:rPr>
                <w:sz w:val="24"/>
              </w:rPr>
            </w:pPr>
            <w:r>
              <w:tab/>
            </w:r>
            <w:r>
              <w:rPr>
                <w:i/>
                <w:sz w:val="24"/>
              </w:rPr>
              <w:t>Summary</w:t>
            </w:r>
          </w:p>
        </w:tc>
      </w:tr>
      <w:tr w:rsidR="00F53ED2" w14:paraId="24B3E03C" w14:textId="77777777" w:rsidTr="00F53ED2">
        <w:trPr>
          <w:jc w:val="center"/>
        </w:trPr>
        <w:tc>
          <w:tcPr>
            <w:tcW w:w="9637" w:type="dxa"/>
            <w:tcBorders>
              <w:top w:val="nil"/>
              <w:bottom w:val="nil"/>
            </w:tcBorders>
            <w:shd w:val="clear" w:color="auto" w:fill="auto"/>
          </w:tcPr>
          <w:p w14:paraId="711A9ADC" w14:textId="143786AC" w:rsidR="00F53ED2" w:rsidRDefault="00B97D31" w:rsidP="00F53ED2">
            <w:pPr>
              <w:pStyle w:val="SingleTxtG"/>
            </w:pPr>
            <w:r>
              <w:tab/>
            </w:r>
            <w:r w:rsidR="00F53ED2" w:rsidRPr="001E254C">
              <w:t>Submitted pursuant to Human Rights Council resolution 42/37, the present report outlines the role and achievements of the Office of the United Nations High Commissioner for Human Rights (OHCHR) in Cambodia from 1 June 2020 to 31 May 2021.</w:t>
            </w:r>
          </w:p>
        </w:tc>
      </w:tr>
      <w:tr w:rsidR="00F53ED2" w14:paraId="3E5F04EB" w14:textId="77777777" w:rsidTr="00F53ED2">
        <w:trPr>
          <w:jc w:val="center"/>
        </w:trPr>
        <w:tc>
          <w:tcPr>
            <w:tcW w:w="9637" w:type="dxa"/>
            <w:tcBorders>
              <w:top w:val="nil"/>
              <w:bottom w:val="nil"/>
            </w:tcBorders>
            <w:shd w:val="clear" w:color="auto" w:fill="auto"/>
          </w:tcPr>
          <w:p w14:paraId="157ED932" w14:textId="3136318D" w:rsidR="00F53ED2" w:rsidRPr="001E254C" w:rsidRDefault="00B97D31" w:rsidP="00F53ED2">
            <w:pPr>
              <w:pStyle w:val="SingleTxtG"/>
            </w:pPr>
            <w:r>
              <w:tab/>
            </w:r>
            <w:r w:rsidR="00F53ED2">
              <w:t>During t</w:t>
            </w:r>
            <w:r w:rsidR="00F53ED2" w:rsidRPr="001E254C">
              <w:t>he reporting period</w:t>
            </w:r>
            <w:r w:rsidR="00F53ED2">
              <w:t>, OHCHR in Cambodia documented cases and patterns of violations highlighting the</w:t>
            </w:r>
            <w:r w:rsidR="00F53ED2" w:rsidRPr="001E254C">
              <w:t xml:space="preserve"> continued erosion of civic and democratic space</w:t>
            </w:r>
            <w:r w:rsidR="00F53ED2">
              <w:t xml:space="preserve"> in the country</w:t>
            </w:r>
            <w:r w:rsidR="00F53ED2" w:rsidRPr="001E254C">
              <w:t xml:space="preserve"> and </w:t>
            </w:r>
            <w:r w:rsidR="00F53ED2">
              <w:t>ongoing</w:t>
            </w:r>
            <w:r w:rsidR="00F53ED2" w:rsidRPr="001E254C">
              <w:t xml:space="preserve"> attempts by the Government of Cambodia to restrict pluralism and fundamental freedoms</w:t>
            </w:r>
            <w:r w:rsidR="00F53ED2">
              <w:t>,</w:t>
            </w:r>
            <w:r w:rsidR="00F53ED2" w:rsidRPr="001E254C">
              <w:t xml:space="preserve"> including </w:t>
            </w:r>
            <w:r w:rsidR="00F53ED2">
              <w:t>by taking</w:t>
            </w:r>
            <w:r w:rsidR="00F53ED2" w:rsidRPr="001E254C">
              <w:t xml:space="preserve"> measures ostensibly designed to promote public health in the context of </w:t>
            </w:r>
            <w:r w:rsidR="00F53ED2">
              <w:t>the coronavirus disease (</w:t>
            </w:r>
            <w:r w:rsidR="00F53ED2" w:rsidRPr="001E254C">
              <w:t>COVID-19</w:t>
            </w:r>
            <w:r w:rsidR="00F53ED2">
              <w:t>) pandemic</w:t>
            </w:r>
            <w:r w:rsidR="00F53ED2" w:rsidRPr="001E254C">
              <w:t xml:space="preserve">. OHCHR continued </w:t>
            </w:r>
            <w:r w:rsidR="00F53ED2">
              <w:t>to</w:t>
            </w:r>
            <w:r w:rsidR="00F53ED2" w:rsidRPr="001E254C">
              <w:t xml:space="preserve"> provi</w:t>
            </w:r>
            <w:r w:rsidR="00F53ED2">
              <w:t>de</w:t>
            </w:r>
            <w:r w:rsidR="00F53ED2" w:rsidRPr="001E254C">
              <w:t xml:space="preserve"> technical cooperation in key areas and promoted </w:t>
            </w:r>
            <w:r w:rsidR="00F53ED2">
              <w:t xml:space="preserve">human </w:t>
            </w:r>
            <w:r w:rsidR="00F53ED2" w:rsidRPr="001E254C">
              <w:t>rights in the context of the COVID-19 pandemic.</w:t>
            </w:r>
          </w:p>
        </w:tc>
      </w:tr>
      <w:tr w:rsidR="00F53ED2" w14:paraId="6C85464D" w14:textId="77777777" w:rsidTr="00F53ED2">
        <w:trPr>
          <w:jc w:val="center"/>
        </w:trPr>
        <w:tc>
          <w:tcPr>
            <w:tcW w:w="9637" w:type="dxa"/>
            <w:tcBorders>
              <w:top w:val="nil"/>
            </w:tcBorders>
          </w:tcPr>
          <w:p w14:paraId="23AE3072" w14:textId="77777777" w:rsidR="00F53ED2" w:rsidRDefault="00F53ED2" w:rsidP="00F53ED2">
            <w:pPr>
              <w:suppressAutoHyphens w:val="0"/>
              <w:spacing w:line="240" w:lineRule="atLeast"/>
            </w:pPr>
          </w:p>
        </w:tc>
      </w:tr>
    </w:tbl>
    <w:p w14:paraId="38C68D8B" w14:textId="4FC2E330" w:rsidR="00657C1B" w:rsidRPr="001E1ACF" w:rsidRDefault="00657C1B" w:rsidP="00B97D31">
      <w:pPr>
        <w:pStyle w:val="HChG"/>
      </w:pPr>
      <w:bookmarkStart w:id="1" w:name="_Toc482101463"/>
      <w:r>
        <w:rPr>
          <w:rFonts w:eastAsia="MS ??"/>
          <w:sz w:val="22"/>
          <w:szCs w:val="22"/>
          <w:lang w:eastAsia="es-ES_tradnl"/>
        </w:rPr>
        <w:br w:type="page"/>
      </w:r>
      <w:r>
        <w:lastRenderedPageBreak/>
        <w:tab/>
        <w:t>I.</w:t>
      </w:r>
      <w:r w:rsidRPr="001E1ACF">
        <w:tab/>
      </w:r>
      <w:bookmarkEnd w:id="1"/>
      <w:r w:rsidRPr="001E1ACF">
        <w:t>Introduction</w:t>
      </w:r>
    </w:p>
    <w:p w14:paraId="3430D102" w14:textId="77777777" w:rsidR="00657C1B" w:rsidRPr="00534547" w:rsidRDefault="00657C1B" w:rsidP="00657C1B">
      <w:pPr>
        <w:pStyle w:val="SingleTxtG"/>
        <w:rPr>
          <w:rFonts w:eastAsia="Batang"/>
          <w:lang w:eastAsia="ko-KR"/>
        </w:rPr>
      </w:pPr>
      <w:r>
        <w:rPr>
          <w:rFonts w:eastAsia="Batang"/>
          <w:lang w:eastAsia="ko-KR"/>
        </w:rPr>
        <w:t>1.</w:t>
      </w:r>
      <w:r>
        <w:rPr>
          <w:rFonts w:eastAsia="Batang"/>
          <w:lang w:eastAsia="ko-KR"/>
        </w:rPr>
        <w:tab/>
        <w:t>Submitted p</w:t>
      </w:r>
      <w:r w:rsidRPr="00534547">
        <w:rPr>
          <w:rFonts w:eastAsia="Batang"/>
          <w:lang w:eastAsia="ko-KR"/>
        </w:rPr>
        <w:t xml:space="preserve">ursuant to Human Rights Council resolution 42/37, the present report outlines the role and achievements of the Office of the United Nations High Commissioner for Human Rights (OHCHR) in assisting the Government and people of Cambodia in the promotion and protection of human rights from 1 June 2020 to 31 May 2021. </w:t>
      </w:r>
    </w:p>
    <w:p w14:paraId="4FCF0674" w14:textId="77777777" w:rsidR="00657C1B" w:rsidRPr="00534547" w:rsidRDefault="00657C1B" w:rsidP="00657C1B">
      <w:pPr>
        <w:pStyle w:val="SingleTxtG"/>
        <w:rPr>
          <w:rFonts w:eastAsia="Batang"/>
          <w:lang w:eastAsia="ko-KR"/>
        </w:rPr>
      </w:pPr>
      <w:r>
        <w:rPr>
          <w:rFonts w:eastAsia="Batang"/>
          <w:lang w:eastAsia="ko-KR"/>
        </w:rPr>
        <w:t>2.</w:t>
      </w:r>
      <w:r>
        <w:rPr>
          <w:rFonts w:eastAsia="Batang"/>
          <w:lang w:eastAsia="ko-KR"/>
        </w:rPr>
        <w:tab/>
      </w:r>
      <w:r w:rsidRPr="00534547">
        <w:rPr>
          <w:rFonts w:eastAsia="Batang"/>
          <w:lang w:eastAsia="ko-KR"/>
        </w:rPr>
        <w:t xml:space="preserve">Throughout the reporting period, OHCHR provided technical support to the </w:t>
      </w:r>
      <w:r>
        <w:rPr>
          <w:rFonts w:eastAsia="Batang"/>
          <w:lang w:eastAsia="ko-KR"/>
        </w:rPr>
        <w:t>j</w:t>
      </w:r>
      <w:r w:rsidRPr="00534547">
        <w:rPr>
          <w:rFonts w:eastAsia="Batang"/>
          <w:lang w:eastAsia="ko-KR"/>
        </w:rPr>
        <w:t xml:space="preserve">udiciary, </w:t>
      </w:r>
      <w:r>
        <w:rPr>
          <w:rFonts w:eastAsia="Batang"/>
          <w:lang w:eastAsia="ko-KR"/>
        </w:rPr>
        <w:t xml:space="preserve">the </w:t>
      </w:r>
      <w:r w:rsidRPr="00534547">
        <w:rPr>
          <w:rFonts w:eastAsia="Batang"/>
          <w:lang w:eastAsia="ko-KR"/>
        </w:rPr>
        <w:t xml:space="preserve">Ministry of </w:t>
      </w:r>
      <w:r>
        <w:rPr>
          <w:rFonts w:eastAsia="Batang"/>
          <w:lang w:eastAsia="ko-KR"/>
        </w:rPr>
        <w:t xml:space="preserve">the </w:t>
      </w:r>
      <w:r w:rsidRPr="00534547">
        <w:rPr>
          <w:rFonts w:eastAsia="Batang"/>
          <w:lang w:eastAsia="ko-KR"/>
        </w:rPr>
        <w:t xml:space="preserve">Interior, </w:t>
      </w:r>
      <w:r>
        <w:rPr>
          <w:rFonts w:eastAsia="Batang"/>
          <w:lang w:eastAsia="ko-KR"/>
        </w:rPr>
        <w:t xml:space="preserve">the </w:t>
      </w:r>
      <w:r w:rsidRPr="00534547">
        <w:rPr>
          <w:rFonts w:eastAsia="Batang"/>
          <w:lang w:eastAsia="ko-KR"/>
        </w:rPr>
        <w:t xml:space="preserve">Ministry </w:t>
      </w:r>
      <w:r w:rsidRPr="00242FCE">
        <w:rPr>
          <w:rFonts w:eastAsia="Batang"/>
          <w:lang w:eastAsia="ko-KR"/>
        </w:rPr>
        <w:t>of</w:t>
      </w:r>
      <w:r w:rsidRPr="00534547">
        <w:rPr>
          <w:rFonts w:eastAsia="Batang"/>
          <w:lang w:eastAsia="ko-KR"/>
        </w:rPr>
        <w:t xml:space="preserve"> Foreign Affairs</w:t>
      </w:r>
      <w:r>
        <w:rPr>
          <w:rFonts w:eastAsia="Batang"/>
          <w:lang w:eastAsia="ko-KR"/>
        </w:rPr>
        <w:t xml:space="preserve"> and International Cooperation</w:t>
      </w:r>
      <w:r w:rsidRPr="00534547">
        <w:rPr>
          <w:rFonts w:eastAsia="Batang"/>
          <w:lang w:eastAsia="ko-KR"/>
        </w:rPr>
        <w:t xml:space="preserve">, </w:t>
      </w:r>
      <w:r>
        <w:rPr>
          <w:rFonts w:eastAsia="Batang"/>
          <w:lang w:eastAsia="ko-KR"/>
        </w:rPr>
        <w:t xml:space="preserve">the </w:t>
      </w:r>
      <w:r w:rsidRPr="00534547">
        <w:rPr>
          <w:rFonts w:eastAsia="Batang"/>
          <w:lang w:eastAsia="ko-KR"/>
        </w:rPr>
        <w:t xml:space="preserve">Ministry </w:t>
      </w:r>
      <w:r w:rsidRPr="00242FCE">
        <w:rPr>
          <w:rFonts w:eastAsia="Batang"/>
          <w:lang w:eastAsia="ko-KR"/>
        </w:rPr>
        <w:t>of</w:t>
      </w:r>
      <w:r w:rsidRPr="00534547">
        <w:rPr>
          <w:rFonts w:eastAsia="Batang"/>
          <w:lang w:eastAsia="ko-KR"/>
        </w:rPr>
        <w:t xml:space="preserve"> Justice, </w:t>
      </w:r>
      <w:r>
        <w:rPr>
          <w:rFonts w:eastAsia="Batang"/>
          <w:lang w:eastAsia="ko-KR"/>
        </w:rPr>
        <w:t xml:space="preserve">the </w:t>
      </w:r>
      <w:r w:rsidRPr="00534547">
        <w:rPr>
          <w:rFonts w:eastAsia="Batang"/>
          <w:lang w:eastAsia="ko-KR"/>
        </w:rPr>
        <w:t xml:space="preserve">Ministry of Social Affairs, Veterans and Youth Rehabilitation, </w:t>
      </w:r>
      <w:r>
        <w:rPr>
          <w:rFonts w:eastAsia="Batang"/>
          <w:lang w:eastAsia="ko-KR"/>
        </w:rPr>
        <w:t xml:space="preserve">the </w:t>
      </w:r>
      <w:r w:rsidRPr="00534547">
        <w:rPr>
          <w:rFonts w:eastAsia="Batang"/>
          <w:lang w:eastAsia="ko-KR"/>
        </w:rPr>
        <w:t xml:space="preserve">Ministry of Rural Development, </w:t>
      </w:r>
      <w:r>
        <w:rPr>
          <w:rFonts w:eastAsia="Batang"/>
          <w:lang w:eastAsia="ko-KR"/>
        </w:rPr>
        <w:t xml:space="preserve">the </w:t>
      </w:r>
      <w:r w:rsidRPr="00534547">
        <w:rPr>
          <w:rFonts w:eastAsia="Batang"/>
          <w:lang w:eastAsia="ko-KR"/>
        </w:rPr>
        <w:t>Ministry of Land Management</w:t>
      </w:r>
      <w:r>
        <w:rPr>
          <w:rFonts w:eastAsia="Batang"/>
          <w:lang w:eastAsia="ko-KR"/>
        </w:rPr>
        <w:t>, Urban Planning and Construction</w:t>
      </w:r>
      <w:r w:rsidRPr="00534547">
        <w:rPr>
          <w:rFonts w:eastAsia="Batang"/>
          <w:lang w:eastAsia="ko-KR"/>
        </w:rPr>
        <w:t xml:space="preserve">, </w:t>
      </w:r>
      <w:r>
        <w:rPr>
          <w:rFonts w:eastAsia="Batang"/>
          <w:lang w:eastAsia="ko-KR"/>
        </w:rPr>
        <w:t xml:space="preserve">the </w:t>
      </w:r>
      <w:r w:rsidRPr="00534547">
        <w:rPr>
          <w:rFonts w:eastAsia="Batang"/>
          <w:lang w:eastAsia="ko-KR"/>
        </w:rPr>
        <w:t xml:space="preserve">Ministry of </w:t>
      </w:r>
      <w:r>
        <w:rPr>
          <w:rFonts w:eastAsia="Batang"/>
          <w:lang w:eastAsia="ko-KR"/>
        </w:rPr>
        <w:t xml:space="preserve">the </w:t>
      </w:r>
      <w:r w:rsidRPr="00534547">
        <w:rPr>
          <w:rFonts w:eastAsia="Batang"/>
          <w:lang w:eastAsia="ko-KR"/>
        </w:rPr>
        <w:t xml:space="preserve">Environment, </w:t>
      </w:r>
      <w:r>
        <w:rPr>
          <w:rFonts w:eastAsia="Batang"/>
          <w:lang w:eastAsia="ko-KR"/>
        </w:rPr>
        <w:t xml:space="preserve">the </w:t>
      </w:r>
      <w:r w:rsidRPr="00534547">
        <w:rPr>
          <w:rFonts w:eastAsia="Batang"/>
          <w:lang w:eastAsia="ko-KR"/>
        </w:rPr>
        <w:t xml:space="preserve">Ministry of Labour and Vocational Training, the Cambodian Human Rights Committee, the National Committee </w:t>
      </w:r>
      <w:r>
        <w:rPr>
          <w:rFonts w:eastAsia="Batang"/>
          <w:lang w:eastAsia="ko-KR"/>
        </w:rPr>
        <w:t>a</w:t>
      </w:r>
      <w:r w:rsidRPr="00534547">
        <w:rPr>
          <w:rFonts w:eastAsia="Batang"/>
          <w:lang w:eastAsia="ko-KR"/>
        </w:rPr>
        <w:t>gainst Torture, the Disability Action Council and other governmental and civil society actors. OHCHR continued to monitor the human rights situation</w:t>
      </w:r>
      <w:r>
        <w:rPr>
          <w:rFonts w:eastAsia="Batang"/>
          <w:lang w:eastAsia="ko-KR"/>
        </w:rPr>
        <w:t>,</w:t>
      </w:r>
      <w:r w:rsidRPr="00534547">
        <w:rPr>
          <w:rFonts w:eastAsia="Batang"/>
          <w:lang w:eastAsia="ko-KR"/>
        </w:rPr>
        <w:t xml:space="preserve"> focus</w:t>
      </w:r>
      <w:r>
        <w:rPr>
          <w:rFonts w:eastAsia="Batang"/>
          <w:lang w:eastAsia="ko-KR"/>
        </w:rPr>
        <w:t>ing</w:t>
      </w:r>
      <w:r w:rsidRPr="00534547">
        <w:rPr>
          <w:rFonts w:eastAsia="Batang"/>
          <w:lang w:eastAsia="ko-KR"/>
        </w:rPr>
        <w:t xml:space="preserve"> on fundamental freedoms, economic and social rights, and the administration of justice, including in the context of </w:t>
      </w:r>
      <w:r>
        <w:rPr>
          <w:rFonts w:eastAsia="Batang"/>
          <w:lang w:eastAsia="ko-KR"/>
        </w:rPr>
        <w:t>the coronavirus disease (</w:t>
      </w:r>
      <w:r w:rsidRPr="00534547">
        <w:rPr>
          <w:rFonts w:eastAsia="Batang"/>
          <w:lang w:eastAsia="ko-KR"/>
        </w:rPr>
        <w:t>COVID-19</w:t>
      </w:r>
      <w:r>
        <w:rPr>
          <w:rFonts w:eastAsia="Batang"/>
          <w:lang w:eastAsia="ko-KR"/>
        </w:rPr>
        <w:t>) pandemic.</w:t>
      </w:r>
      <w:r w:rsidRPr="00534547">
        <w:rPr>
          <w:rFonts w:eastAsia="Batang"/>
          <w:lang w:eastAsia="ko-KR"/>
        </w:rPr>
        <w:t xml:space="preserve"> </w:t>
      </w:r>
      <w:r>
        <w:rPr>
          <w:rFonts w:eastAsia="Batang"/>
          <w:lang w:eastAsia="ko-KR"/>
        </w:rPr>
        <w:t>It</w:t>
      </w:r>
      <w:r w:rsidRPr="00534547">
        <w:rPr>
          <w:rFonts w:eastAsia="Batang"/>
          <w:lang w:eastAsia="ko-KR"/>
        </w:rPr>
        <w:t xml:space="preserve"> continued to support the United Nations </w:t>
      </w:r>
      <w:r>
        <w:rPr>
          <w:rFonts w:eastAsia="Batang"/>
          <w:lang w:eastAsia="ko-KR"/>
        </w:rPr>
        <w:t>c</w:t>
      </w:r>
      <w:r w:rsidRPr="00534547">
        <w:rPr>
          <w:rFonts w:eastAsia="Batang"/>
          <w:lang w:eastAsia="ko-KR"/>
        </w:rPr>
        <w:t xml:space="preserve">ountry </w:t>
      </w:r>
      <w:r>
        <w:rPr>
          <w:rFonts w:eastAsia="Batang"/>
          <w:lang w:eastAsia="ko-KR"/>
        </w:rPr>
        <w:t>t</w:t>
      </w:r>
      <w:r w:rsidRPr="00534547">
        <w:rPr>
          <w:rFonts w:eastAsia="Batang"/>
          <w:lang w:eastAsia="ko-KR"/>
        </w:rPr>
        <w:t xml:space="preserve">eam in Cambodia. </w:t>
      </w:r>
    </w:p>
    <w:p w14:paraId="543769FB" w14:textId="77777777" w:rsidR="00657C1B" w:rsidRDefault="00657C1B" w:rsidP="00657C1B">
      <w:pPr>
        <w:pStyle w:val="SingleTxtG"/>
        <w:rPr>
          <w:rFonts w:eastAsia="Batang"/>
          <w:lang w:eastAsia="ko-KR"/>
        </w:rPr>
      </w:pPr>
      <w:r>
        <w:rPr>
          <w:rFonts w:eastAsia="Batang"/>
          <w:lang w:eastAsia="ko-KR"/>
        </w:rPr>
        <w:t>3.</w:t>
      </w:r>
      <w:r>
        <w:rPr>
          <w:rFonts w:eastAsia="Batang"/>
          <w:lang w:eastAsia="ko-KR"/>
        </w:rPr>
        <w:tab/>
      </w:r>
      <w:r w:rsidRPr="00534547">
        <w:rPr>
          <w:rFonts w:eastAsia="Batang"/>
          <w:lang w:eastAsia="ko-KR"/>
        </w:rPr>
        <w:t>In August 2020, independent consultants carried out an evaluation of the OHCHR country programme in Cambodia</w:t>
      </w:r>
      <w:r w:rsidRPr="00E376F9">
        <w:rPr>
          <w:rStyle w:val="FootnoteReference"/>
        </w:rPr>
        <w:footnoteReference w:id="3"/>
      </w:r>
      <w:r w:rsidRPr="00534547">
        <w:rPr>
          <w:rFonts w:eastAsia="Batang"/>
          <w:lang w:eastAsia="ko-KR"/>
        </w:rPr>
        <w:t xml:space="preserve"> </w:t>
      </w:r>
      <w:r>
        <w:rPr>
          <w:rFonts w:eastAsia="Batang"/>
          <w:lang w:eastAsia="ko-KR"/>
        </w:rPr>
        <w:t xml:space="preserve">and </w:t>
      </w:r>
      <w:r w:rsidRPr="00534547">
        <w:rPr>
          <w:rFonts w:eastAsia="Batang"/>
          <w:lang w:eastAsia="ko-KR"/>
        </w:rPr>
        <w:t xml:space="preserve">found that </w:t>
      </w:r>
      <w:r>
        <w:rPr>
          <w:rFonts w:eastAsia="Batang"/>
          <w:lang w:eastAsia="ko-KR"/>
        </w:rPr>
        <w:t xml:space="preserve">while </w:t>
      </w:r>
      <w:r w:rsidRPr="00534547">
        <w:rPr>
          <w:rFonts w:eastAsia="Batang"/>
          <w:lang w:eastAsia="ko-KR"/>
        </w:rPr>
        <w:t xml:space="preserve">the programme </w:t>
      </w:r>
      <w:r>
        <w:rPr>
          <w:rFonts w:eastAsia="Batang"/>
          <w:lang w:eastAsia="ko-KR"/>
        </w:rPr>
        <w:t>was</w:t>
      </w:r>
      <w:r w:rsidRPr="00534547">
        <w:rPr>
          <w:rFonts w:eastAsia="Batang"/>
          <w:lang w:eastAsia="ko-KR"/>
        </w:rPr>
        <w:t xml:space="preserve"> highly relevant changes </w:t>
      </w:r>
      <w:r>
        <w:rPr>
          <w:rFonts w:eastAsia="Batang"/>
          <w:lang w:eastAsia="ko-KR"/>
        </w:rPr>
        <w:t xml:space="preserve">should be made </w:t>
      </w:r>
      <w:r w:rsidRPr="00534547">
        <w:rPr>
          <w:rFonts w:eastAsia="Batang"/>
          <w:lang w:eastAsia="ko-KR"/>
        </w:rPr>
        <w:t>to ensure greater sustainability and impact. In line with the recommendations</w:t>
      </w:r>
      <w:r>
        <w:rPr>
          <w:rFonts w:eastAsia="Batang"/>
          <w:lang w:eastAsia="ko-KR"/>
        </w:rPr>
        <w:t xml:space="preserve"> contained in the report on the evaluation</w:t>
      </w:r>
      <w:r w:rsidRPr="00534547">
        <w:rPr>
          <w:rFonts w:eastAsia="Batang"/>
          <w:lang w:eastAsia="ko-KR"/>
        </w:rPr>
        <w:t xml:space="preserve">, the </w:t>
      </w:r>
      <w:r>
        <w:rPr>
          <w:rFonts w:eastAsia="Batang"/>
          <w:lang w:eastAsia="ko-KR"/>
        </w:rPr>
        <w:t>c</w:t>
      </w:r>
      <w:r w:rsidRPr="00534547">
        <w:rPr>
          <w:rFonts w:eastAsia="Batang"/>
          <w:lang w:eastAsia="ko-KR"/>
        </w:rPr>
        <w:t xml:space="preserve">ountry </w:t>
      </w:r>
      <w:r>
        <w:rPr>
          <w:rFonts w:eastAsia="Batang"/>
          <w:lang w:eastAsia="ko-KR"/>
        </w:rPr>
        <w:t>o</w:t>
      </w:r>
      <w:r w:rsidRPr="00534547">
        <w:rPr>
          <w:rFonts w:eastAsia="Batang"/>
          <w:lang w:eastAsia="ko-KR"/>
        </w:rPr>
        <w:t>ffice has begun to adjust its structure and program</w:t>
      </w:r>
      <w:r>
        <w:rPr>
          <w:rFonts w:eastAsia="Batang"/>
          <w:lang w:eastAsia="ko-KR"/>
        </w:rPr>
        <w:t>me</w:t>
      </w:r>
      <w:r w:rsidRPr="00534547">
        <w:rPr>
          <w:rFonts w:eastAsia="Batang"/>
          <w:lang w:eastAsia="ko-KR"/>
        </w:rPr>
        <w:t>s to be more financially sustainable and increase capacity to deliver services</w:t>
      </w:r>
      <w:r>
        <w:rPr>
          <w:rFonts w:eastAsia="Batang"/>
          <w:lang w:eastAsia="ko-KR"/>
        </w:rPr>
        <w:t>.</w:t>
      </w:r>
    </w:p>
    <w:p w14:paraId="6CE993DA" w14:textId="77777777" w:rsidR="00657C1B" w:rsidRDefault="00657C1B" w:rsidP="00657C1B">
      <w:pPr>
        <w:pStyle w:val="HChG"/>
        <w:rPr>
          <w:rFonts w:eastAsia="Calibri"/>
          <w:lang w:bidi="km-KH"/>
        </w:rPr>
      </w:pPr>
      <w:r>
        <w:rPr>
          <w:rFonts w:eastAsia="Calibri"/>
          <w:lang w:bidi="km-KH"/>
        </w:rPr>
        <w:tab/>
        <w:t>II.</w:t>
      </w:r>
      <w:r>
        <w:rPr>
          <w:rFonts w:eastAsia="Calibri"/>
          <w:lang w:bidi="km-KH"/>
        </w:rPr>
        <w:tab/>
        <w:t>Context</w:t>
      </w:r>
    </w:p>
    <w:p w14:paraId="57DA11F2" w14:textId="77777777" w:rsidR="00657C1B" w:rsidRPr="00BE5F5F" w:rsidRDefault="00657C1B" w:rsidP="00657C1B">
      <w:pPr>
        <w:pStyle w:val="SingleTxtG"/>
        <w:rPr>
          <w:lang w:bidi="km-KH"/>
        </w:rPr>
      </w:pPr>
      <w:r>
        <w:rPr>
          <w:lang w:bidi="km-KH"/>
        </w:rPr>
        <w:t>4.</w:t>
      </w:r>
      <w:r>
        <w:rPr>
          <w:lang w:bidi="km-KH"/>
        </w:rPr>
        <w:tab/>
      </w:r>
      <w:r w:rsidRPr="00BE5F5F">
        <w:rPr>
          <w:lang w:bidi="km-KH"/>
        </w:rPr>
        <w:t xml:space="preserve">The defining </w:t>
      </w:r>
      <w:r>
        <w:rPr>
          <w:lang w:bidi="km-KH"/>
        </w:rPr>
        <w:t>feature</w:t>
      </w:r>
      <w:r w:rsidRPr="00BE5F5F">
        <w:rPr>
          <w:lang w:bidi="km-KH"/>
        </w:rPr>
        <w:t xml:space="preserve"> of the reporting period was the surge in COVID-19 cases </w:t>
      </w:r>
      <w:r>
        <w:rPr>
          <w:lang w:bidi="km-KH"/>
        </w:rPr>
        <w:t>starting in</w:t>
      </w:r>
      <w:r w:rsidRPr="00BE5F5F">
        <w:rPr>
          <w:lang w:bidi="km-KH"/>
        </w:rPr>
        <w:t xml:space="preserve"> February 2021. </w:t>
      </w:r>
      <w:r>
        <w:rPr>
          <w:lang w:bidi="km-KH"/>
        </w:rPr>
        <w:t xml:space="preserve">Up until then, </w:t>
      </w:r>
      <w:r w:rsidRPr="00BE5F5F">
        <w:rPr>
          <w:lang w:bidi="km-KH"/>
        </w:rPr>
        <w:t xml:space="preserve">Cambodia </w:t>
      </w:r>
      <w:r>
        <w:rPr>
          <w:lang w:bidi="km-KH"/>
        </w:rPr>
        <w:t>had been</w:t>
      </w:r>
      <w:r w:rsidRPr="00BE5F5F">
        <w:rPr>
          <w:lang w:bidi="km-KH"/>
        </w:rPr>
        <w:t xml:space="preserve"> largely </w:t>
      </w:r>
      <w:r>
        <w:rPr>
          <w:lang w:bidi="km-KH"/>
        </w:rPr>
        <w:t>untouched</w:t>
      </w:r>
      <w:r w:rsidRPr="00BE5F5F">
        <w:rPr>
          <w:lang w:bidi="km-KH"/>
        </w:rPr>
        <w:t xml:space="preserve"> by the virus</w:t>
      </w:r>
      <w:r>
        <w:rPr>
          <w:lang w:bidi="km-KH"/>
        </w:rPr>
        <w:t>.</w:t>
      </w:r>
      <w:r w:rsidRPr="00BE5F5F">
        <w:rPr>
          <w:lang w:bidi="km-KH"/>
        </w:rPr>
        <w:t xml:space="preserve"> </w:t>
      </w:r>
      <w:r>
        <w:rPr>
          <w:lang w:bidi="km-KH"/>
        </w:rPr>
        <w:t>I</w:t>
      </w:r>
      <w:r w:rsidRPr="00BE5F5F">
        <w:rPr>
          <w:lang w:bidi="km-KH"/>
        </w:rPr>
        <w:t>t</w:t>
      </w:r>
      <w:r>
        <w:rPr>
          <w:lang w:bidi="km-KH"/>
        </w:rPr>
        <w:t xml:space="preserve"> then</w:t>
      </w:r>
      <w:r w:rsidRPr="00BE5F5F">
        <w:rPr>
          <w:lang w:bidi="km-KH"/>
        </w:rPr>
        <w:t xml:space="preserve"> spread quickly throughout the country, leading to hundreds of new cases each day by the end of April. As in </w:t>
      </w:r>
      <w:r>
        <w:rPr>
          <w:lang w:bidi="km-KH"/>
        </w:rPr>
        <w:t>many other</w:t>
      </w:r>
      <w:r w:rsidRPr="00BE5F5F">
        <w:rPr>
          <w:lang w:bidi="km-KH"/>
        </w:rPr>
        <w:t xml:space="preserve"> countries, the pandemic exposed existing weaknesses in governance, the health system and social protection. </w:t>
      </w:r>
      <w:r w:rsidRPr="00680DA6">
        <w:rPr>
          <w:lang w:bidi="km-KH"/>
        </w:rPr>
        <w:t xml:space="preserve">In Cambodia, where significant strides have been made in recent years in terms of poverty reduction but </w:t>
      </w:r>
      <w:r w:rsidRPr="002A5D60">
        <w:rPr>
          <w:lang w:bidi="km-KH"/>
        </w:rPr>
        <w:t xml:space="preserve">where </w:t>
      </w:r>
      <w:r>
        <w:rPr>
          <w:lang w:bidi="km-KH"/>
        </w:rPr>
        <w:t>13.5</w:t>
      </w:r>
      <w:r w:rsidRPr="002A5D60">
        <w:rPr>
          <w:lang w:bidi="km-KH"/>
        </w:rPr>
        <w:t xml:space="preserve"> per cent of the population still live below the national poverty line, lockdown measures had a severe impact on large portions of the population.</w:t>
      </w:r>
      <w:r w:rsidRPr="00E376F9">
        <w:rPr>
          <w:rStyle w:val="FootnoteReference"/>
        </w:rPr>
        <w:footnoteReference w:id="4"/>
      </w:r>
      <w:r w:rsidRPr="002A5D60">
        <w:rPr>
          <w:lang w:bidi="km-KH"/>
        </w:rPr>
        <w:t xml:space="preserve"> A joint study carried out</w:t>
      </w:r>
      <w:r>
        <w:rPr>
          <w:lang w:bidi="km-KH"/>
        </w:rPr>
        <w:t xml:space="preserve"> by non-governmental organizations</w:t>
      </w:r>
      <w:r w:rsidRPr="00BE5F5F">
        <w:rPr>
          <w:lang w:bidi="km-KH"/>
        </w:rPr>
        <w:t xml:space="preserve"> </w:t>
      </w:r>
      <w:r>
        <w:rPr>
          <w:lang w:bidi="km-KH"/>
        </w:rPr>
        <w:t>in</w:t>
      </w:r>
      <w:r w:rsidRPr="00BE5F5F">
        <w:rPr>
          <w:lang w:bidi="km-KH"/>
        </w:rPr>
        <w:t xml:space="preserve"> Phnom Penh two weeks into the </w:t>
      </w:r>
      <w:r w:rsidRPr="5BBC9B7B">
        <w:rPr>
          <w:lang w:bidi="km-KH"/>
        </w:rPr>
        <w:t xml:space="preserve">lockdown in April 2021 </w:t>
      </w:r>
      <w:r w:rsidRPr="00BE5F5F">
        <w:rPr>
          <w:lang w:bidi="km-KH"/>
        </w:rPr>
        <w:t>found that 77 per</w:t>
      </w:r>
      <w:r>
        <w:rPr>
          <w:lang w:bidi="km-KH"/>
        </w:rPr>
        <w:t xml:space="preserve"> </w:t>
      </w:r>
      <w:r w:rsidRPr="00BE5F5F">
        <w:rPr>
          <w:lang w:bidi="km-KH"/>
        </w:rPr>
        <w:t xml:space="preserve">cent of respondents </w:t>
      </w:r>
      <w:r>
        <w:rPr>
          <w:lang w:bidi="km-KH"/>
        </w:rPr>
        <w:t xml:space="preserve">reported having </w:t>
      </w:r>
      <w:r w:rsidRPr="00BE5F5F">
        <w:rPr>
          <w:lang w:bidi="km-KH"/>
        </w:rPr>
        <w:t>had insufficient food</w:t>
      </w:r>
      <w:r>
        <w:rPr>
          <w:lang w:bidi="km-KH"/>
        </w:rPr>
        <w:t xml:space="preserve"> during the seven days prior to the survey</w:t>
      </w:r>
      <w:r w:rsidRPr="00BE5F5F">
        <w:rPr>
          <w:lang w:bidi="km-KH"/>
        </w:rPr>
        <w:t>.</w:t>
      </w:r>
      <w:r w:rsidRPr="00E376F9">
        <w:rPr>
          <w:rStyle w:val="FootnoteReference"/>
        </w:rPr>
        <w:footnoteReference w:id="5"/>
      </w:r>
      <w:r w:rsidRPr="00BE5F5F">
        <w:rPr>
          <w:lang w:bidi="km-KH"/>
        </w:rPr>
        <w:t xml:space="preserve"> </w:t>
      </w:r>
    </w:p>
    <w:p w14:paraId="63EF6593" w14:textId="0B616B5B" w:rsidR="00657C1B" w:rsidRPr="00BE5F5F" w:rsidRDefault="00657C1B" w:rsidP="00657C1B">
      <w:pPr>
        <w:pStyle w:val="SingleTxtG"/>
        <w:rPr>
          <w:lang w:bidi="km-KH"/>
        </w:rPr>
      </w:pPr>
      <w:r>
        <w:rPr>
          <w:lang w:bidi="km-KH"/>
        </w:rPr>
        <w:t>5.</w:t>
      </w:r>
      <w:r>
        <w:rPr>
          <w:lang w:bidi="km-KH"/>
        </w:rPr>
        <w:tab/>
      </w:r>
      <w:r w:rsidRPr="00BE5F5F">
        <w:rPr>
          <w:lang w:bidi="km-KH"/>
        </w:rPr>
        <w:t>The central pillar of the Government</w:t>
      </w:r>
      <w:r w:rsidR="00BC48DA">
        <w:rPr>
          <w:lang w:bidi="km-KH"/>
        </w:rPr>
        <w:t>’</w:t>
      </w:r>
      <w:r w:rsidRPr="00BE5F5F">
        <w:rPr>
          <w:lang w:bidi="km-KH"/>
        </w:rPr>
        <w:t>s COVID-</w:t>
      </w:r>
      <w:r>
        <w:rPr>
          <w:lang w:bidi="km-KH"/>
        </w:rPr>
        <w:t xml:space="preserve">19 </w:t>
      </w:r>
      <w:r w:rsidRPr="00BE5F5F">
        <w:rPr>
          <w:lang w:bidi="km-KH"/>
        </w:rPr>
        <w:t xml:space="preserve">response has been its vaccination roll-out, with </w:t>
      </w:r>
      <w:r>
        <w:rPr>
          <w:lang w:bidi="km-KH"/>
        </w:rPr>
        <w:t xml:space="preserve">3 million </w:t>
      </w:r>
      <w:r w:rsidRPr="00BE5F5F">
        <w:rPr>
          <w:lang w:bidi="km-KH"/>
        </w:rPr>
        <w:t>doses administ</w:t>
      </w:r>
      <w:r>
        <w:rPr>
          <w:lang w:bidi="km-KH"/>
        </w:rPr>
        <w:t>er</w:t>
      </w:r>
      <w:r w:rsidRPr="00BE5F5F">
        <w:rPr>
          <w:lang w:bidi="km-KH"/>
        </w:rPr>
        <w:t>ed by 14 May 2021.</w:t>
      </w:r>
      <w:r w:rsidRPr="00E376F9">
        <w:rPr>
          <w:rStyle w:val="FootnoteReference"/>
        </w:rPr>
        <w:footnoteReference w:id="6"/>
      </w:r>
      <w:r w:rsidRPr="00BE5F5F">
        <w:rPr>
          <w:lang w:bidi="km-KH"/>
        </w:rPr>
        <w:t xml:space="preserve"> </w:t>
      </w:r>
      <w:r w:rsidRPr="00680DA6">
        <w:rPr>
          <w:lang w:bidi="km-KH"/>
        </w:rPr>
        <w:t>While this is commendable, OHCHR is concerned that the roll-out has been on a non-voluntary basis</w:t>
      </w:r>
      <w:r>
        <w:rPr>
          <w:lang w:bidi="km-KH"/>
        </w:rPr>
        <w:t xml:space="preserve"> and</w:t>
      </w:r>
      <w:r w:rsidRPr="00680DA6">
        <w:rPr>
          <w:lang w:bidi="km-KH"/>
        </w:rPr>
        <w:t xml:space="preserve"> therefore inconsistent with international human rights norms and standards, although the Government </w:t>
      </w:r>
      <w:r>
        <w:rPr>
          <w:lang w:bidi="km-KH"/>
        </w:rPr>
        <w:t xml:space="preserve">has </w:t>
      </w:r>
      <w:r w:rsidRPr="00680DA6">
        <w:rPr>
          <w:lang w:bidi="km-KH"/>
        </w:rPr>
        <w:t xml:space="preserve">stated in its comments </w:t>
      </w:r>
      <w:r>
        <w:rPr>
          <w:lang w:bidi="km-KH"/>
        </w:rPr>
        <w:t>on</w:t>
      </w:r>
      <w:r w:rsidRPr="00680DA6">
        <w:rPr>
          <w:lang w:bidi="km-KH"/>
        </w:rPr>
        <w:t xml:space="preserve"> </w:t>
      </w:r>
      <w:r>
        <w:rPr>
          <w:lang w:bidi="km-KH"/>
        </w:rPr>
        <w:t>an advance version of the present</w:t>
      </w:r>
      <w:r w:rsidRPr="00680DA6">
        <w:rPr>
          <w:lang w:bidi="km-KH"/>
        </w:rPr>
        <w:t xml:space="preserve"> report that vaccinations are only mandatory for civil servants</w:t>
      </w:r>
      <w:r>
        <w:rPr>
          <w:lang w:bidi="km-KH"/>
        </w:rPr>
        <w:t xml:space="preserve"> and members of the</w:t>
      </w:r>
      <w:r w:rsidRPr="00680DA6">
        <w:rPr>
          <w:lang w:bidi="km-KH"/>
        </w:rPr>
        <w:t xml:space="preserve"> armed forces and </w:t>
      </w:r>
      <w:r>
        <w:rPr>
          <w:lang w:bidi="km-KH"/>
        </w:rPr>
        <w:t xml:space="preserve">the </w:t>
      </w:r>
      <w:r w:rsidRPr="00680DA6">
        <w:rPr>
          <w:lang w:bidi="km-KH"/>
        </w:rPr>
        <w:t>military</w:t>
      </w:r>
      <w:r w:rsidRPr="00BE5F5F">
        <w:rPr>
          <w:lang w:bidi="km-KH"/>
        </w:rPr>
        <w:t xml:space="preserve">. In response to </w:t>
      </w:r>
      <w:r>
        <w:rPr>
          <w:lang w:bidi="km-KH"/>
        </w:rPr>
        <w:t xml:space="preserve">the </w:t>
      </w:r>
      <w:r w:rsidRPr="00BE5F5F">
        <w:rPr>
          <w:lang w:bidi="km-KH"/>
        </w:rPr>
        <w:t xml:space="preserve">socioeconomic hardship caused by the </w:t>
      </w:r>
      <w:r>
        <w:rPr>
          <w:lang w:bidi="km-KH"/>
        </w:rPr>
        <w:t xml:space="preserve">spread of the </w:t>
      </w:r>
      <w:r w:rsidRPr="00BE5F5F">
        <w:rPr>
          <w:lang w:bidi="km-KH"/>
        </w:rPr>
        <w:t>virus, in 2020</w:t>
      </w:r>
      <w:r>
        <w:rPr>
          <w:lang w:bidi="km-KH"/>
        </w:rPr>
        <w:t xml:space="preserve"> </w:t>
      </w:r>
      <w:r w:rsidRPr="00BE5F5F">
        <w:rPr>
          <w:lang w:bidi="km-KH"/>
        </w:rPr>
        <w:t>the Government introduced a plan consist</w:t>
      </w:r>
      <w:r>
        <w:rPr>
          <w:lang w:bidi="km-KH"/>
        </w:rPr>
        <w:t xml:space="preserve">ing </w:t>
      </w:r>
      <w:r w:rsidRPr="00BE5F5F">
        <w:rPr>
          <w:lang w:bidi="km-KH"/>
        </w:rPr>
        <w:t>of seven stimulus measures, includ</w:t>
      </w:r>
      <w:r>
        <w:rPr>
          <w:lang w:bidi="km-KH"/>
        </w:rPr>
        <w:t>ing</w:t>
      </w:r>
      <w:r w:rsidRPr="00BE5F5F">
        <w:rPr>
          <w:lang w:bidi="km-KH"/>
        </w:rPr>
        <w:t xml:space="preserve"> cash transfers</w:t>
      </w:r>
      <w:r>
        <w:rPr>
          <w:lang w:bidi="km-KH"/>
        </w:rPr>
        <w:t>,</w:t>
      </w:r>
      <w:r w:rsidRPr="00BE5F5F">
        <w:rPr>
          <w:lang w:bidi="km-KH"/>
        </w:rPr>
        <w:t xml:space="preserve"> </w:t>
      </w:r>
      <w:r>
        <w:rPr>
          <w:lang w:bidi="km-KH"/>
        </w:rPr>
        <w:t>which</w:t>
      </w:r>
      <w:r w:rsidRPr="00BE5F5F">
        <w:rPr>
          <w:lang w:bidi="km-KH"/>
        </w:rPr>
        <w:t xml:space="preserve"> ensured a level of social protection to 700,000 of the poorest and most vulnerable households.</w:t>
      </w:r>
      <w:r w:rsidRPr="00E376F9">
        <w:rPr>
          <w:rStyle w:val="FootnoteReference"/>
        </w:rPr>
        <w:footnoteReference w:id="7"/>
      </w:r>
      <w:r w:rsidRPr="00BE5F5F">
        <w:rPr>
          <w:lang w:bidi="km-KH"/>
        </w:rPr>
        <w:t xml:space="preserve"> An economic recovery strategy</w:t>
      </w:r>
      <w:r>
        <w:rPr>
          <w:lang w:bidi="km-KH"/>
        </w:rPr>
        <w:t xml:space="preserve"> that took into consideration</w:t>
      </w:r>
      <w:r w:rsidRPr="00BE5F5F">
        <w:rPr>
          <w:lang w:bidi="km-KH"/>
        </w:rPr>
        <w:t xml:space="preserve"> both the </w:t>
      </w:r>
      <w:r w:rsidRPr="00BE5F5F">
        <w:rPr>
          <w:lang w:bidi="km-KH"/>
        </w:rPr>
        <w:lastRenderedPageBreak/>
        <w:t>short-term response and longer-term issues</w:t>
      </w:r>
      <w:r>
        <w:rPr>
          <w:lang w:bidi="km-KH"/>
        </w:rPr>
        <w:t>,</w:t>
      </w:r>
      <w:r w:rsidRPr="00BE5F5F">
        <w:rPr>
          <w:lang w:bidi="km-KH"/>
        </w:rPr>
        <w:t xml:space="preserve"> including social protection, was announced in April 2021 by the Ministry of Economy and Finance. To mitigate the adverse impact on garment workers, in 2020</w:t>
      </w:r>
      <w:r>
        <w:rPr>
          <w:lang w:bidi="km-KH"/>
        </w:rPr>
        <w:t xml:space="preserve"> </w:t>
      </w:r>
      <w:r w:rsidRPr="00BE5F5F">
        <w:rPr>
          <w:lang w:bidi="km-KH"/>
        </w:rPr>
        <w:t xml:space="preserve">the Government provided $40 </w:t>
      </w:r>
      <w:r>
        <w:rPr>
          <w:lang w:bidi="km-KH"/>
        </w:rPr>
        <w:t>to each</w:t>
      </w:r>
      <w:r w:rsidRPr="3E855A9F">
        <w:rPr>
          <w:lang w:bidi="km-KH"/>
        </w:rPr>
        <w:t xml:space="preserve"> person</w:t>
      </w:r>
      <w:r w:rsidRPr="00BE5F5F">
        <w:rPr>
          <w:lang w:bidi="km-KH"/>
        </w:rPr>
        <w:t xml:space="preserve"> per month </w:t>
      </w:r>
      <w:r>
        <w:rPr>
          <w:lang w:bidi="km-KH"/>
        </w:rPr>
        <w:t xml:space="preserve">in </w:t>
      </w:r>
      <w:r w:rsidRPr="00BE5F5F">
        <w:rPr>
          <w:lang w:bidi="km-KH"/>
        </w:rPr>
        <w:t xml:space="preserve">cash assistance. The Government </w:t>
      </w:r>
      <w:r>
        <w:rPr>
          <w:lang w:bidi="km-KH"/>
        </w:rPr>
        <w:t xml:space="preserve">has </w:t>
      </w:r>
      <w:r w:rsidRPr="00BE5F5F">
        <w:rPr>
          <w:lang w:bidi="km-KH"/>
        </w:rPr>
        <w:t xml:space="preserve">also recently approved a one-time post-lockdown emergency cash </w:t>
      </w:r>
      <w:r>
        <w:rPr>
          <w:lang w:bidi="km-KH"/>
        </w:rPr>
        <w:t>payment to</w:t>
      </w:r>
      <w:r w:rsidRPr="00BE5F5F">
        <w:rPr>
          <w:lang w:bidi="km-KH"/>
        </w:rPr>
        <w:t xml:space="preserve"> garment </w:t>
      </w:r>
      <w:r w:rsidRPr="3E855A9F">
        <w:rPr>
          <w:lang w:bidi="km-KH"/>
        </w:rPr>
        <w:t>workers.</w:t>
      </w:r>
    </w:p>
    <w:p w14:paraId="7218B17C" w14:textId="0E73C91D" w:rsidR="00657C1B" w:rsidRPr="00BE5F5F" w:rsidRDefault="00657C1B" w:rsidP="00657C1B">
      <w:pPr>
        <w:pStyle w:val="SingleTxtG"/>
        <w:rPr>
          <w:lang w:bidi="km-KH"/>
        </w:rPr>
      </w:pPr>
      <w:r>
        <w:rPr>
          <w:lang w:bidi="km-KH"/>
        </w:rPr>
        <w:t>6.</w:t>
      </w:r>
      <w:r>
        <w:rPr>
          <w:lang w:bidi="km-KH"/>
        </w:rPr>
        <w:tab/>
      </w:r>
      <w:r w:rsidRPr="2735FB0C">
        <w:rPr>
          <w:lang w:bidi="km-KH"/>
        </w:rPr>
        <w:t>The Government</w:t>
      </w:r>
      <w:r w:rsidR="00BC48DA">
        <w:rPr>
          <w:lang w:bidi="km-KH"/>
        </w:rPr>
        <w:t>’</w:t>
      </w:r>
      <w:r w:rsidRPr="2735FB0C">
        <w:rPr>
          <w:lang w:bidi="km-KH"/>
        </w:rPr>
        <w:t xml:space="preserve">s response has also relied heavily on </w:t>
      </w:r>
      <w:r>
        <w:rPr>
          <w:lang w:bidi="km-KH"/>
        </w:rPr>
        <w:t xml:space="preserve">the enforcement </w:t>
      </w:r>
      <w:r w:rsidRPr="2735FB0C">
        <w:rPr>
          <w:lang w:bidi="km-KH"/>
        </w:rPr>
        <w:t xml:space="preserve">of criminal law. </w:t>
      </w:r>
      <w:r w:rsidRPr="00BE5F5F">
        <w:rPr>
          <w:lang w:bidi="km-KH"/>
        </w:rPr>
        <w:t xml:space="preserve">The Government </w:t>
      </w:r>
      <w:r>
        <w:rPr>
          <w:lang w:bidi="km-KH"/>
        </w:rPr>
        <w:t>adopted</w:t>
      </w:r>
      <w:r w:rsidRPr="00BE5F5F">
        <w:rPr>
          <w:lang w:bidi="km-KH"/>
        </w:rPr>
        <w:t xml:space="preserve"> a new </w:t>
      </w:r>
      <w:r>
        <w:rPr>
          <w:lang w:bidi="km-KH"/>
        </w:rPr>
        <w:t>l</w:t>
      </w:r>
      <w:r w:rsidRPr="00BE5F5F">
        <w:rPr>
          <w:lang w:bidi="km-KH"/>
        </w:rPr>
        <w:t xml:space="preserve">aw on </w:t>
      </w:r>
      <w:r>
        <w:rPr>
          <w:lang w:bidi="km-KH"/>
        </w:rPr>
        <w:t>p</w:t>
      </w:r>
      <w:r w:rsidRPr="00BE5F5F">
        <w:rPr>
          <w:lang w:bidi="km-KH"/>
        </w:rPr>
        <w:t xml:space="preserve">reventive </w:t>
      </w:r>
      <w:r>
        <w:rPr>
          <w:lang w:bidi="km-KH"/>
        </w:rPr>
        <w:t>m</w:t>
      </w:r>
      <w:r w:rsidRPr="00BE5F5F">
        <w:rPr>
          <w:lang w:bidi="km-KH"/>
        </w:rPr>
        <w:t xml:space="preserve">easures </w:t>
      </w:r>
      <w:r>
        <w:rPr>
          <w:lang w:bidi="km-KH"/>
        </w:rPr>
        <w:t>a</w:t>
      </w:r>
      <w:r w:rsidRPr="00BE5F5F">
        <w:rPr>
          <w:lang w:bidi="km-KH"/>
        </w:rPr>
        <w:t xml:space="preserve">gainst the </w:t>
      </w:r>
      <w:r>
        <w:rPr>
          <w:lang w:bidi="km-KH"/>
        </w:rPr>
        <w:t>s</w:t>
      </w:r>
      <w:r w:rsidRPr="00BE5F5F">
        <w:rPr>
          <w:lang w:bidi="km-KH"/>
        </w:rPr>
        <w:t xml:space="preserve">pread of COVID-19 and </w:t>
      </w:r>
      <w:r>
        <w:rPr>
          <w:lang w:bidi="km-KH"/>
        </w:rPr>
        <w:t>o</w:t>
      </w:r>
      <w:r w:rsidRPr="00BE5F5F">
        <w:rPr>
          <w:lang w:bidi="km-KH"/>
        </w:rPr>
        <w:t xml:space="preserve">ther </w:t>
      </w:r>
      <w:r>
        <w:rPr>
          <w:lang w:bidi="km-KH"/>
        </w:rPr>
        <w:t>s</w:t>
      </w:r>
      <w:r w:rsidRPr="00BE5F5F">
        <w:rPr>
          <w:lang w:bidi="km-KH"/>
        </w:rPr>
        <w:t>evere</w:t>
      </w:r>
      <w:r>
        <w:rPr>
          <w:lang w:bidi="km-KH"/>
        </w:rPr>
        <w:t>,</w:t>
      </w:r>
      <w:r w:rsidRPr="00BE5F5F">
        <w:rPr>
          <w:lang w:bidi="km-KH"/>
        </w:rPr>
        <w:t xml:space="preserve"> </w:t>
      </w:r>
      <w:r>
        <w:rPr>
          <w:lang w:bidi="km-KH"/>
        </w:rPr>
        <w:t>d</w:t>
      </w:r>
      <w:r w:rsidRPr="00BE5F5F">
        <w:rPr>
          <w:lang w:bidi="km-KH"/>
        </w:rPr>
        <w:t xml:space="preserve">angerous and </w:t>
      </w:r>
      <w:r>
        <w:rPr>
          <w:lang w:bidi="km-KH"/>
        </w:rPr>
        <w:t>c</w:t>
      </w:r>
      <w:r w:rsidRPr="00BE5F5F">
        <w:rPr>
          <w:lang w:bidi="km-KH"/>
        </w:rPr>
        <w:t xml:space="preserve">ontagious </w:t>
      </w:r>
      <w:r>
        <w:rPr>
          <w:lang w:bidi="km-KH"/>
        </w:rPr>
        <w:t>d</w:t>
      </w:r>
      <w:r w:rsidRPr="00BE5F5F">
        <w:rPr>
          <w:lang w:bidi="km-KH"/>
        </w:rPr>
        <w:t>iseases (</w:t>
      </w:r>
      <w:r>
        <w:rPr>
          <w:lang w:bidi="km-KH"/>
        </w:rPr>
        <w:t xml:space="preserve">known as </w:t>
      </w:r>
      <w:r w:rsidR="00BC48DA">
        <w:rPr>
          <w:lang w:bidi="km-KH"/>
        </w:rPr>
        <w:t>“</w:t>
      </w:r>
      <w:r w:rsidRPr="00BE5F5F">
        <w:rPr>
          <w:lang w:bidi="km-KH"/>
        </w:rPr>
        <w:t xml:space="preserve">the COVID-19 </w:t>
      </w:r>
      <w:r>
        <w:rPr>
          <w:lang w:bidi="km-KH"/>
        </w:rPr>
        <w:t>l</w:t>
      </w:r>
      <w:r w:rsidRPr="00BE5F5F">
        <w:rPr>
          <w:lang w:bidi="km-KH"/>
        </w:rPr>
        <w:t>aw</w:t>
      </w:r>
      <w:r w:rsidR="00BC48DA">
        <w:rPr>
          <w:lang w:bidi="km-KH"/>
        </w:rPr>
        <w:t>”</w:t>
      </w:r>
      <w:r w:rsidRPr="00BE5F5F">
        <w:rPr>
          <w:lang w:bidi="km-KH"/>
        </w:rPr>
        <w:t>)</w:t>
      </w:r>
      <w:r>
        <w:rPr>
          <w:lang w:bidi="km-KH"/>
        </w:rPr>
        <w:t>,</w:t>
      </w:r>
      <w:r w:rsidRPr="00BE5F5F">
        <w:rPr>
          <w:lang w:bidi="km-KH"/>
        </w:rPr>
        <w:t xml:space="preserve"> </w:t>
      </w:r>
      <w:r>
        <w:rPr>
          <w:lang w:bidi="km-KH"/>
        </w:rPr>
        <w:t xml:space="preserve">which came </w:t>
      </w:r>
      <w:r w:rsidRPr="00BE5F5F">
        <w:rPr>
          <w:lang w:bidi="km-KH"/>
        </w:rPr>
        <w:t>into force in March 2021</w:t>
      </w:r>
      <w:r>
        <w:rPr>
          <w:lang w:bidi="km-KH"/>
        </w:rPr>
        <w:t xml:space="preserve">, as well as </w:t>
      </w:r>
      <w:r w:rsidRPr="00BE5F5F">
        <w:rPr>
          <w:lang w:bidi="km-KH"/>
        </w:rPr>
        <w:t xml:space="preserve">a series of </w:t>
      </w:r>
      <w:r>
        <w:rPr>
          <w:lang w:bidi="km-KH"/>
        </w:rPr>
        <w:t>d</w:t>
      </w:r>
      <w:r w:rsidRPr="00BE5F5F">
        <w:rPr>
          <w:lang w:bidi="km-KH"/>
        </w:rPr>
        <w:t xml:space="preserve">ecrees </w:t>
      </w:r>
      <w:r>
        <w:rPr>
          <w:lang w:bidi="km-KH"/>
        </w:rPr>
        <w:t>giving the Government</w:t>
      </w:r>
      <w:r w:rsidRPr="00BE5F5F">
        <w:rPr>
          <w:lang w:bidi="km-KH"/>
        </w:rPr>
        <w:t xml:space="preserve"> sweeping powers</w:t>
      </w:r>
      <w:r>
        <w:rPr>
          <w:lang w:bidi="km-KH"/>
        </w:rPr>
        <w:t xml:space="preserve"> </w:t>
      </w:r>
      <w:r w:rsidRPr="00BE5F5F">
        <w:rPr>
          <w:lang w:bidi="km-KH"/>
        </w:rPr>
        <w:t>to combat the virus</w:t>
      </w:r>
      <w:r>
        <w:rPr>
          <w:lang w:bidi="km-KH"/>
        </w:rPr>
        <w:t>, including by establishing criminal offences that carry prison sentences of up to 20 years</w:t>
      </w:r>
      <w:r w:rsidRPr="00BE5F5F">
        <w:rPr>
          <w:lang w:bidi="km-KH"/>
        </w:rPr>
        <w:t>. In April 2021, the Prime Minister announced a lockdown in Phnom Penh</w:t>
      </w:r>
      <w:r>
        <w:rPr>
          <w:lang w:bidi="km-KH"/>
        </w:rPr>
        <w:t>.</w:t>
      </w:r>
      <w:r w:rsidRPr="00E376F9">
        <w:rPr>
          <w:rStyle w:val="FootnoteReference"/>
        </w:rPr>
        <w:footnoteReference w:id="8"/>
      </w:r>
      <w:r>
        <w:rPr>
          <w:lang w:bidi="km-KH"/>
        </w:rPr>
        <w:t xml:space="preserve"> Later,</w:t>
      </w:r>
      <w:r w:rsidRPr="00BE5F5F">
        <w:rPr>
          <w:lang w:bidi="km-KH"/>
        </w:rPr>
        <w:t xml:space="preserve"> the authorities mov</w:t>
      </w:r>
      <w:r>
        <w:rPr>
          <w:lang w:bidi="km-KH"/>
        </w:rPr>
        <w:t xml:space="preserve">ed </w:t>
      </w:r>
      <w:r w:rsidRPr="00BE5F5F">
        <w:rPr>
          <w:lang w:bidi="km-KH"/>
        </w:rPr>
        <w:t>to a colour-coded classification system outlining different levels of restrictions in different areas, depending on the caseload.</w:t>
      </w:r>
      <w:r>
        <w:rPr>
          <w:lang w:bidi="km-KH"/>
        </w:rPr>
        <w:t xml:space="preserve"> While lockdown measures were in place, </w:t>
      </w:r>
      <w:r w:rsidRPr="3E855A9F">
        <w:rPr>
          <w:lang w:bidi="km-KH"/>
        </w:rPr>
        <w:t>resulting in shortage of food, medicine</w:t>
      </w:r>
      <w:r>
        <w:rPr>
          <w:lang w:bidi="km-KH"/>
        </w:rPr>
        <w:t>s</w:t>
      </w:r>
      <w:r w:rsidRPr="3E855A9F">
        <w:rPr>
          <w:lang w:bidi="km-KH"/>
        </w:rPr>
        <w:t xml:space="preserve"> and other essential </w:t>
      </w:r>
      <w:r>
        <w:rPr>
          <w:lang w:bidi="km-KH"/>
        </w:rPr>
        <w:t>goods</w:t>
      </w:r>
      <w:r w:rsidRPr="3E855A9F">
        <w:rPr>
          <w:lang w:bidi="km-KH"/>
        </w:rPr>
        <w:t xml:space="preserve">, </w:t>
      </w:r>
      <w:r>
        <w:rPr>
          <w:lang w:bidi="km-KH"/>
        </w:rPr>
        <w:t>government o</w:t>
      </w:r>
      <w:r w:rsidRPr="00BE5F5F">
        <w:rPr>
          <w:lang w:bidi="km-KH"/>
        </w:rPr>
        <w:t>fficial</w:t>
      </w:r>
      <w:r>
        <w:rPr>
          <w:lang w:bidi="km-KH"/>
        </w:rPr>
        <w:t>s</w:t>
      </w:r>
      <w:r w:rsidRPr="00BE5F5F">
        <w:rPr>
          <w:lang w:bidi="km-KH"/>
        </w:rPr>
        <w:t xml:space="preserve"> restricted journalists from reporting from</w:t>
      </w:r>
      <w:r>
        <w:rPr>
          <w:lang w:bidi="km-KH"/>
        </w:rPr>
        <w:t xml:space="preserve"> the areas with the highest caseloads</w:t>
      </w:r>
      <w:r w:rsidRPr="3E855A9F">
        <w:rPr>
          <w:lang w:bidi="km-KH"/>
        </w:rPr>
        <w:t xml:space="preserve"> </w:t>
      </w:r>
      <w:r>
        <w:rPr>
          <w:lang w:bidi="km-KH"/>
        </w:rPr>
        <w:t>and under the most severe restrictions</w:t>
      </w:r>
      <w:r w:rsidRPr="3E855A9F">
        <w:rPr>
          <w:lang w:bidi="km-KH"/>
        </w:rPr>
        <w:t>.</w:t>
      </w:r>
      <w:r w:rsidRPr="00E376F9">
        <w:rPr>
          <w:rStyle w:val="FootnoteReference"/>
        </w:rPr>
        <w:footnoteReference w:id="9"/>
      </w:r>
      <w:r w:rsidRPr="00BE5F5F">
        <w:rPr>
          <w:lang w:bidi="km-KH"/>
        </w:rPr>
        <w:t xml:space="preserve"> Arbitrary detentions and physical attacks </w:t>
      </w:r>
      <w:r>
        <w:rPr>
          <w:lang w:bidi="km-KH"/>
        </w:rPr>
        <w:t xml:space="preserve">by unidentified men </w:t>
      </w:r>
      <w:r w:rsidRPr="00BE5F5F">
        <w:rPr>
          <w:lang w:bidi="km-KH"/>
        </w:rPr>
        <w:t>against human rights defenders and political activists have been documented, including in the context of COVID-19</w:t>
      </w:r>
      <w:r>
        <w:rPr>
          <w:lang w:bidi="km-KH"/>
        </w:rPr>
        <w:t>-related measures</w:t>
      </w:r>
      <w:r w:rsidRPr="00BE5F5F">
        <w:rPr>
          <w:lang w:bidi="km-KH"/>
        </w:rPr>
        <w:t xml:space="preserve"> and the distribution of humanitarian aid. </w:t>
      </w:r>
    </w:p>
    <w:p w14:paraId="385DD044" w14:textId="77777777" w:rsidR="00657C1B" w:rsidRDefault="00657C1B" w:rsidP="00657C1B">
      <w:pPr>
        <w:pStyle w:val="SingleTxtG"/>
        <w:rPr>
          <w:lang w:bidi="km-KH"/>
        </w:rPr>
      </w:pPr>
      <w:r>
        <w:rPr>
          <w:lang w:bidi="km-KH"/>
        </w:rPr>
        <w:t>7.</w:t>
      </w:r>
      <w:r>
        <w:rPr>
          <w:lang w:bidi="km-KH"/>
        </w:rPr>
        <w:tab/>
      </w:r>
      <w:r w:rsidRPr="00BE5F5F">
        <w:rPr>
          <w:lang w:bidi="km-KH"/>
        </w:rPr>
        <w:t>The pandemic</w:t>
      </w:r>
      <w:r>
        <w:rPr>
          <w:lang w:bidi="km-KH"/>
        </w:rPr>
        <w:t xml:space="preserve"> hit after </w:t>
      </w:r>
      <w:r w:rsidRPr="00BE5F5F">
        <w:rPr>
          <w:lang w:bidi="km-KH"/>
        </w:rPr>
        <w:t>years of sustained erosion of civic and democratic space. The Cambodia National Rescue Party was dissolved by the Supreme Court in 2017. Recent years have seen aggressive judicial and physical attacks on opposition politicians.</w:t>
      </w:r>
      <w:r w:rsidRPr="00E376F9">
        <w:rPr>
          <w:rStyle w:val="FootnoteReference"/>
        </w:rPr>
        <w:footnoteReference w:id="10"/>
      </w:r>
      <w:r w:rsidRPr="00BE5F5F">
        <w:rPr>
          <w:lang w:bidi="km-KH"/>
        </w:rPr>
        <w:t xml:space="preserve"> Although four new parties have been established by former </w:t>
      </w:r>
      <w:r>
        <w:rPr>
          <w:lang w:bidi="km-KH"/>
        </w:rPr>
        <w:t xml:space="preserve">members of the </w:t>
      </w:r>
      <w:r w:rsidRPr="00BE5F5F">
        <w:rPr>
          <w:lang w:bidi="km-KH"/>
        </w:rPr>
        <w:t xml:space="preserve">Cambodia National Rescue Party since 2018, </w:t>
      </w:r>
      <w:r>
        <w:rPr>
          <w:lang w:bidi="km-KH"/>
        </w:rPr>
        <w:t xml:space="preserve">their </w:t>
      </w:r>
      <w:r w:rsidRPr="00BE5F5F">
        <w:rPr>
          <w:lang w:bidi="km-KH"/>
        </w:rPr>
        <w:t xml:space="preserve">re-entry into politics requires the </w:t>
      </w:r>
      <w:r w:rsidRPr="7AFE42C5">
        <w:rPr>
          <w:lang w:bidi="km-KH"/>
        </w:rPr>
        <w:t xml:space="preserve">approval </w:t>
      </w:r>
      <w:r w:rsidRPr="00BE5F5F">
        <w:rPr>
          <w:lang w:bidi="km-KH"/>
        </w:rPr>
        <w:t>of the ruling party.</w:t>
      </w:r>
    </w:p>
    <w:p w14:paraId="020BA20A" w14:textId="77777777" w:rsidR="00657C1B" w:rsidRPr="00BE5F5F" w:rsidRDefault="00657C1B" w:rsidP="00657C1B">
      <w:pPr>
        <w:pStyle w:val="HChG"/>
        <w:rPr>
          <w:sz w:val="20"/>
          <w:lang w:bidi="km-KH"/>
        </w:rPr>
      </w:pPr>
      <w:r>
        <w:rPr>
          <w:rFonts w:eastAsia="Calibri"/>
          <w:lang w:bidi="km-KH"/>
        </w:rPr>
        <w:tab/>
        <w:t>III.</w:t>
      </w:r>
      <w:r>
        <w:rPr>
          <w:rFonts w:eastAsia="Calibri"/>
          <w:lang w:bidi="km-KH"/>
        </w:rPr>
        <w:tab/>
      </w:r>
      <w:r w:rsidRPr="00BE5F5F">
        <w:rPr>
          <w:rFonts w:eastAsia="Calibri"/>
          <w:lang w:bidi="km-KH"/>
        </w:rPr>
        <w:t>Enhancing participation and protecting civic space</w:t>
      </w:r>
    </w:p>
    <w:p w14:paraId="13540B3D" w14:textId="77777777" w:rsidR="00657C1B" w:rsidRPr="003B120E" w:rsidRDefault="00657C1B" w:rsidP="00657C1B">
      <w:pPr>
        <w:pStyle w:val="SingleTxtG"/>
      </w:pPr>
      <w:r w:rsidRPr="003B120E">
        <w:t>8.</w:t>
      </w:r>
      <w:r w:rsidRPr="003B120E">
        <w:tab/>
        <w:t xml:space="preserve">Despite the </w:t>
      </w:r>
      <w:r>
        <w:t xml:space="preserve">calls made in September 2019 by the </w:t>
      </w:r>
      <w:r w:rsidRPr="003B120E">
        <w:t xml:space="preserve">Human Rights Council </w:t>
      </w:r>
      <w:r>
        <w:t>for</w:t>
      </w:r>
      <w:r w:rsidRPr="003B120E">
        <w:t xml:space="preserve"> the Government to</w:t>
      </w:r>
      <w:r>
        <w:t xml:space="preserve"> ensure the protection of parliamentary immunity and freedom of political activities,</w:t>
      </w:r>
      <w:r w:rsidRPr="00E376F9">
        <w:rPr>
          <w:rStyle w:val="FootnoteReference"/>
        </w:rPr>
        <w:footnoteReference w:id="11"/>
      </w:r>
      <w:r w:rsidRPr="004601E8">
        <w:rPr>
          <w:vertAlign w:val="superscript"/>
        </w:rPr>
        <w:t xml:space="preserve"> </w:t>
      </w:r>
      <w:r w:rsidRPr="003B120E">
        <w:t xml:space="preserve">OHCHR </w:t>
      </w:r>
      <w:r>
        <w:t xml:space="preserve">has </w:t>
      </w:r>
      <w:r w:rsidRPr="003B120E">
        <w:t>documented judicial harassment and physical attacks on opposition political activists, civil society actors and media</w:t>
      </w:r>
      <w:r>
        <w:t xml:space="preserve"> workers</w:t>
      </w:r>
      <w:r w:rsidRPr="003B120E">
        <w:t xml:space="preserve">, among others. </w:t>
      </w:r>
    </w:p>
    <w:p w14:paraId="1A3FE015" w14:textId="1832EBED" w:rsidR="00657C1B" w:rsidRPr="003B120E" w:rsidRDefault="00657C1B" w:rsidP="00657C1B">
      <w:pPr>
        <w:pStyle w:val="SingleTxtG"/>
      </w:pPr>
      <w:r>
        <w:t>9.</w:t>
      </w:r>
      <w:r>
        <w:tab/>
      </w:r>
      <w:r w:rsidRPr="003B120E">
        <w:t xml:space="preserve">OHCHR </w:t>
      </w:r>
      <w:r>
        <w:t xml:space="preserve">has </w:t>
      </w:r>
      <w:r w:rsidRPr="003B120E">
        <w:t>documented 28 incidents involving the arbitrary arrest and detention of 62 opposition political actors, most of whom are associated with the Cambodia National Rescue Party</w:t>
      </w:r>
      <w:r>
        <w:t xml:space="preserve"> and</w:t>
      </w:r>
      <w:r w:rsidRPr="003B120E">
        <w:t xml:space="preserve"> 11 </w:t>
      </w:r>
      <w:r>
        <w:t xml:space="preserve">of whom are </w:t>
      </w:r>
      <w:r w:rsidRPr="003B120E">
        <w:t xml:space="preserve">women. Those detained </w:t>
      </w:r>
      <w:r>
        <w:t>have been</w:t>
      </w:r>
      <w:r w:rsidRPr="003B120E">
        <w:t xml:space="preserve"> charged with plotting </w:t>
      </w:r>
      <w:r>
        <w:t xml:space="preserve">to commit </w:t>
      </w:r>
      <w:r w:rsidRPr="003B120E">
        <w:t xml:space="preserve">or committing treason; incitement; and lèse-majesté offences. </w:t>
      </w:r>
      <w:r>
        <w:t>Forty-three</w:t>
      </w:r>
      <w:r w:rsidRPr="003B120E">
        <w:t xml:space="preserve"> </w:t>
      </w:r>
      <w:r>
        <w:t>we</w:t>
      </w:r>
      <w:r w:rsidRPr="003B120E">
        <w:t>re in detention at the time of writing</w:t>
      </w:r>
      <w:r>
        <w:t xml:space="preserve"> of the present report</w:t>
      </w:r>
      <w:r w:rsidRPr="003B120E">
        <w:t>. In March 2021, Cambodia National Rescue Party leader Sam Rainsy was given a 25-year</w:t>
      </w:r>
      <w:r>
        <w:t xml:space="preserve"> </w:t>
      </w:r>
      <w:r w:rsidRPr="003B120E">
        <w:t xml:space="preserve">prison sentence for attempting to commit a felony and </w:t>
      </w:r>
      <w:r>
        <w:t xml:space="preserve">for </w:t>
      </w:r>
      <w:r w:rsidRPr="003B120E">
        <w:t xml:space="preserve">attacking and endangering </w:t>
      </w:r>
      <w:r>
        <w:t xml:space="preserve">the </w:t>
      </w:r>
      <w:r w:rsidRPr="003B120E">
        <w:t>institutions of Cambodia</w:t>
      </w:r>
      <w:r>
        <w:t>. The conviction relates to his failed attempt to return from exile in 2019 and an alleged plot to overthrow the Government</w:t>
      </w:r>
      <w:r w:rsidRPr="003B120E">
        <w:t xml:space="preserve">. Eight co-accused, all of whom </w:t>
      </w:r>
      <w:r>
        <w:t>we</w:t>
      </w:r>
      <w:r w:rsidRPr="003B120E">
        <w:t>re senior members of the party</w:t>
      </w:r>
      <w:r>
        <w:t>,</w:t>
      </w:r>
      <w:r w:rsidRPr="003B120E">
        <w:t xml:space="preserve"> received </w:t>
      </w:r>
      <w:r>
        <w:t xml:space="preserve">sentences of between </w:t>
      </w:r>
      <w:r w:rsidRPr="003B120E">
        <w:t>20 and 22</w:t>
      </w:r>
      <w:r>
        <w:t xml:space="preserve"> </w:t>
      </w:r>
      <w:r w:rsidRPr="003B120E">
        <w:t>year</w:t>
      </w:r>
      <w:r>
        <w:t>s of im</w:t>
      </w:r>
      <w:r w:rsidRPr="003B120E">
        <w:t>prison</w:t>
      </w:r>
      <w:r>
        <w:t>ment</w:t>
      </w:r>
      <w:r w:rsidRPr="003B120E">
        <w:t xml:space="preserve">. </w:t>
      </w:r>
      <w:r>
        <w:t>On 5 March 2021, United Nations</w:t>
      </w:r>
      <w:r w:rsidRPr="003B120E">
        <w:t xml:space="preserve"> </w:t>
      </w:r>
      <w:r>
        <w:t>s</w:t>
      </w:r>
      <w:r w:rsidRPr="003B120E">
        <w:t xml:space="preserve">pecial </w:t>
      </w:r>
      <w:r>
        <w:t>p</w:t>
      </w:r>
      <w:r w:rsidRPr="003B120E">
        <w:t xml:space="preserve">rocedure mandate holders </w:t>
      </w:r>
      <w:r>
        <w:t xml:space="preserve">released a statement describing the sentences as </w:t>
      </w:r>
      <w:r w:rsidR="00BC48DA">
        <w:t>“</w:t>
      </w:r>
      <w:r>
        <w:t>lengthy and disproportionate prison terms which lack clear legal grounds</w:t>
      </w:r>
      <w:r w:rsidR="00BC48DA">
        <w:t>”</w:t>
      </w:r>
      <w:r>
        <w:t xml:space="preserve"> and said that the convictions raised serious concerns about their compatibility with international human rights law, including the right to be tried by a competent, independent and impartial tribunal.</w:t>
      </w:r>
      <w:r w:rsidRPr="00E376F9">
        <w:rPr>
          <w:rStyle w:val="FootnoteReference"/>
        </w:rPr>
        <w:footnoteReference w:id="12"/>
      </w:r>
      <w:r w:rsidRPr="003B120E">
        <w:t xml:space="preserve"> The </w:t>
      </w:r>
      <w:r>
        <w:t>convictions also</w:t>
      </w:r>
      <w:r w:rsidRPr="003B120E">
        <w:t xml:space="preserve"> run contrary to the call </w:t>
      </w:r>
      <w:r>
        <w:t>of</w:t>
      </w:r>
      <w:r w:rsidRPr="003B120E">
        <w:t xml:space="preserve"> the Human Rights Council for Cambodia to </w:t>
      </w:r>
      <w:r w:rsidRPr="003B120E">
        <w:lastRenderedPageBreak/>
        <w:t xml:space="preserve">expand democratic space for </w:t>
      </w:r>
      <w:r>
        <w:t xml:space="preserve">political activists, civil society and the media, including </w:t>
      </w:r>
      <w:r w:rsidRPr="003B120E">
        <w:t>members of opposition parties.</w:t>
      </w:r>
      <w:r w:rsidRPr="00E376F9">
        <w:rPr>
          <w:rStyle w:val="FootnoteReference"/>
        </w:rPr>
        <w:footnoteReference w:id="13"/>
      </w:r>
      <w:r w:rsidRPr="004601E8">
        <w:rPr>
          <w:vertAlign w:val="superscript"/>
        </w:rPr>
        <w:t xml:space="preserve"> </w:t>
      </w:r>
    </w:p>
    <w:p w14:paraId="1F844399" w14:textId="77777777" w:rsidR="00657C1B" w:rsidRPr="003B120E" w:rsidRDefault="00657C1B" w:rsidP="00657C1B">
      <w:pPr>
        <w:pStyle w:val="SingleTxtG"/>
      </w:pPr>
      <w:r>
        <w:t>10.</w:t>
      </w:r>
      <w:r>
        <w:tab/>
      </w:r>
      <w:r w:rsidRPr="003B120E">
        <w:t xml:space="preserve">OHCHR </w:t>
      </w:r>
      <w:r>
        <w:t xml:space="preserve">has </w:t>
      </w:r>
      <w:r w:rsidRPr="003B120E">
        <w:t>documented 14 instances of physical attacks by unknown persons against opposition activists. A child with an autism spectrum disorder, who is the son of a jailed political activist, was arbitrarily detained</w:t>
      </w:r>
      <w:r>
        <w:t xml:space="preserve"> by the police</w:t>
      </w:r>
      <w:r w:rsidRPr="003B120E">
        <w:t xml:space="preserve"> in October 2020</w:t>
      </w:r>
      <w:r>
        <w:t xml:space="preserve"> </w:t>
      </w:r>
      <w:r w:rsidRPr="003B120E">
        <w:t>for over 36 hours, beaten in custody and not allowed access to his legal guardian or a lawyer. In April 2021, the same boy was attacked with a brick by unidentified assailants,</w:t>
      </w:r>
      <w:r>
        <w:t xml:space="preserve"> as a result of which he</w:t>
      </w:r>
      <w:r w:rsidRPr="003B120E">
        <w:t xml:space="preserve"> </w:t>
      </w:r>
      <w:r>
        <w:t>required</w:t>
      </w:r>
      <w:r w:rsidRPr="003B120E">
        <w:t xml:space="preserve"> 20 stitches.</w:t>
      </w:r>
      <w:r w:rsidRPr="00E376F9">
        <w:rPr>
          <w:rStyle w:val="FootnoteReference"/>
        </w:rPr>
        <w:footnoteReference w:id="14"/>
      </w:r>
      <w:r w:rsidRPr="003B120E">
        <w:t xml:space="preserve"> On 12 May 2021, a Cambodia National Rescue Party activist who had been providing humanitarian aid to families in Phnom Penh during the lockdown was attacked by four unidentified men, </w:t>
      </w:r>
      <w:r>
        <w:t xml:space="preserve">thereby </w:t>
      </w:r>
      <w:r w:rsidRPr="003B120E">
        <w:t>sustaining injuries to his head and a broken finger.</w:t>
      </w:r>
    </w:p>
    <w:p w14:paraId="30220060" w14:textId="77777777" w:rsidR="00657C1B" w:rsidRPr="003B120E" w:rsidRDefault="00657C1B" w:rsidP="00657C1B">
      <w:pPr>
        <w:pStyle w:val="SingleTxtG"/>
      </w:pPr>
      <w:r>
        <w:t>11.</w:t>
      </w:r>
      <w:r>
        <w:tab/>
      </w:r>
      <w:r w:rsidRPr="003B120E">
        <w:t>On 4 June 2020, Thai political activist Wanchalearm Satsaksit</w:t>
      </w:r>
      <w:r w:rsidRPr="003B120E" w:rsidDel="003F4C94">
        <w:t xml:space="preserve"> </w:t>
      </w:r>
      <w:r w:rsidDel="16C85BF0">
        <w:t>was</w:t>
      </w:r>
      <w:r w:rsidRPr="003B120E" w:rsidDel="003F4C94">
        <w:t xml:space="preserve"> </w:t>
      </w:r>
      <w:r w:rsidRPr="003B120E">
        <w:t xml:space="preserve">disappeared in Phnom Penh. </w:t>
      </w:r>
      <w:r>
        <w:t>United Nations</w:t>
      </w:r>
      <w:r w:rsidRPr="00FA70B7">
        <w:t xml:space="preserve"> </w:t>
      </w:r>
      <w:r>
        <w:t>s</w:t>
      </w:r>
      <w:r w:rsidRPr="00FA70B7">
        <w:t xml:space="preserve">pecial </w:t>
      </w:r>
      <w:r>
        <w:t>p</w:t>
      </w:r>
      <w:r w:rsidRPr="00FA70B7">
        <w:t>rocedure</w:t>
      </w:r>
      <w:r w:rsidRPr="003B120E">
        <w:t xml:space="preserve"> mandate holders wrote to the Government </w:t>
      </w:r>
      <w:r>
        <w:t xml:space="preserve">of Cambodia </w:t>
      </w:r>
      <w:r w:rsidRPr="003B120E">
        <w:t>on three occasions</w:t>
      </w:r>
      <w:r>
        <w:t xml:space="preserve"> requesting specific information regarding his status, fate and whereabouts.</w:t>
      </w:r>
      <w:r w:rsidRPr="00E376F9">
        <w:rPr>
          <w:rStyle w:val="FootnoteReference"/>
        </w:rPr>
        <w:footnoteReference w:id="15"/>
      </w:r>
      <w:r w:rsidRPr="003B120E">
        <w:t xml:space="preserve"> </w:t>
      </w:r>
      <w:r>
        <w:t xml:space="preserve">The </w:t>
      </w:r>
      <w:r w:rsidRPr="003B120E">
        <w:t xml:space="preserve">authorities </w:t>
      </w:r>
      <w:r>
        <w:t xml:space="preserve">responded without providing the </w:t>
      </w:r>
      <w:r w:rsidRPr="003B120E">
        <w:t>information</w:t>
      </w:r>
      <w:r>
        <w:t xml:space="preserve"> requested</w:t>
      </w:r>
      <w:r w:rsidRPr="003B120E">
        <w:t>. OHCHR understands that a complaint has been lodged by the family but</w:t>
      </w:r>
      <w:r>
        <w:t>,</w:t>
      </w:r>
      <w:r w:rsidRPr="003B120E">
        <w:t xml:space="preserve"> more than one year since his disappearance, Cambodia has failed to meet its obligation</w:t>
      </w:r>
      <w:r>
        <w:t>s</w:t>
      </w:r>
      <w:r w:rsidRPr="003B120E">
        <w:t xml:space="preserve"> under the International Convention for the Protection of All Persons from Enforced Disappearance, to conduct a prompt and impartial investigation and to uphold the right of his family members to receive information on the circumstances</w:t>
      </w:r>
      <w:r>
        <w:t xml:space="preserve"> of the enforced disappearance</w:t>
      </w:r>
      <w:r w:rsidRPr="003B120E">
        <w:t xml:space="preserve">, </w:t>
      </w:r>
      <w:r>
        <w:t xml:space="preserve">on any </w:t>
      </w:r>
      <w:r w:rsidRPr="003B120E">
        <w:t>progress</w:t>
      </w:r>
      <w:r>
        <w:t xml:space="preserve"> made, on the</w:t>
      </w:r>
      <w:r w:rsidRPr="003B120E">
        <w:t xml:space="preserve"> results of </w:t>
      </w:r>
      <w:r>
        <w:t xml:space="preserve">the </w:t>
      </w:r>
      <w:r w:rsidRPr="003B120E">
        <w:t>investigation</w:t>
      </w:r>
      <w:r>
        <w:t xml:space="preserve"> and on the fate of the disappeared person</w:t>
      </w:r>
      <w:r w:rsidRPr="003B120E">
        <w:t xml:space="preserve">. </w:t>
      </w:r>
      <w:r>
        <w:t xml:space="preserve">In its comments on the present report, the Government </w:t>
      </w:r>
      <w:r w:rsidRPr="001B1FF4">
        <w:t>stated that the General Commissariat of the National Police continued to gather information on the case and was cooperating with Thailand in its investigation into this disappearance</w:t>
      </w:r>
      <w:r>
        <w:t>.</w:t>
      </w:r>
    </w:p>
    <w:p w14:paraId="23753AC5" w14:textId="77777777" w:rsidR="00657C1B" w:rsidRPr="00680DA6" w:rsidRDefault="00657C1B" w:rsidP="00657C1B">
      <w:pPr>
        <w:pStyle w:val="SingleTxtG"/>
      </w:pPr>
      <w:r w:rsidRPr="0011320C">
        <w:t>12.</w:t>
      </w:r>
      <w:r w:rsidRPr="0011320C">
        <w:tab/>
        <w:t xml:space="preserve">Trade unions </w:t>
      </w:r>
      <w:r>
        <w:t xml:space="preserve">have </w:t>
      </w:r>
      <w:r w:rsidRPr="0011320C">
        <w:t xml:space="preserve">reported </w:t>
      </w:r>
      <w:r>
        <w:t>that</w:t>
      </w:r>
      <w:r w:rsidRPr="0011320C">
        <w:t xml:space="preserve"> leaders and activists </w:t>
      </w:r>
      <w:r>
        <w:t xml:space="preserve">were targeted </w:t>
      </w:r>
      <w:r w:rsidRPr="0011320C">
        <w:t>through the criminal justice</w:t>
      </w:r>
      <w:r w:rsidRPr="00680DA6">
        <w:t xml:space="preserve"> system in the context of COVID-19 and </w:t>
      </w:r>
      <w:r>
        <w:t>that</w:t>
      </w:r>
      <w:r w:rsidRPr="00680DA6">
        <w:t xml:space="preserve"> union activity </w:t>
      </w:r>
      <w:r>
        <w:t xml:space="preserve">was restricted </w:t>
      </w:r>
      <w:r w:rsidRPr="00680DA6">
        <w:t xml:space="preserve">at the factory level, </w:t>
      </w:r>
      <w:r>
        <w:t>with some</w:t>
      </w:r>
      <w:r w:rsidRPr="00680DA6">
        <w:t xml:space="preserve"> activists</w:t>
      </w:r>
      <w:r>
        <w:t xml:space="preserve"> being fired</w:t>
      </w:r>
      <w:r w:rsidRPr="00680DA6">
        <w:t>.</w:t>
      </w:r>
      <w:r w:rsidRPr="00E376F9">
        <w:rPr>
          <w:rStyle w:val="FootnoteReference"/>
        </w:rPr>
        <w:footnoteReference w:id="16"/>
      </w:r>
      <w:r w:rsidRPr="00680DA6">
        <w:t xml:space="preserve"> Workers have </w:t>
      </w:r>
      <w:r>
        <w:t xml:space="preserve">held </w:t>
      </w:r>
      <w:r w:rsidRPr="00680DA6">
        <w:t>protest</w:t>
      </w:r>
      <w:r>
        <w:t>s</w:t>
      </w:r>
      <w:r w:rsidRPr="00680DA6">
        <w:t xml:space="preserve"> to demand unpaid wages, including for work already done for orders that were subsequently cancelled.</w:t>
      </w:r>
      <w:r w:rsidRPr="00E376F9">
        <w:rPr>
          <w:rStyle w:val="FootnoteReference"/>
        </w:rPr>
        <w:footnoteReference w:id="17"/>
      </w:r>
      <w:r w:rsidRPr="00680DA6">
        <w:rPr>
          <w:vertAlign w:val="superscript"/>
        </w:rPr>
        <w:t xml:space="preserve"> </w:t>
      </w:r>
      <w:r w:rsidRPr="00680DA6">
        <w:t xml:space="preserve">Unions have </w:t>
      </w:r>
      <w:r>
        <w:t>reported</w:t>
      </w:r>
      <w:r w:rsidRPr="00680DA6">
        <w:t xml:space="preserve"> that workers are unable to cover the cost of food, rent, utilities and loan repayments. With over </w:t>
      </w:r>
      <w:r>
        <w:t>1,000</w:t>
      </w:r>
      <w:r w:rsidRPr="00680DA6">
        <w:t xml:space="preserve"> garment workers known to have tested positive for COVID-19 in 2021, those in self-quarantine lack food, water, sanitary products, cash and medical care.</w:t>
      </w:r>
      <w:r w:rsidRPr="00E376F9">
        <w:rPr>
          <w:rStyle w:val="FootnoteReference"/>
        </w:rPr>
        <w:footnoteReference w:id="18"/>
      </w:r>
    </w:p>
    <w:p w14:paraId="635C4D83" w14:textId="160F3F10" w:rsidR="00657C1B" w:rsidRPr="003B120E" w:rsidRDefault="00657C1B" w:rsidP="00657C1B">
      <w:pPr>
        <w:pStyle w:val="SingleTxtG"/>
      </w:pPr>
      <w:r>
        <w:t>13.</w:t>
      </w:r>
      <w:r>
        <w:tab/>
      </w:r>
      <w:r w:rsidRPr="003B120E">
        <w:t xml:space="preserve">The situation of human rights defenders is dire. During the reporting period, OHCHR documented 34 cases </w:t>
      </w:r>
      <w:r>
        <w:t>of</w:t>
      </w:r>
      <w:r w:rsidRPr="003B120E">
        <w:t xml:space="preserve"> criminal charges </w:t>
      </w:r>
      <w:r>
        <w:t>being</w:t>
      </w:r>
      <w:r w:rsidRPr="003B120E">
        <w:t xml:space="preserve"> filed against human rights defenders. Twenty-one</w:t>
      </w:r>
      <w:r>
        <w:t xml:space="preserve"> human rights defenders</w:t>
      </w:r>
      <w:r w:rsidRPr="003B120E">
        <w:t xml:space="preserve">, including </w:t>
      </w:r>
      <w:r>
        <w:t>11</w:t>
      </w:r>
      <w:r w:rsidRPr="003B120E">
        <w:t xml:space="preserve"> women, </w:t>
      </w:r>
      <w:r>
        <w:t xml:space="preserve">were </w:t>
      </w:r>
      <w:r w:rsidRPr="003B120E">
        <w:t xml:space="preserve">incarcerated after </w:t>
      </w:r>
      <w:r>
        <w:t>having been</w:t>
      </w:r>
      <w:r w:rsidRPr="003B120E">
        <w:t xml:space="preserve"> charged or convicted </w:t>
      </w:r>
      <w:r>
        <w:t>for</w:t>
      </w:r>
      <w:r w:rsidRPr="003B120E">
        <w:t xml:space="preserve"> incitement</w:t>
      </w:r>
      <w:r>
        <w:t xml:space="preserve"> to commit a felony</w:t>
      </w:r>
      <w:r w:rsidRPr="003B120E">
        <w:t>. Of the</w:t>
      </w:r>
      <w:r>
        <w:t xml:space="preserve"> 21</w:t>
      </w:r>
      <w:r w:rsidRPr="003B120E">
        <w:t>, 16 were detained and/or convicted as a result of demonstrations relating to Rong Chhun, a union leader arrested on 31 July 2020. One wom</w:t>
      </w:r>
      <w:r>
        <w:t>a</w:t>
      </w:r>
      <w:r w:rsidRPr="003B120E">
        <w:t xml:space="preserve">n human rights defender was assaulted </w:t>
      </w:r>
      <w:r>
        <w:t xml:space="preserve">by two unidentified men </w:t>
      </w:r>
      <w:r w:rsidRPr="003B120E">
        <w:t xml:space="preserve">after </w:t>
      </w:r>
      <w:r>
        <w:t xml:space="preserve">she </w:t>
      </w:r>
      <w:r w:rsidRPr="003B120E">
        <w:t>visit</w:t>
      </w:r>
      <w:r>
        <w:t>ed</w:t>
      </w:r>
      <w:r w:rsidRPr="003B120E">
        <w:t xml:space="preserve"> him in prison.</w:t>
      </w:r>
      <w:r w:rsidRPr="00E376F9">
        <w:rPr>
          <w:rStyle w:val="FootnoteReference"/>
        </w:rPr>
        <w:footnoteReference w:id="19"/>
      </w:r>
      <w:r w:rsidRPr="00105A5E">
        <w:rPr>
          <w:vertAlign w:val="superscript"/>
        </w:rPr>
        <w:t xml:space="preserve"> </w:t>
      </w:r>
      <w:r w:rsidRPr="003B120E">
        <w:t xml:space="preserve">Another was arrested on 7 September 2020 while returning home from a meeting at the OHCHR office, where she had </w:t>
      </w:r>
      <w:r>
        <w:t>expressed</w:t>
      </w:r>
      <w:r w:rsidRPr="003B120E">
        <w:t xml:space="preserve"> fear of an imminent arrest. Four other human rights defenders </w:t>
      </w:r>
      <w:r w:rsidRPr="001B1FF4">
        <w:t>from Khmer Thavrak and the Khmer Student Intelligent League Association were</w:t>
      </w:r>
      <w:r w:rsidRPr="003B120E">
        <w:t xml:space="preserve"> arrested on the same day </w:t>
      </w:r>
      <w:r>
        <w:t>after</w:t>
      </w:r>
      <w:r w:rsidRPr="003B120E">
        <w:t xml:space="preserve"> calling for the release of human rights defenders. They remain in pretrial detention</w:t>
      </w:r>
      <w:r>
        <w:t>, charged with</w:t>
      </w:r>
      <w:r w:rsidRPr="003B120E">
        <w:t xml:space="preserve"> incitement </w:t>
      </w:r>
      <w:r>
        <w:t>to commit a felony.</w:t>
      </w:r>
      <w:r w:rsidRPr="00E376F9">
        <w:rPr>
          <w:rStyle w:val="FootnoteReference"/>
        </w:rPr>
        <w:footnoteReference w:id="20"/>
      </w:r>
    </w:p>
    <w:p w14:paraId="67169266" w14:textId="46BE4A72" w:rsidR="00657C1B" w:rsidRPr="003B120E" w:rsidRDefault="00657C1B" w:rsidP="00657C1B">
      <w:pPr>
        <w:pStyle w:val="SingleTxtG"/>
      </w:pPr>
      <w:r>
        <w:t>14.</w:t>
      </w:r>
      <w:r>
        <w:tab/>
      </w:r>
      <w:r w:rsidRPr="003B120E">
        <w:t xml:space="preserve">Harassment of environmental human rights defenders is on the rise. In February 2021, five activists, most of whom </w:t>
      </w:r>
      <w:r w:rsidRPr="001B1FF4">
        <w:t xml:space="preserve">were associated with the Prey Lang Wildlife Sanctuary, were detained for three days for being in a protected area without permission. They had entered </w:t>
      </w:r>
      <w:r w:rsidRPr="001B1FF4">
        <w:lastRenderedPageBreak/>
        <w:t>the area to check for any illegal logging. They were released after having thumbprinted documents</w:t>
      </w:r>
      <w:r w:rsidRPr="003B120E">
        <w:t xml:space="preserve"> pledging not to return to Prey Lang without official permission. The thumbprinting of documents, while common in Cambodia, is contrary to international human rights standards</w:t>
      </w:r>
      <w:r>
        <w:t>.</w:t>
      </w:r>
      <w:r w:rsidRPr="003B120E">
        <w:t xml:space="preserve"> Another </w:t>
      </w:r>
      <w:r>
        <w:t>activist has been</w:t>
      </w:r>
      <w:r w:rsidRPr="003B120E">
        <w:t xml:space="preserve"> in hiding since July 2020</w:t>
      </w:r>
      <w:r>
        <w:t>,</w:t>
      </w:r>
      <w:r w:rsidRPr="003B120E">
        <w:t xml:space="preserve"> when criminal charges were filed against him by a timber trader. In January 2021, an indigenous rights activist was convicted of public defamation for </w:t>
      </w:r>
      <w:r>
        <w:t xml:space="preserve">publishing </w:t>
      </w:r>
      <w:r w:rsidRPr="003B120E">
        <w:t xml:space="preserve">social media comments criticizing </w:t>
      </w:r>
      <w:r>
        <w:t xml:space="preserve">the </w:t>
      </w:r>
      <w:r w:rsidRPr="003B120E">
        <w:t>authorities</w:t>
      </w:r>
      <w:r w:rsidR="00BC48DA">
        <w:t>’</w:t>
      </w:r>
      <w:r w:rsidRPr="003B120E">
        <w:t xml:space="preserve"> handling of forest and environmental issues. On 5 June 2020, OHCHR advocated for the release of 18 activists </w:t>
      </w:r>
      <w:r>
        <w:t xml:space="preserve">who were </w:t>
      </w:r>
      <w:r w:rsidRPr="003B120E">
        <w:t xml:space="preserve">associated with </w:t>
      </w:r>
      <w:r>
        <w:t xml:space="preserve">the </w:t>
      </w:r>
      <w:r w:rsidRPr="003B120E">
        <w:t xml:space="preserve">environmental </w:t>
      </w:r>
      <w:r>
        <w:t>non-governmental organization (</w:t>
      </w:r>
      <w:r w:rsidRPr="003B120E">
        <w:t>NGO</w:t>
      </w:r>
      <w:r>
        <w:t>)</w:t>
      </w:r>
      <w:r w:rsidRPr="003B120E">
        <w:t xml:space="preserve"> Mother Nature</w:t>
      </w:r>
      <w:r>
        <w:t xml:space="preserve"> and who had been</w:t>
      </w:r>
      <w:r w:rsidRPr="003B120E">
        <w:t xml:space="preserve"> arrested for </w:t>
      </w:r>
      <w:r>
        <w:t xml:space="preserve">their </w:t>
      </w:r>
      <w:r w:rsidRPr="003B120E">
        <w:t xml:space="preserve">plans to cycle to raise awareness of environmental causes. They were eventually released without charge. </w:t>
      </w:r>
      <w:r>
        <w:t xml:space="preserve">In its reply to the present report, the Government stated that the Ministry of the Environment cooperated well with NGOs and that no legally registered group had been subjected to harassment. </w:t>
      </w:r>
    </w:p>
    <w:p w14:paraId="67FB3DE6" w14:textId="2663264D" w:rsidR="00657C1B" w:rsidRPr="003B120E" w:rsidRDefault="00657C1B" w:rsidP="00657C1B">
      <w:pPr>
        <w:pStyle w:val="SingleTxtG"/>
      </w:pPr>
      <w:r>
        <w:t>15.</w:t>
      </w:r>
      <w:r>
        <w:tab/>
        <w:t>In a notification to governors, t</w:t>
      </w:r>
      <w:r w:rsidRPr="003B120E">
        <w:t xml:space="preserve">he Ministry of </w:t>
      </w:r>
      <w:r>
        <w:t xml:space="preserve">the </w:t>
      </w:r>
      <w:r w:rsidRPr="003B120E">
        <w:t>Interior</w:t>
      </w:r>
      <w:r>
        <w:t xml:space="preserve"> has</w:t>
      </w:r>
      <w:r w:rsidRPr="003B120E">
        <w:t xml:space="preserve"> state</w:t>
      </w:r>
      <w:r>
        <w:t>d</w:t>
      </w:r>
      <w:r w:rsidRPr="003B120E">
        <w:t xml:space="preserve"> that civil society</w:t>
      </w:r>
      <w:r>
        <w:t xml:space="preserve"> organizations</w:t>
      </w:r>
      <w:r w:rsidRPr="003B120E">
        <w:t xml:space="preserve"> have complete freedom to legally carry out activities</w:t>
      </w:r>
      <w:r>
        <w:t>.</w:t>
      </w:r>
      <w:r w:rsidRPr="00E376F9">
        <w:rPr>
          <w:rStyle w:val="FootnoteReference"/>
        </w:rPr>
        <w:footnoteReference w:id="21"/>
      </w:r>
      <w:r w:rsidRPr="003B120E">
        <w:t xml:space="preserve"> However, OHCHR </w:t>
      </w:r>
      <w:r>
        <w:t xml:space="preserve">has </w:t>
      </w:r>
      <w:r w:rsidRPr="003B120E">
        <w:t xml:space="preserve">documented 34 instances of threats, intimidation and harassment of human rights defenders by the Government, </w:t>
      </w:r>
      <w:r>
        <w:t xml:space="preserve">public </w:t>
      </w:r>
      <w:r w:rsidRPr="003B120E">
        <w:t>officials</w:t>
      </w:r>
      <w:r>
        <w:t xml:space="preserve"> </w:t>
      </w:r>
      <w:r w:rsidRPr="003B120E">
        <w:t>and unknown groups during the reporting period.</w:t>
      </w:r>
      <w:r>
        <w:t xml:space="preserve"> These include threats and acts of harassment against human rights defenders while monitoring protests, searches of NGO premises and threats against union leaders participating in workers</w:t>
      </w:r>
      <w:r w:rsidR="00BC48DA">
        <w:t>’</w:t>
      </w:r>
      <w:r>
        <w:t xml:space="preserve"> protests. In its reply to the present report, the Government stated that it was ready to assist local authorities in providing better support to and cooperating with NGOs. </w:t>
      </w:r>
    </w:p>
    <w:p w14:paraId="2C82A182" w14:textId="410E5C57" w:rsidR="00657C1B" w:rsidRPr="003B120E" w:rsidRDefault="00657C1B" w:rsidP="00657C1B">
      <w:pPr>
        <w:pStyle w:val="SingleTxtG"/>
      </w:pPr>
      <w:r>
        <w:t>16.</w:t>
      </w:r>
      <w:r>
        <w:tab/>
      </w:r>
      <w:r w:rsidRPr="003B120E">
        <w:t xml:space="preserve">OHCHR </w:t>
      </w:r>
      <w:r>
        <w:t xml:space="preserve">has </w:t>
      </w:r>
      <w:r w:rsidRPr="003B120E">
        <w:t>engaged in discussion</w:t>
      </w:r>
      <w:r>
        <w:t>s</w:t>
      </w:r>
      <w:r w:rsidRPr="003B120E">
        <w:t xml:space="preserve"> with the Ministry of </w:t>
      </w:r>
      <w:r>
        <w:t xml:space="preserve">the </w:t>
      </w:r>
      <w:r w:rsidRPr="003B120E">
        <w:t xml:space="preserve">Interior and civil society </w:t>
      </w:r>
      <w:r>
        <w:t xml:space="preserve">representatives </w:t>
      </w:r>
      <w:r w:rsidRPr="003B120E">
        <w:t xml:space="preserve">on the </w:t>
      </w:r>
      <w:r>
        <w:t>draft l</w:t>
      </w:r>
      <w:r w:rsidRPr="003B120E">
        <w:t xml:space="preserve">aw on </w:t>
      </w:r>
      <w:r>
        <w:t>a</w:t>
      </w:r>
      <w:r w:rsidRPr="003B120E">
        <w:t xml:space="preserve">ssociations and </w:t>
      </w:r>
      <w:r>
        <w:t>NGOs</w:t>
      </w:r>
      <w:r w:rsidRPr="003B120E">
        <w:t xml:space="preserve">, including during the sixth consultative forum held by the Minister of </w:t>
      </w:r>
      <w:r>
        <w:t xml:space="preserve">the </w:t>
      </w:r>
      <w:r w:rsidRPr="003B120E">
        <w:t>Interior in July 2020. OHCHR notes that consultation</w:t>
      </w:r>
      <w:r>
        <w:t>s</w:t>
      </w:r>
      <w:r w:rsidRPr="003B120E">
        <w:t xml:space="preserve"> ha</w:t>
      </w:r>
      <w:r>
        <w:t>ve</w:t>
      </w:r>
      <w:r w:rsidRPr="003B120E">
        <w:t xml:space="preserve"> been postponed during the pandemic and regrets that the recommendation made by the Secretary-General for Cambodia to incorporate civil society</w:t>
      </w:r>
      <w:r w:rsidR="00BC48DA">
        <w:t>’</w:t>
      </w:r>
      <w:r w:rsidRPr="003B120E">
        <w:t>s recommendations in amendments remains unimplemented.</w:t>
      </w:r>
      <w:r w:rsidRPr="00E376F9">
        <w:rPr>
          <w:rStyle w:val="FootnoteReference"/>
        </w:rPr>
        <w:footnoteReference w:id="22"/>
      </w:r>
      <w:r w:rsidRPr="00105A5E">
        <w:rPr>
          <w:vertAlign w:val="superscript"/>
        </w:rPr>
        <w:t xml:space="preserve"> </w:t>
      </w:r>
      <w:r>
        <w:t xml:space="preserve">In its comments on the present report, the Government stated that it would hold online consultations on this draft law. </w:t>
      </w:r>
    </w:p>
    <w:p w14:paraId="2A7AC2DB" w14:textId="77777777" w:rsidR="00657C1B" w:rsidRPr="003B120E" w:rsidRDefault="00657C1B" w:rsidP="00657C1B">
      <w:pPr>
        <w:pStyle w:val="SingleTxtG"/>
      </w:pPr>
      <w:r w:rsidRPr="00395480">
        <w:t>17.</w:t>
      </w:r>
      <w:r w:rsidRPr="00395480">
        <w:tab/>
        <w:t>During the reporting period, OHCHR documented 32 incidents in which peaceful assemblies were subjected to undue interference, restrictions or bans by the authorities.</w:t>
      </w:r>
      <w:r>
        <w:t xml:space="preserve"> COVID-19-related restrictions raised further concerns regarding the right to peaceful assembly, with the authorities able to cite public health considerations as a means to clamp down on peaceful demonstrations.</w:t>
      </w:r>
    </w:p>
    <w:p w14:paraId="4292221A" w14:textId="77777777" w:rsidR="00657C1B" w:rsidRPr="003B120E" w:rsidRDefault="00657C1B" w:rsidP="00657C1B">
      <w:pPr>
        <w:pStyle w:val="SingleTxtG"/>
      </w:pPr>
      <w:r>
        <w:t>18.</w:t>
      </w:r>
      <w:r>
        <w:tab/>
        <w:t xml:space="preserve">On 11 September 2020, </w:t>
      </w:r>
      <w:r w:rsidRPr="003B120E">
        <w:t>OHCHR call</w:t>
      </w:r>
      <w:r>
        <w:t>ed</w:t>
      </w:r>
      <w:r w:rsidRPr="003B120E">
        <w:t xml:space="preserve"> </w:t>
      </w:r>
      <w:r>
        <w:t>up</w:t>
      </w:r>
      <w:r w:rsidRPr="003B120E">
        <w:t xml:space="preserve">on </w:t>
      </w:r>
      <w:r>
        <w:t xml:space="preserve">the </w:t>
      </w:r>
      <w:r w:rsidRPr="003B120E">
        <w:t>security forces to stop resorting to unnecessary and excessive force and intimidation against those engaged in peaceful protests.</w:t>
      </w:r>
      <w:r w:rsidRPr="00E376F9">
        <w:rPr>
          <w:rStyle w:val="FootnoteReference"/>
        </w:rPr>
        <w:footnoteReference w:id="23"/>
      </w:r>
      <w:r w:rsidRPr="003B120E">
        <w:t xml:space="preserve"> Between June 2020 and January 2021, OHCHR monitored 17 peaceful</w:t>
      </w:r>
      <w:r w:rsidRPr="003B120E">
        <w:rPr>
          <w:rFonts w:eastAsia="Calibri"/>
        </w:rPr>
        <w:t xml:space="preserve"> demonstrations conducted </w:t>
      </w:r>
      <w:r w:rsidRPr="001B1FF4">
        <w:rPr>
          <w:rFonts w:eastAsia="Calibri"/>
        </w:rPr>
        <w:t xml:space="preserve">by former Cambodia National Rescue Party </w:t>
      </w:r>
      <w:r w:rsidRPr="001B1FF4">
        <w:t>supporters and the Friday Women of Cambodia, a group of family members of imprisoned activists and politicians. On 4 September 2020, a member</w:t>
      </w:r>
      <w:r w:rsidRPr="003B120E">
        <w:t xml:space="preserve"> of the group was pushed to the ground by a security officer</w:t>
      </w:r>
      <w:r>
        <w:t>,</w:t>
      </w:r>
      <w:r w:rsidRPr="003B120E">
        <w:t xml:space="preserve"> </w:t>
      </w:r>
      <w:r>
        <w:t xml:space="preserve">which </w:t>
      </w:r>
      <w:r w:rsidRPr="003B120E">
        <w:t>le</w:t>
      </w:r>
      <w:r>
        <w:t>ft</w:t>
      </w:r>
      <w:r w:rsidRPr="003B120E">
        <w:t xml:space="preserve"> her unconscious. On 23 October 2020, another member was dragged to the ground and kicked repeatedly by security officers.</w:t>
      </w:r>
      <w:r w:rsidRPr="00E376F9">
        <w:rPr>
          <w:rStyle w:val="FootnoteReference"/>
        </w:rPr>
        <w:footnoteReference w:id="24"/>
      </w:r>
      <w:r w:rsidRPr="00105A5E">
        <w:rPr>
          <w:vertAlign w:val="superscript"/>
        </w:rPr>
        <w:t xml:space="preserve"> </w:t>
      </w:r>
      <w:r w:rsidRPr="003B120E">
        <w:t>On 13 August 2020, six demonstrators were detained and released after agreeing to thumbprint documents pledging not to take part in similar activities in the future.</w:t>
      </w:r>
      <w:r w:rsidRPr="00E376F9">
        <w:rPr>
          <w:rStyle w:val="FootnoteReference"/>
        </w:rPr>
        <w:footnoteReference w:id="25"/>
      </w:r>
    </w:p>
    <w:p w14:paraId="7B33116A" w14:textId="77777777" w:rsidR="00657C1B" w:rsidRPr="003B120E" w:rsidRDefault="00657C1B" w:rsidP="00657C1B">
      <w:pPr>
        <w:pStyle w:val="SingleTxtG"/>
      </w:pPr>
      <w:r>
        <w:t>19.</w:t>
      </w:r>
      <w:r>
        <w:tab/>
      </w:r>
      <w:r w:rsidRPr="003B120E">
        <w:t>OHCHR documented 33 incidents involving undue restrictions on the right to freedom of expression</w:t>
      </w:r>
      <w:r>
        <w:t xml:space="preserve"> related to </w:t>
      </w:r>
      <w:r w:rsidRPr="003B120E">
        <w:t xml:space="preserve">public comments and social media posts that were critical of the Government, including 24 cases </w:t>
      </w:r>
      <w:r>
        <w:t>involving</w:t>
      </w:r>
      <w:r w:rsidRPr="003B120E">
        <w:t xml:space="preserve"> </w:t>
      </w:r>
      <w:r>
        <w:t xml:space="preserve">comments </w:t>
      </w:r>
      <w:r w:rsidDel="0075727C">
        <w:t xml:space="preserve">relating to </w:t>
      </w:r>
      <w:r>
        <w:t xml:space="preserve">the </w:t>
      </w:r>
      <w:r w:rsidRPr="003B120E">
        <w:t>COVID-19</w:t>
      </w:r>
      <w:r>
        <w:t xml:space="preserve"> response and related government actions</w:t>
      </w:r>
      <w:r w:rsidRPr="003B120E">
        <w:t xml:space="preserve">. </w:t>
      </w:r>
      <w:r>
        <w:t>During the reporting period, 38</w:t>
      </w:r>
      <w:r w:rsidRPr="003B120E">
        <w:t xml:space="preserve"> individuals, including five women</w:t>
      </w:r>
      <w:r>
        <w:t>,</w:t>
      </w:r>
      <w:r w:rsidRPr="003B120E">
        <w:t xml:space="preserve"> were arrested</w:t>
      </w:r>
      <w:r>
        <w:t>.</w:t>
      </w:r>
      <w:r w:rsidRPr="003B120E">
        <w:t xml:space="preserve"> </w:t>
      </w:r>
      <w:r>
        <w:t>Of that total,</w:t>
      </w:r>
      <w:r w:rsidRPr="003B120E">
        <w:t xml:space="preserve"> 24 </w:t>
      </w:r>
      <w:r>
        <w:t>were</w:t>
      </w:r>
      <w:r w:rsidRPr="003B120E">
        <w:t xml:space="preserve"> charged with </w:t>
      </w:r>
      <w:r>
        <w:t xml:space="preserve">a range of </w:t>
      </w:r>
      <w:r w:rsidRPr="003B120E">
        <w:t>offences</w:t>
      </w:r>
      <w:r>
        <w:t>,</w:t>
      </w:r>
      <w:r w:rsidRPr="003B120E">
        <w:t xml:space="preserve"> including </w:t>
      </w:r>
      <w:r>
        <w:lastRenderedPageBreak/>
        <w:t xml:space="preserve">incitement to commit a felony </w:t>
      </w:r>
      <w:r w:rsidRPr="003B120E">
        <w:t xml:space="preserve">and plotting against the Government, </w:t>
      </w:r>
      <w:r>
        <w:t>and</w:t>
      </w:r>
      <w:r w:rsidRPr="003B120E">
        <w:t xml:space="preserve"> two </w:t>
      </w:r>
      <w:r>
        <w:t xml:space="preserve">were </w:t>
      </w:r>
      <w:r w:rsidRPr="003B120E">
        <w:t>convicted</w:t>
      </w:r>
      <w:r>
        <w:t xml:space="preserve"> essentially for expressing opinions on social issues</w:t>
      </w:r>
      <w:r w:rsidRPr="003B120E">
        <w:t>. U</w:t>
      </w:r>
      <w:r>
        <w:t xml:space="preserve">nited </w:t>
      </w:r>
      <w:r w:rsidRPr="003B120E">
        <w:t>N</w:t>
      </w:r>
      <w:r>
        <w:t>ations</w:t>
      </w:r>
      <w:r w:rsidRPr="003B120E">
        <w:t xml:space="preserve"> </w:t>
      </w:r>
      <w:r>
        <w:t>s</w:t>
      </w:r>
      <w:r w:rsidRPr="003B120E">
        <w:t xml:space="preserve">pecial </w:t>
      </w:r>
      <w:r>
        <w:t>p</w:t>
      </w:r>
      <w:r w:rsidRPr="003B120E">
        <w:t>rocedure</w:t>
      </w:r>
      <w:r>
        <w:t xml:space="preserve"> mandate holders</w:t>
      </w:r>
      <w:r w:rsidRPr="003B120E">
        <w:t xml:space="preserve">, in a joint letter made public on 28 July 2020, raised concerns about acts of intimidation by a senior </w:t>
      </w:r>
      <w:r>
        <w:t>g</w:t>
      </w:r>
      <w:r w:rsidRPr="003B120E">
        <w:t xml:space="preserve">overnment official against </w:t>
      </w:r>
      <w:r>
        <w:t xml:space="preserve">a human rights defender </w:t>
      </w:r>
      <w:r w:rsidRPr="003B120E">
        <w:t>in relation to comments he had made on a radio show concerning arrests in the context of COVID-19.</w:t>
      </w:r>
      <w:r w:rsidRPr="00E376F9">
        <w:rPr>
          <w:rStyle w:val="FootnoteReference"/>
        </w:rPr>
        <w:footnoteReference w:id="26"/>
      </w:r>
      <w:r w:rsidRPr="00105A5E">
        <w:rPr>
          <w:vertAlign w:val="superscript"/>
        </w:rPr>
        <w:t xml:space="preserve"> </w:t>
      </w:r>
    </w:p>
    <w:p w14:paraId="713004C5" w14:textId="40125F79" w:rsidR="00657C1B" w:rsidRPr="003B120E" w:rsidRDefault="00657C1B" w:rsidP="00657C1B">
      <w:pPr>
        <w:pStyle w:val="SingleTxtG"/>
      </w:pPr>
      <w:r>
        <w:t>20.</w:t>
      </w:r>
      <w:r>
        <w:tab/>
      </w:r>
      <w:r w:rsidRPr="003B120E">
        <w:t xml:space="preserve">OHCHR received consistent reports from journalists and media personnel of harassment, self-censorship and persistent fears of prosecution, including </w:t>
      </w:r>
      <w:r>
        <w:t>for reporting on the</w:t>
      </w:r>
      <w:r w:rsidRPr="003B120E">
        <w:t xml:space="preserve"> COVID-19 </w:t>
      </w:r>
      <w:r>
        <w:t>situation. Moreover, OHCHR</w:t>
      </w:r>
      <w:r w:rsidRPr="003B120E">
        <w:t xml:space="preserve"> documented the arrests of six journalists</w:t>
      </w:r>
      <w:r>
        <w:t>: t</w:t>
      </w:r>
      <w:r w:rsidRPr="003B120E">
        <w:t xml:space="preserve">wo were convicted on charges of incitement to commit a felony; one </w:t>
      </w:r>
      <w:r>
        <w:t>was</w:t>
      </w:r>
      <w:r w:rsidRPr="003B120E">
        <w:t xml:space="preserve"> charged with violating the interprovincial travel ban and </w:t>
      </w:r>
      <w:r>
        <w:t xml:space="preserve">was </w:t>
      </w:r>
      <w:r w:rsidRPr="003B120E">
        <w:t xml:space="preserve">awaiting trial; two others </w:t>
      </w:r>
      <w:r>
        <w:t>were</w:t>
      </w:r>
      <w:r w:rsidRPr="003B120E">
        <w:t xml:space="preserve"> charged with incitement to commit a felony and released on bail</w:t>
      </w:r>
      <w:r>
        <w:t>;</w:t>
      </w:r>
      <w:r w:rsidRPr="003B120E">
        <w:t xml:space="preserve"> </w:t>
      </w:r>
      <w:r>
        <w:t>and a</w:t>
      </w:r>
      <w:r w:rsidRPr="003B120E">
        <w:t xml:space="preserve"> Chinese journalist was deported following the publication of an article </w:t>
      </w:r>
      <w:r>
        <w:t>on</w:t>
      </w:r>
      <w:r w:rsidRPr="003B120E">
        <w:t xml:space="preserve"> the COVID-19 situation. </w:t>
      </w:r>
      <w:r>
        <w:t xml:space="preserve">All the above-mentioned journalists were carrying out routine journalism work that is protected by the right to freedom of expression. </w:t>
      </w:r>
      <w:r w:rsidRPr="003B120E">
        <w:t>On 27 October 2020, the Supreme Court rejected an appeal from two Radio Free Asia journalists who had sought to reverse an order to re-investigate their case.</w:t>
      </w:r>
      <w:r w:rsidRPr="00E376F9">
        <w:rPr>
          <w:rStyle w:val="FootnoteReference"/>
        </w:rPr>
        <w:footnoteReference w:id="27"/>
      </w:r>
      <w:r w:rsidRPr="00105A5E">
        <w:rPr>
          <w:vertAlign w:val="superscript"/>
        </w:rPr>
        <w:t xml:space="preserve"> </w:t>
      </w:r>
      <w:r w:rsidRPr="003B120E">
        <w:t>On 11 November 2020, a newspaper publisher was sentenced to 18 months</w:t>
      </w:r>
      <w:r w:rsidR="00BC48DA">
        <w:t>’</w:t>
      </w:r>
      <w:r w:rsidRPr="003B120E">
        <w:t xml:space="preserve"> imprisonment </w:t>
      </w:r>
      <w:r>
        <w:t>on charges of i</w:t>
      </w:r>
      <w:r w:rsidRPr="00917EA8">
        <w:t xml:space="preserve">ncitement to cause social chaos </w:t>
      </w:r>
      <w:r>
        <w:t>(violations of a</w:t>
      </w:r>
      <w:r w:rsidRPr="00917EA8">
        <w:t>rt</w:t>
      </w:r>
      <w:r>
        <w:t>s</w:t>
      </w:r>
      <w:r w:rsidRPr="00917EA8">
        <w:t xml:space="preserve"> 494</w:t>
      </w:r>
      <w:r>
        <w:t>–</w:t>
      </w:r>
      <w:r w:rsidRPr="00917EA8">
        <w:t xml:space="preserve">495 of the </w:t>
      </w:r>
      <w:r>
        <w:t>Criminal</w:t>
      </w:r>
      <w:r w:rsidR="003A2B92">
        <w:t xml:space="preserve"> </w:t>
      </w:r>
      <w:r w:rsidRPr="00917EA8">
        <w:t>Code</w:t>
      </w:r>
      <w:r>
        <w:t>)</w:t>
      </w:r>
      <w:r w:rsidRPr="00917EA8">
        <w:t xml:space="preserve"> </w:t>
      </w:r>
      <w:r w:rsidRPr="003B120E">
        <w:t xml:space="preserve">for a Facebook post criticizing the Prime Minister for failing to find a solution for people in debt </w:t>
      </w:r>
      <w:r>
        <w:t>owing to the</w:t>
      </w:r>
      <w:r w:rsidRPr="003B120E">
        <w:t xml:space="preserve"> COVID-19</w:t>
      </w:r>
      <w:r>
        <w:t xml:space="preserve"> pandemic</w:t>
      </w:r>
      <w:r w:rsidRPr="003B120E">
        <w:t xml:space="preserve">. During the reporting period, OHCHR also documented nine instances in which media licences for websites or radio stations were revoked in circumstances that raise concern for the right to freedom of expression. </w:t>
      </w:r>
    </w:p>
    <w:p w14:paraId="5A33DDBF" w14:textId="77777777" w:rsidR="00657C1B" w:rsidRPr="003B120E" w:rsidRDefault="00657C1B" w:rsidP="00657C1B">
      <w:pPr>
        <w:pStyle w:val="SingleTxtG"/>
      </w:pPr>
      <w:r>
        <w:t>21.</w:t>
      </w:r>
      <w:r>
        <w:tab/>
      </w:r>
      <w:r w:rsidRPr="003B120E">
        <w:t xml:space="preserve">Impunity remains an issue of concern, despite the </w:t>
      </w:r>
      <w:r w:rsidRPr="3974A1C8">
        <w:t>call by the Human Rights Council for Cambodia to urgently investigate and prosecute those involved in the killing of Kem Ley</w:t>
      </w:r>
      <w:r w:rsidRPr="003B120E">
        <w:t xml:space="preserve"> and other serious human rights violations.</w:t>
      </w:r>
      <w:r w:rsidRPr="00E376F9">
        <w:rPr>
          <w:rStyle w:val="FootnoteReference"/>
        </w:rPr>
        <w:footnoteReference w:id="28"/>
      </w:r>
      <w:r w:rsidRPr="00105A5E">
        <w:rPr>
          <w:vertAlign w:val="superscript"/>
        </w:rPr>
        <w:t xml:space="preserve"> </w:t>
      </w:r>
      <w:r>
        <w:t>T</w:t>
      </w:r>
      <w:r w:rsidRPr="003B120E">
        <w:t xml:space="preserve">he killing of Kem Ley, and </w:t>
      </w:r>
      <w:r>
        <w:t>the</w:t>
      </w:r>
      <w:r w:rsidRPr="003B120E">
        <w:t xml:space="preserve"> killings and disappearances</w:t>
      </w:r>
      <w:r>
        <w:t xml:space="preserve"> of other individuals</w:t>
      </w:r>
      <w:r w:rsidRPr="003B120E">
        <w:t>, including</w:t>
      </w:r>
      <w:r>
        <w:t xml:space="preserve"> </w:t>
      </w:r>
      <w:r w:rsidRPr="003B120E">
        <w:t>Chea Vichea</w:t>
      </w:r>
      <w:r>
        <w:t xml:space="preserve"> and Ros Sovannareth</w:t>
      </w:r>
      <w:r w:rsidRPr="003B120E">
        <w:t>,</w:t>
      </w:r>
      <w:r w:rsidRPr="00E376F9">
        <w:rPr>
          <w:rStyle w:val="FootnoteReference"/>
        </w:rPr>
        <w:footnoteReference w:id="29"/>
      </w:r>
      <w:r w:rsidRPr="003B120E">
        <w:t xml:space="preserve"> Chut Wutty </w:t>
      </w:r>
      <w:r>
        <w:t>and Heng Chantha,</w:t>
      </w:r>
      <w:r w:rsidRPr="00E376F9">
        <w:rPr>
          <w:rStyle w:val="FootnoteReference"/>
        </w:rPr>
        <w:footnoteReference w:id="30"/>
      </w:r>
      <w:r>
        <w:t xml:space="preserve"> </w:t>
      </w:r>
      <w:r w:rsidRPr="3974A1C8">
        <w:t>Khem Sophath</w:t>
      </w:r>
      <w:r>
        <w:t>,</w:t>
      </w:r>
      <w:r w:rsidRPr="00E376F9">
        <w:rPr>
          <w:rStyle w:val="FootnoteReference"/>
        </w:rPr>
        <w:footnoteReference w:id="31"/>
      </w:r>
      <w:r w:rsidRPr="003B120E">
        <w:t xml:space="preserve"> and six demonstrators killed in 2013 and 2014</w:t>
      </w:r>
      <w:r>
        <w:t>,</w:t>
      </w:r>
      <w:r w:rsidRPr="000115EA">
        <w:t xml:space="preserve"> </w:t>
      </w:r>
      <w:r>
        <w:t xml:space="preserve">have been </w:t>
      </w:r>
      <w:r w:rsidRPr="003B120E">
        <w:t>highlighted in previous reports</w:t>
      </w:r>
      <w:r>
        <w:t xml:space="preserve"> of OHCHR</w:t>
      </w:r>
      <w:r w:rsidRPr="003B120E">
        <w:t>.</w:t>
      </w:r>
      <w:r w:rsidRPr="00E376F9">
        <w:rPr>
          <w:rStyle w:val="FootnoteReference"/>
        </w:rPr>
        <w:footnoteReference w:id="32"/>
      </w:r>
    </w:p>
    <w:p w14:paraId="12CEBCAF" w14:textId="783F3BAA" w:rsidR="00657C1B" w:rsidRPr="003B120E" w:rsidRDefault="00657C1B" w:rsidP="00657C1B">
      <w:pPr>
        <w:pStyle w:val="SingleTxtG"/>
      </w:pPr>
      <w:r>
        <w:t>22.</w:t>
      </w:r>
      <w:r>
        <w:tab/>
      </w:r>
      <w:r w:rsidRPr="003B120E">
        <w:t xml:space="preserve">The </w:t>
      </w:r>
      <w:r>
        <w:t>s</w:t>
      </w:r>
      <w:r w:rsidRPr="003B120E">
        <w:t>ub-</w:t>
      </w:r>
      <w:r>
        <w:t>d</w:t>
      </w:r>
      <w:r w:rsidRPr="003B120E">
        <w:t xml:space="preserve">ecree on </w:t>
      </w:r>
      <w:r>
        <w:t>a n</w:t>
      </w:r>
      <w:r w:rsidRPr="003B120E">
        <w:t xml:space="preserve">ational Internet </w:t>
      </w:r>
      <w:r>
        <w:t>g</w:t>
      </w:r>
      <w:r w:rsidRPr="003B120E">
        <w:t xml:space="preserve">ateway, adopted in February 2021, threatens the rights to privacy, freedom of expression and access to information. The </w:t>
      </w:r>
      <w:r>
        <w:t>s</w:t>
      </w:r>
      <w:r w:rsidRPr="003B120E">
        <w:t>ub-</w:t>
      </w:r>
      <w:r>
        <w:t>d</w:t>
      </w:r>
      <w:r w:rsidRPr="003B120E">
        <w:t xml:space="preserve">ecree provides the Government </w:t>
      </w:r>
      <w:r>
        <w:t xml:space="preserve">with a disturbing amount of power </w:t>
      </w:r>
      <w:r w:rsidRPr="003B120E">
        <w:t xml:space="preserve">to monitor and conduct surveillance of </w:t>
      </w:r>
      <w:r>
        <w:t>online</w:t>
      </w:r>
      <w:r w:rsidRPr="003B120E">
        <w:t xml:space="preserve"> activit</w:t>
      </w:r>
      <w:r>
        <w:t>ies</w:t>
      </w:r>
      <w:r w:rsidRPr="003B120E">
        <w:t xml:space="preserve">, </w:t>
      </w:r>
      <w:r>
        <w:t xml:space="preserve">to </w:t>
      </w:r>
      <w:r w:rsidRPr="003B120E">
        <w:t xml:space="preserve">intercept and censor digital communications and </w:t>
      </w:r>
      <w:r>
        <w:t xml:space="preserve">to </w:t>
      </w:r>
      <w:r w:rsidRPr="003B120E">
        <w:t>collect users</w:t>
      </w:r>
      <w:r w:rsidR="00BC48DA">
        <w:t>’</w:t>
      </w:r>
      <w:r w:rsidRPr="003B120E">
        <w:t xml:space="preserve"> personal data. The Government has been developing </w:t>
      </w:r>
      <w:r>
        <w:t>a</w:t>
      </w:r>
      <w:r w:rsidRPr="003B120E">
        <w:t xml:space="preserve"> </w:t>
      </w:r>
      <w:r>
        <w:t>l</w:t>
      </w:r>
      <w:r w:rsidRPr="003B120E">
        <w:t xml:space="preserve">aw on </w:t>
      </w:r>
      <w:r>
        <w:t>a</w:t>
      </w:r>
      <w:r w:rsidRPr="003B120E">
        <w:t xml:space="preserve">ccess to </w:t>
      </w:r>
      <w:r>
        <w:t>i</w:t>
      </w:r>
      <w:r w:rsidRPr="003B120E">
        <w:t xml:space="preserve">nformation since 2015. OHCHR is concerned that the current draft fails to establish an independent information commission or a specialized administrative body to oversee the enforcement and implementation of the law, and does not include adequate appeal procedures. </w:t>
      </w:r>
    </w:p>
    <w:p w14:paraId="20294651" w14:textId="77777777" w:rsidR="00657C1B" w:rsidRDefault="00657C1B" w:rsidP="00B61DFF">
      <w:pPr>
        <w:pStyle w:val="HChG"/>
      </w:pPr>
      <w:r>
        <w:tab/>
        <w:t>IV.</w:t>
      </w:r>
      <w:r>
        <w:tab/>
      </w:r>
      <w:r w:rsidRPr="003B120E">
        <w:t>Administration of justice</w:t>
      </w:r>
    </w:p>
    <w:p w14:paraId="6A7B4280" w14:textId="77777777" w:rsidR="00657C1B" w:rsidRPr="003B120E" w:rsidRDefault="00657C1B" w:rsidP="00657C1B">
      <w:pPr>
        <w:pStyle w:val="H1G"/>
        <w:rPr>
          <w:bCs/>
          <w:sz w:val="28"/>
        </w:rPr>
      </w:pPr>
      <w:r>
        <w:tab/>
        <w:t>A.</w:t>
      </w:r>
      <w:r>
        <w:tab/>
      </w:r>
      <w:r w:rsidRPr="003B120E">
        <w:t xml:space="preserve">Legislative developments and their </w:t>
      </w:r>
      <w:r>
        <w:t xml:space="preserve">impact on </w:t>
      </w:r>
      <w:r w:rsidRPr="003B120E">
        <w:t xml:space="preserve">human rights </w:t>
      </w:r>
    </w:p>
    <w:p w14:paraId="15B327BB" w14:textId="77777777" w:rsidR="00657C1B" w:rsidRPr="003B120E" w:rsidRDefault="00657C1B" w:rsidP="00657C1B">
      <w:pPr>
        <w:pStyle w:val="SingleTxtG"/>
      </w:pPr>
      <w:r w:rsidRPr="003B120E">
        <w:t>23.</w:t>
      </w:r>
      <w:r w:rsidRPr="003B120E">
        <w:tab/>
        <w:t xml:space="preserve">The COVID-19 </w:t>
      </w:r>
      <w:r>
        <w:t>l</w:t>
      </w:r>
      <w:r w:rsidRPr="003B120E">
        <w:t xml:space="preserve">aw was adopted on 11 March 2021 without public consultation. On 31 March, </w:t>
      </w:r>
      <w:r>
        <w:t>United Nations</w:t>
      </w:r>
      <w:r w:rsidRPr="003B120E">
        <w:t xml:space="preserve"> </w:t>
      </w:r>
      <w:r>
        <w:t>s</w:t>
      </w:r>
      <w:r w:rsidRPr="003B120E">
        <w:t xml:space="preserve">pecial </w:t>
      </w:r>
      <w:r>
        <w:t>p</w:t>
      </w:r>
      <w:r w:rsidRPr="003B120E">
        <w:t>rocedure mandate holders outlined concerns arising from the law in a letter to the Government.</w:t>
      </w:r>
      <w:r w:rsidRPr="00E376F9">
        <w:rPr>
          <w:rStyle w:val="FootnoteReference"/>
        </w:rPr>
        <w:footnoteReference w:id="33"/>
      </w:r>
      <w:r w:rsidRPr="003B120E">
        <w:t xml:space="preserve"> On 11 March, the </w:t>
      </w:r>
      <w:r>
        <w:t>United Nations</w:t>
      </w:r>
      <w:r w:rsidRPr="003B120E">
        <w:t xml:space="preserve"> </w:t>
      </w:r>
      <w:r>
        <w:t>c</w:t>
      </w:r>
      <w:r w:rsidRPr="003B120E">
        <w:t xml:space="preserve">ountry </w:t>
      </w:r>
      <w:r>
        <w:t>t</w:t>
      </w:r>
      <w:r w:rsidRPr="003B120E">
        <w:t>eam sent a technical note to the Government highlighting key areas of concern</w:t>
      </w:r>
      <w:r>
        <w:t>,</w:t>
      </w:r>
      <w:r w:rsidRPr="003B120E">
        <w:t xml:space="preserve"> including </w:t>
      </w:r>
      <w:r>
        <w:t xml:space="preserve">the fact that the law allowed for the handing down of </w:t>
      </w:r>
      <w:r w:rsidRPr="003B120E">
        <w:t xml:space="preserve">extremely harsh and disproportionate sentences. </w:t>
      </w:r>
      <w:r>
        <w:t xml:space="preserve">For example, individuals convicted for violating the COVID-19 restrictions could be imprisoned for between six months and 20 years. </w:t>
      </w:r>
      <w:r w:rsidRPr="003B120E">
        <w:t>Separately, as part of its technical cooperation</w:t>
      </w:r>
      <w:r>
        <w:t xml:space="preserve"> assistance</w:t>
      </w:r>
      <w:r w:rsidRPr="003B120E">
        <w:t xml:space="preserve">, OHCHR submitted a legal analysis of the </w:t>
      </w:r>
      <w:r>
        <w:t>l</w:t>
      </w:r>
      <w:r w:rsidRPr="003B120E">
        <w:t>aw to the Ministry of Justice</w:t>
      </w:r>
      <w:r>
        <w:t xml:space="preserve"> and</w:t>
      </w:r>
      <w:r w:rsidRPr="003B120E">
        <w:t xml:space="preserve"> </w:t>
      </w:r>
      <w:r w:rsidRPr="003B120E">
        <w:lastRenderedPageBreak/>
        <w:t xml:space="preserve">highlighted provisions that were inconsistent with </w:t>
      </w:r>
      <w:r>
        <w:t>the</w:t>
      </w:r>
      <w:r w:rsidRPr="003B120E">
        <w:t xml:space="preserve"> international human rights obligations</w:t>
      </w:r>
      <w:r>
        <w:t xml:space="preserve"> of Cambodia</w:t>
      </w:r>
      <w:r w:rsidRPr="003B120E">
        <w:t xml:space="preserve">. </w:t>
      </w:r>
      <w:r>
        <w:t>In its comments on the present report, the Government stated that the COVID-19 law was an indispensable, proportionate, legitimate and necessary response to the pandemic.</w:t>
      </w:r>
    </w:p>
    <w:p w14:paraId="1507F4BF" w14:textId="3492E902" w:rsidR="00657C1B" w:rsidRPr="003B120E" w:rsidRDefault="00657C1B" w:rsidP="00657C1B">
      <w:pPr>
        <w:pStyle w:val="SingleTxtG"/>
      </w:pPr>
      <w:r w:rsidRPr="003B120E">
        <w:t>24.</w:t>
      </w:r>
      <w:r w:rsidRPr="003B120E">
        <w:tab/>
      </w:r>
      <w:r>
        <w:t>From</w:t>
      </w:r>
      <w:r w:rsidRPr="003B120E">
        <w:t xml:space="preserve"> mid-April 2021</w:t>
      </w:r>
      <w:r>
        <w:t xml:space="preserve"> to the end of the reporting period</w:t>
      </w:r>
      <w:r w:rsidRPr="003B120E">
        <w:t xml:space="preserve">, according to publicly available information, at least 729 persons </w:t>
      </w:r>
      <w:r>
        <w:t>have been</w:t>
      </w:r>
      <w:r w:rsidRPr="003B120E">
        <w:t xml:space="preserve"> arrested under the COVID-19 </w:t>
      </w:r>
      <w:r>
        <w:t>l</w:t>
      </w:r>
      <w:r w:rsidRPr="003B120E">
        <w:t>aw and related sub</w:t>
      </w:r>
      <w:r>
        <w:t>-</w:t>
      </w:r>
      <w:r w:rsidRPr="003B120E">
        <w:t>decrees</w:t>
      </w:r>
      <w:r>
        <w:t>,</w:t>
      </w:r>
      <w:r w:rsidRPr="003B120E">
        <w:t xml:space="preserve"> 126 </w:t>
      </w:r>
      <w:r>
        <w:t>of whom have been</w:t>
      </w:r>
      <w:r w:rsidRPr="003B120E">
        <w:t xml:space="preserve"> charged. Of the</w:t>
      </w:r>
      <w:r>
        <w:t xml:space="preserve"> individuals charged</w:t>
      </w:r>
      <w:r w:rsidRPr="003B120E">
        <w:t xml:space="preserve">, 110 are </w:t>
      </w:r>
      <w:r>
        <w:t>in</w:t>
      </w:r>
      <w:r w:rsidRPr="003B120E">
        <w:t xml:space="preserve"> </w:t>
      </w:r>
      <w:r>
        <w:t>pre</w:t>
      </w:r>
      <w:r w:rsidRPr="003B120E">
        <w:t>trial</w:t>
      </w:r>
      <w:r>
        <w:t xml:space="preserve"> detention and</w:t>
      </w:r>
      <w:r w:rsidRPr="003B120E">
        <w:t xml:space="preserve"> 16 </w:t>
      </w:r>
      <w:r>
        <w:t xml:space="preserve">have been </w:t>
      </w:r>
      <w:r w:rsidRPr="003B120E">
        <w:t xml:space="preserve">convicted. The majority of those convicted were tried without </w:t>
      </w:r>
      <w:r>
        <w:t>the assistance of counsel</w:t>
      </w:r>
      <w:r w:rsidRPr="003B120E">
        <w:t xml:space="preserve">, in possible violation of the right to have adequate time and facilities to prepare their defence, as the trials were held under </w:t>
      </w:r>
      <w:r w:rsidR="00BC48DA">
        <w:t>“</w:t>
      </w:r>
      <w:r w:rsidRPr="003B120E">
        <w:t>immediate appearance</w:t>
      </w:r>
      <w:r w:rsidR="00BC48DA">
        <w:t>”</w:t>
      </w:r>
      <w:r w:rsidRPr="003B120E">
        <w:t xml:space="preserve"> procedures. In one case</w:t>
      </w:r>
      <w:r>
        <w:t>, which highlights the disproportionate sentencing contained in the law</w:t>
      </w:r>
      <w:r w:rsidRPr="003B120E">
        <w:t xml:space="preserve">, four men arrested in </w:t>
      </w:r>
      <w:r w:rsidRPr="001B1FF4">
        <w:t>Takeo Province on 18 April 2021 for holding a party were tried and convicted the following day and sentenced to one year of imprisonment.</w:t>
      </w:r>
      <w:r w:rsidRPr="00E376F9">
        <w:rPr>
          <w:rStyle w:val="FootnoteReference"/>
        </w:rPr>
        <w:footnoteReference w:id="34"/>
      </w:r>
      <w:r w:rsidRPr="001B1FF4">
        <w:t xml:space="preserve"> In Kampong Chhnang Province, two women</w:t>
      </w:r>
      <w:r w:rsidRPr="003B120E">
        <w:t xml:space="preserve"> and a minor were arrested</w:t>
      </w:r>
      <w:r>
        <w:t xml:space="preserve"> by police</w:t>
      </w:r>
      <w:r w:rsidRPr="003B120E">
        <w:t xml:space="preserve"> on 1 May 2021 </w:t>
      </w:r>
      <w:r>
        <w:t xml:space="preserve">and </w:t>
      </w:r>
      <w:r w:rsidRPr="003B120E">
        <w:t>held incommunicado in locations unknown to their families for 20 days.</w:t>
      </w:r>
    </w:p>
    <w:p w14:paraId="6D45059F" w14:textId="1EA25EFB" w:rsidR="00657C1B" w:rsidRPr="003B120E" w:rsidRDefault="00657C1B" w:rsidP="00657C1B">
      <w:pPr>
        <w:pStyle w:val="SingleTxtG"/>
      </w:pPr>
      <w:r w:rsidRPr="003B120E">
        <w:t>25.</w:t>
      </w:r>
      <w:r w:rsidRPr="003B120E">
        <w:tab/>
        <w:t xml:space="preserve">OHCHR provided technical support to the Disability Action Council </w:t>
      </w:r>
      <w:r>
        <w:t>for</w:t>
      </w:r>
      <w:r w:rsidRPr="003B120E">
        <w:t xml:space="preserve"> the drafting of a new </w:t>
      </w:r>
      <w:r>
        <w:t>l</w:t>
      </w:r>
      <w:r w:rsidRPr="003B120E">
        <w:t xml:space="preserve">aw on the </w:t>
      </w:r>
      <w:r>
        <w:t>r</w:t>
      </w:r>
      <w:r w:rsidRPr="003B120E">
        <w:t xml:space="preserve">ights of </w:t>
      </w:r>
      <w:r>
        <w:t>p</w:t>
      </w:r>
      <w:r w:rsidRPr="003B120E">
        <w:t xml:space="preserve">ersons with </w:t>
      </w:r>
      <w:r>
        <w:t>d</w:t>
      </w:r>
      <w:r w:rsidRPr="003B120E">
        <w:t>isabilities. The authorities</w:t>
      </w:r>
      <w:r w:rsidR="00BC48DA">
        <w:t>’</w:t>
      </w:r>
      <w:r w:rsidRPr="003B120E">
        <w:t xml:space="preserve"> objective </w:t>
      </w:r>
      <w:r>
        <w:t>wa</w:t>
      </w:r>
      <w:r w:rsidRPr="003B120E">
        <w:t>s to bring Cambodian law in</w:t>
      </w:r>
      <w:r>
        <w:t>to</w:t>
      </w:r>
      <w:r w:rsidRPr="003B120E">
        <w:t xml:space="preserve"> line with the Convention on the Rights of Persons with Disabilities.</w:t>
      </w:r>
      <w:r w:rsidRPr="00E376F9">
        <w:rPr>
          <w:rStyle w:val="FootnoteReference"/>
        </w:rPr>
        <w:footnoteReference w:id="35"/>
      </w:r>
      <w:r w:rsidRPr="003B120E">
        <w:t xml:space="preserve"> However, as outlined by </w:t>
      </w:r>
      <w:r>
        <w:t>United Nations</w:t>
      </w:r>
      <w:r w:rsidRPr="003B120E">
        <w:t xml:space="preserve"> </w:t>
      </w:r>
      <w:r>
        <w:t>s</w:t>
      </w:r>
      <w:r w:rsidRPr="003B120E">
        <w:t xml:space="preserve">pecial </w:t>
      </w:r>
      <w:r>
        <w:t>p</w:t>
      </w:r>
      <w:r w:rsidRPr="003B120E">
        <w:t>rocedure mandate holders, the draft takes a medical approach to disability</w:t>
      </w:r>
      <w:r>
        <w:t xml:space="preserve"> by</w:t>
      </w:r>
      <w:r w:rsidRPr="003B120E">
        <w:t xml:space="preserve"> focusing on </w:t>
      </w:r>
      <w:r>
        <w:t>individuals</w:t>
      </w:r>
      <w:r w:rsidR="00BC48DA">
        <w:t>’</w:t>
      </w:r>
      <w:r w:rsidRPr="003B120E">
        <w:t xml:space="preserve"> limitations rather than</w:t>
      </w:r>
      <w:r>
        <w:t xml:space="preserve"> on</w:t>
      </w:r>
      <w:r w:rsidRPr="003B120E">
        <w:t xml:space="preserve"> the limitations</w:t>
      </w:r>
      <w:r w:rsidRPr="005A5D31">
        <w:t xml:space="preserve"> </w:t>
      </w:r>
      <w:r>
        <w:t>within society and on the support measures that need to be taken to minimize social barriers</w:t>
      </w:r>
      <w:r w:rsidRPr="003B120E">
        <w:t>.</w:t>
      </w:r>
      <w:r w:rsidRPr="00E376F9">
        <w:rPr>
          <w:rStyle w:val="FootnoteReference"/>
        </w:rPr>
        <w:footnoteReference w:id="36"/>
      </w:r>
      <w:r w:rsidRPr="003B120E">
        <w:t xml:space="preserve"> </w:t>
      </w:r>
      <w:r>
        <w:t xml:space="preserve">In its comments on the present report, the Government stated that it continued to collect inputs from relevant stakeholders, including organizations representing persons with disabilities. </w:t>
      </w:r>
    </w:p>
    <w:p w14:paraId="0BF5947C" w14:textId="60EB731D" w:rsidR="00657C1B" w:rsidRPr="00B019B6" w:rsidRDefault="00657C1B" w:rsidP="00657C1B">
      <w:pPr>
        <w:pStyle w:val="SingleTxtG"/>
      </w:pPr>
      <w:r w:rsidRPr="003B120E">
        <w:t>26.</w:t>
      </w:r>
      <w:r w:rsidRPr="003B120E">
        <w:tab/>
        <w:t xml:space="preserve">In November 2020, the </w:t>
      </w:r>
      <w:r>
        <w:t>United Nations</w:t>
      </w:r>
      <w:r w:rsidRPr="003B120E">
        <w:t xml:space="preserve"> </w:t>
      </w:r>
      <w:r>
        <w:t>c</w:t>
      </w:r>
      <w:r w:rsidRPr="003B120E">
        <w:t xml:space="preserve">ountry </w:t>
      </w:r>
      <w:r>
        <w:t>t</w:t>
      </w:r>
      <w:r w:rsidRPr="003B120E">
        <w:t>eam wrote to the Government expressing concern</w:t>
      </w:r>
      <w:r>
        <w:t xml:space="preserve"> about</w:t>
      </w:r>
      <w:r w:rsidRPr="003B120E">
        <w:t xml:space="preserve"> some provisions of a leaked version of </w:t>
      </w:r>
      <w:r>
        <w:t>the</w:t>
      </w:r>
      <w:r w:rsidRPr="003B120E">
        <w:t xml:space="preserve"> draft </w:t>
      </w:r>
      <w:r>
        <w:t>l</w:t>
      </w:r>
      <w:r w:rsidRPr="003B120E">
        <w:t xml:space="preserve">aw on </w:t>
      </w:r>
      <w:r>
        <w:t>maintaining the p</w:t>
      </w:r>
      <w:r w:rsidRPr="003B120E">
        <w:t xml:space="preserve">ublic </w:t>
      </w:r>
      <w:r>
        <w:t>o</w:t>
      </w:r>
      <w:r w:rsidRPr="003B120E">
        <w:t xml:space="preserve">rder. </w:t>
      </w:r>
      <w:r w:rsidRPr="00B019B6">
        <w:t>The draft include</w:t>
      </w:r>
      <w:r>
        <w:t>d</w:t>
      </w:r>
      <w:r w:rsidRPr="00B019B6">
        <w:t xml:space="preserve"> provisions prohibiting and criminali</w:t>
      </w:r>
      <w:r>
        <w:t>z</w:t>
      </w:r>
      <w:r w:rsidRPr="00B019B6">
        <w:t xml:space="preserve">ing </w:t>
      </w:r>
      <w:r>
        <w:t xml:space="preserve">the </w:t>
      </w:r>
      <w:r w:rsidRPr="00B019B6">
        <w:t xml:space="preserve">wearing </w:t>
      </w:r>
      <w:r w:rsidR="00BC48DA">
        <w:t>“</w:t>
      </w:r>
      <w:r w:rsidRPr="00B019B6">
        <w:t>revealing clothes</w:t>
      </w:r>
      <w:r w:rsidR="00BC48DA">
        <w:t>”</w:t>
      </w:r>
      <w:r w:rsidRPr="00B019B6">
        <w:t xml:space="preserve"> </w:t>
      </w:r>
      <w:r>
        <w:t>by</w:t>
      </w:r>
      <w:r w:rsidRPr="00B019B6">
        <w:t xml:space="preserve"> women. </w:t>
      </w:r>
      <w:r>
        <w:t xml:space="preserve">Furthermore, women have been arrested and convicted for posting pictures online of themselves in </w:t>
      </w:r>
      <w:r w:rsidR="00BC48DA">
        <w:t>“</w:t>
      </w:r>
      <w:r w:rsidRPr="00680DA6">
        <w:t>revealing clothes</w:t>
      </w:r>
      <w:r w:rsidR="00BC48DA">
        <w:t>”</w:t>
      </w:r>
      <w:r>
        <w:t xml:space="preserve"> and NGOs have been threatened for advocating their right to do so</w:t>
      </w:r>
      <w:r w:rsidRPr="00B019B6">
        <w:t>.</w:t>
      </w:r>
      <w:r w:rsidRPr="00E376F9">
        <w:rPr>
          <w:rStyle w:val="FootnoteReference"/>
        </w:rPr>
        <w:footnoteReference w:id="37"/>
      </w:r>
      <w:r>
        <w:t xml:space="preserve"> Other provisions of that draft law may lead to discrimination against persons with disabilities and other marginalized groups. </w:t>
      </w:r>
    </w:p>
    <w:p w14:paraId="674E05ED" w14:textId="77777777" w:rsidR="00657C1B" w:rsidRPr="003B120E" w:rsidRDefault="00657C1B" w:rsidP="00657C1B">
      <w:pPr>
        <w:pStyle w:val="H1G"/>
      </w:pPr>
      <w:r>
        <w:tab/>
        <w:t>B.</w:t>
      </w:r>
      <w:r w:rsidRPr="003B120E">
        <w:tab/>
        <w:t>Access to justice and the independence of the judiciary</w:t>
      </w:r>
    </w:p>
    <w:p w14:paraId="37464DBC" w14:textId="77777777" w:rsidR="00657C1B" w:rsidRPr="003B120E" w:rsidRDefault="00657C1B" w:rsidP="00657C1B">
      <w:pPr>
        <w:pStyle w:val="SingleTxtG"/>
      </w:pPr>
      <w:r w:rsidRPr="003B120E">
        <w:t>27.</w:t>
      </w:r>
      <w:r w:rsidRPr="003B120E">
        <w:tab/>
        <w:t>OHCHR monitored 24 court hearings in 14 cases involving 191 members of the political opposition, three journalists and 16 human rights defenders. In most of th</w:t>
      </w:r>
      <w:r>
        <w:t>o</w:t>
      </w:r>
      <w:r w:rsidRPr="003B120E">
        <w:t xml:space="preserve">se cases, arrests were made without warrants and </w:t>
      </w:r>
      <w:r>
        <w:t xml:space="preserve">those </w:t>
      </w:r>
      <w:r w:rsidRPr="003B120E">
        <w:t>arreste</w:t>
      </w:r>
      <w:r>
        <w:t>d</w:t>
      </w:r>
      <w:r w:rsidRPr="003B120E">
        <w:t xml:space="preserve"> were interrogated without being informed of the charges </w:t>
      </w:r>
      <w:r>
        <w:t xml:space="preserve">against them </w:t>
      </w:r>
      <w:r w:rsidRPr="003B120E">
        <w:t>and without a lawyer</w:t>
      </w:r>
      <w:r>
        <w:t xml:space="preserve"> being present</w:t>
      </w:r>
      <w:r w:rsidRPr="003B120E">
        <w:t xml:space="preserve">. OHCHR documented practices </w:t>
      </w:r>
      <w:r>
        <w:t xml:space="preserve">of concern </w:t>
      </w:r>
      <w:r w:rsidRPr="003B120E">
        <w:t>in most of the proceedings, includ</w:t>
      </w:r>
      <w:r>
        <w:t>ing</w:t>
      </w:r>
      <w:r w:rsidRPr="003B120E">
        <w:t xml:space="preserve"> </w:t>
      </w:r>
      <w:r>
        <w:t xml:space="preserve">some demonstrating </w:t>
      </w:r>
      <w:r w:rsidRPr="003B120E">
        <w:t xml:space="preserve">a lack of respect for fair trial rights, in particular </w:t>
      </w:r>
      <w:r>
        <w:t>in the form of a</w:t>
      </w:r>
      <w:r w:rsidRPr="003B120E">
        <w:t xml:space="preserve"> notable absence of the </w:t>
      </w:r>
      <w:r w:rsidRPr="00332855">
        <w:t>presumption of innocence. In a case against three human rights defenders affiliated with Mother Nature Cambodia, guilty verdicts</w:t>
      </w:r>
      <w:r w:rsidRPr="003B120E">
        <w:t xml:space="preserve"> were handed down in the absence of any </w:t>
      </w:r>
      <w:r>
        <w:t>factual or substantial</w:t>
      </w:r>
      <w:r w:rsidRPr="003B120E">
        <w:t xml:space="preserve"> evidence</w:t>
      </w:r>
      <w:r>
        <w:t>. A United Nations</w:t>
      </w:r>
      <w:r w:rsidRPr="003B120E">
        <w:t xml:space="preserve"> </w:t>
      </w:r>
      <w:r>
        <w:t>s</w:t>
      </w:r>
      <w:r w:rsidRPr="003B120E">
        <w:t xml:space="preserve">pecial </w:t>
      </w:r>
      <w:r>
        <w:t>p</w:t>
      </w:r>
      <w:r w:rsidRPr="003B120E">
        <w:t xml:space="preserve">rocedure </w:t>
      </w:r>
      <w:r>
        <w:t xml:space="preserve">mandate holder </w:t>
      </w:r>
      <w:r w:rsidRPr="003B120E">
        <w:t>express</w:t>
      </w:r>
      <w:r>
        <w:t>ed</w:t>
      </w:r>
      <w:r w:rsidRPr="003B120E">
        <w:t xml:space="preserve"> concern at the inability and unwillingness of the court </w:t>
      </w:r>
      <w:r>
        <w:t xml:space="preserve">concerned </w:t>
      </w:r>
      <w:r w:rsidRPr="003B120E">
        <w:t xml:space="preserve">to uphold </w:t>
      </w:r>
      <w:r>
        <w:t xml:space="preserve">the </w:t>
      </w:r>
      <w:r w:rsidRPr="003B120E">
        <w:t>human rights</w:t>
      </w:r>
      <w:r>
        <w:t xml:space="preserve"> of the three human rights defenders</w:t>
      </w:r>
      <w:r w:rsidRPr="003B120E">
        <w:t>.</w:t>
      </w:r>
      <w:r w:rsidRPr="00E376F9">
        <w:rPr>
          <w:rStyle w:val="FootnoteReference"/>
        </w:rPr>
        <w:footnoteReference w:id="38"/>
      </w:r>
    </w:p>
    <w:p w14:paraId="1F20E9B5" w14:textId="77777777" w:rsidR="00657C1B" w:rsidRPr="003B120E" w:rsidRDefault="00657C1B" w:rsidP="00657C1B">
      <w:pPr>
        <w:pStyle w:val="SingleTxtG"/>
      </w:pPr>
      <w:r w:rsidRPr="003B120E">
        <w:t>28.</w:t>
      </w:r>
      <w:r w:rsidRPr="003B120E">
        <w:tab/>
        <w:t>Owing to the COVID-19 situation, some criminal trials, including of human rights defenders and political activists</w:t>
      </w:r>
      <w:r>
        <w:t>,</w:t>
      </w:r>
      <w:r w:rsidRPr="0063449C">
        <w:t xml:space="preserve"> </w:t>
      </w:r>
      <w:r w:rsidRPr="003B120E">
        <w:t xml:space="preserve">were suspended. The trial of former opposition leader Kem Sokha, which started on 15 January 2020, </w:t>
      </w:r>
      <w:r>
        <w:t>w</w:t>
      </w:r>
      <w:r w:rsidRPr="003B120E">
        <w:t xml:space="preserve">as suspended </w:t>
      </w:r>
      <w:r>
        <w:t>in</w:t>
      </w:r>
      <w:r w:rsidRPr="003B120E">
        <w:t xml:space="preserve"> March 2020, reportedly indefinitely. </w:t>
      </w:r>
      <w:r>
        <w:t xml:space="preserve">In its comments on the present report, the Government stated that the continued </w:t>
      </w:r>
      <w:r>
        <w:lastRenderedPageBreak/>
        <w:t xml:space="preserve">suspension was at the request of both parties in the case and that the prosecution of </w:t>
      </w:r>
      <w:r w:rsidRPr="003B120E">
        <w:t>Kem Sokha</w:t>
      </w:r>
      <w:r>
        <w:t xml:space="preserve"> was not a priority because the defendant was not in pretrial detention and the courts were prioritizing cases involving detainees. </w:t>
      </w:r>
      <w:r w:rsidRPr="003B120E">
        <w:t xml:space="preserve">The mass trials of over 150 former Cambodian National Rescue Party members, </w:t>
      </w:r>
      <w:r>
        <w:t>which have been under way</w:t>
      </w:r>
      <w:r w:rsidRPr="003B120E">
        <w:t xml:space="preserve"> since November 2020, have been suspended and no date for their resumption is known. </w:t>
      </w:r>
    </w:p>
    <w:p w14:paraId="4CB29860" w14:textId="77777777" w:rsidR="00657C1B" w:rsidRPr="003B120E" w:rsidRDefault="00657C1B" w:rsidP="00657C1B">
      <w:pPr>
        <w:pStyle w:val="SingleTxtG"/>
      </w:pPr>
      <w:r>
        <w:t>29.</w:t>
      </w:r>
      <w:r>
        <w:tab/>
        <w:t xml:space="preserve">OHCHR continued to support the strengthening of the rule of law and the right to a fair trial. This included carrying out an assessment of the criminal case database in four provinces, a platform for increasing transparency in the courts. In an effort to enhance access to justice for persons with disabilities, OHCHR and the United Nations Development Programme provided training on the Convention on the Rights of Persons with Disabilities to members of the judiciary in three provinces. </w:t>
      </w:r>
    </w:p>
    <w:p w14:paraId="7A8C699F" w14:textId="77777777" w:rsidR="00657C1B" w:rsidRPr="003B120E" w:rsidRDefault="00657C1B" w:rsidP="00657C1B">
      <w:pPr>
        <w:pStyle w:val="SingleTxtG"/>
      </w:pPr>
      <w:r w:rsidRPr="003B120E">
        <w:t>30.</w:t>
      </w:r>
      <w:r w:rsidRPr="003B120E">
        <w:tab/>
        <w:t xml:space="preserve">While OHCHR welcomes the increase in recent years </w:t>
      </w:r>
      <w:r>
        <w:t>in</w:t>
      </w:r>
      <w:r w:rsidRPr="003B120E">
        <w:t xml:space="preserve"> the national legal aid budget, </w:t>
      </w:r>
      <w:r>
        <w:t>it</w:t>
      </w:r>
      <w:r w:rsidRPr="003B120E">
        <w:t xml:space="preserve"> continues to be</w:t>
      </w:r>
      <w:r>
        <w:t xml:space="preserve"> concerned about the coordination of legal aid</w:t>
      </w:r>
      <w:r w:rsidRPr="003B120E">
        <w:t xml:space="preserve">. </w:t>
      </w:r>
      <w:r>
        <w:t>Moreover, it notes that t</w:t>
      </w:r>
      <w:r w:rsidRPr="003B120E">
        <w:t xml:space="preserve">he Human Rights Council </w:t>
      </w:r>
      <w:r>
        <w:t xml:space="preserve">has encouraged the Government to speedily </w:t>
      </w:r>
      <w:r w:rsidRPr="003B120E">
        <w:t xml:space="preserve">adopt the </w:t>
      </w:r>
      <w:r>
        <w:t>l</w:t>
      </w:r>
      <w:r w:rsidRPr="003B120E">
        <w:t xml:space="preserve">egal </w:t>
      </w:r>
      <w:r>
        <w:t>a</w:t>
      </w:r>
      <w:r w:rsidRPr="003B120E">
        <w:t>id</w:t>
      </w:r>
      <w:r>
        <w:t xml:space="preserve"> policy</w:t>
      </w:r>
      <w:r w:rsidRPr="003B120E">
        <w:t>,</w:t>
      </w:r>
      <w:r w:rsidRPr="00E376F9">
        <w:rPr>
          <w:rStyle w:val="FootnoteReference"/>
        </w:rPr>
        <w:footnoteReference w:id="39"/>
      </w:r>
      <w:r w:rsidRPr="003B120E">
        <w:t xml:space="preserve"> which exists in draft form and proposes a centralized system,</w:t>
      </w:r>
      <w:r>
        <w:t xml:space="preserve"> </w:t>
      </w:r>
      <w:r w:rsidRPr="003B120E">
        <w:t>but</w:t>
      </w:r>
      <w:r>
        <w:t xml:space="preserve"> also that</w:t>
      </w:r>
      <w:r w:rsidRPr="003B120E">
        <w:t xml:space="preserve"> the draft policy </w:t>
      </w:r>
      <w:r>
        <w:t xml:space="preserve">remains </w:t>
      </w:r>
      <w:r w:rsidRPr="003B120E">
        <w:t>on hold. OHCHR is supporting efforts to conclude</w:t>
      </w:r>
      <w:r>
        <w:t>,</w:t>
      </w:r>
      <w:r w:rsidRPr="003B120E">
        <w:t xml:space="preserve"> jointly with the Ministry of Justice</w:t>
      </w:r>
      <w:r>
        <w:t>,</w:t>
      </w:r>
      <w:r w:rsidRPr="003B120E">
        <w:t xml:space="preserve"> an </w:t>
      </w:r>
      <w:r>
        <w:t>a</w:t>
      </w:r>
      <w:r w:rsidRPr="003B120E">
        <w:t xml:space="preserve">lternative </w:t>
      </w:r>
      <w:r>
        <w:t>d</w:t>
      </w:r>
      <w:r w:rsidRPr="003B120E">
        <w:t xml:space="preserve">ispute </w:t>
      </w:r>
      <w:r>
        <w:t>r</w:t>
      </w:r>
      <w:r w:rsidRPr="003B120E">
        <w:t xml:space="preserve">esolution policy </w:t>
      </w:r>
      <w:r>
        <w:t>in</w:t>
      </w:r>
      <w:r w:rsidRPr="003B120E">
        <w:t xml:space="preserve"> its role as co-chair of the </w:t>
      </w:r>
      <w:r>
        <w:t>t</w:t>
      </w:r>
      <w:r w:rsidRPr="003B120E">
        <w:t xml:space="preserve">echnical </w:t>
      </w:r>
      <w:r>
        <w:t>w</w:t>
      </w:r>
      <w:r w:rsidRPr="003B120E">
        <w:t xml:space="preserve">orking </w:t>
      </w:r>
      <w:r>
        <w:t>g</w:t>
      </w:r>
      <w:r w:rsidRPr="003B120E">
        <w:t xml:space="preserve">roup for </w:t>
      </w:r>
      <w:r>
        <w:t>l</w:t>
      </w:r>
      <w:r w:rsidRPr="003B120E">
        <w:t xml:space="preserve">egal and </w:t>
      </w:r>
      <w:r>
        <w:t>j</w:t>
      </w:r>
      <w:r w:rsidRPr="003B120E">
        <w:t xml:space="preserve">udicial </w:t>
      </w:r>
      <w:r>
        <w:t>r</w:t>
      </w:r>
      <w:r w:rsidRPr="003B120E">
        <w:t xml:space="preserve">eform. </w:t>
      </w:r>
    </w:p>
    <w:p w14:paraId="77BCF54A" w14:textId="77777777" w:rsidR="00657C1B" w:rsidRPr="003B120E" w:rsidRDefault="00657C1B" w:rsidP="00657C1B">
      <w:pPr>
        <w:pStyle w:val="SingleTxtG"/>
      </w:pPr>
      <w:r w:rsidRPr="003B120E">
        <w:t>31.</w:t>
      </w:r>
      <w:r w:rsidRPr="003B120E">
        <w:tab/>
        <w:t xml:space="preserve">With a view to helping </w:t>
      </w:r>
      <w:r>
        <w:t xml:space="preserve">to </w:t>
      </w:r>
      <w:r w:rsidRPr="003B120E">
        <w:t>address the gap in legal aid, OHCHR worked with a local NGO to prepare the submission of 59 simplified bail applications by</w:t>
      </w:r>
      <w:r>
        <w:t xml:space="preserve"> vulnerable</w:t>
      </w:r>
      <w:r w:rsidRPr="003B120E">
        <w:t xml:space="preserve"> individuals, </w:t>
      </w:r>
      <w:r>
        <w:t xml:space="preserve">which </w:t>
      </w:r>
      <w:r w:rsidRPr="003B120E">
        <w:t>result</w:t>
      </w:r>
      <w:r>
        <w:t>ed</w:t>
      </w:r>
      <w:r w:rsidRPr="003B120E">
        <w:t xml:space="preserve"> in the pretrial release of 35 women. Since August 2020, another NGO supported by OHCHR monitored 40 </w:t>
      </w:r>
      <w:r>
        <w:t>cases of g</w:t>
      </w:r>
      <w:r w:rsidRPr="003B120E">
        <w:t>ender-</w:t>
      </w:r>
      <w:r>
        <w:t>b</w:t>
      </w:r>
      <w:r w:rsidRPr="003B120E">
        <w:t xml:space="preserve">ased </w:t>
      </w:r>
      <w:r>
        <w:t>v</w:t>
      </w:r>
      <w:r w:rsidRPr="003B120E">
        <w:t xml:space="preserve">iolence, finding limited access </w:t>
      </w:r>
      <w:r>
        <w:t>by</w:t>
      </w:r>
      <w:r w:rsidRPr="003B120E">
        <w:t xml:space="preserve"> victims to legal representation and a failure to adequately accommodate </w:t>
      </w:r>
      <w:r>
        <w:t>child</w:t>
      </w:r>
      <w:r w:rsidRPr="003B120E">
        <w:t xml:space="preserve"> victims in proceedings.</w:t>
      </w:r>
    </w:p>
    <w:p w14:paraId="271B13E4" w14:textId="77777777" w:rsidR="00657C1B" w:rsidRPr="003B120E" w:rsidRDefault="00657C1B" w:rsidP="00657C1B">
      <w:pPr>
        <w:pStyle w:val="SingleTxtG"/>
      </w:pPr>
      <w:r w:rsidRPr="003B120E">
        <w:t>32.</w:t>
      </w:r>
      <w:r w:rsidRPr="003B120E">
        <w:tab/>
        <w:t>The prison population has doubled since 2015,</w:t>
      </w:r>
      <w:r w:rsidRPr="00E376F9">
        <w:rPr>
          <w:rStyle w:val="FootnoteReference"/>
        </w:rPr>
        <w:footnoteReference w:id="40"/>
      </w:r>
      <w:r w:rsidRPr="003B120E">
        <w:t xml:space="preserve"> with 38,977 inmates in facilities that can hold </w:t>
      </w:r>
      <w:r>
        <w:t xml:space="preserve">up to </w:t>
      </w:r>
      <w:r w:rsidRPr="003B120E">
        <w:t>8,804,</w:t>
      </w:r>
      <w:r w:rsidRPr="00E376F9">
        <w:rPr>
          <w:rStyle w:val="FootnoteReference"/>
        </w:rPr>
        <w:footnoteReference w:id="41"/>
      </w:r>
      <w:r w:rsidRPr="003B120E">
        <w:t xml:space="preserve"> meaning that the prisons are operating at 343 per</w:t>
      </w:r>
      <w:r>
        <w:t xml:space="preserve"> </w:t>
      </w:r>
      <w:r w:rsidRPr="003B120E">
        <w:t xml:space="preserve">cent capacity. The situation in prisons is perilous to the point that the conditions may constitute </w:t>
      </w:r>
      <w:r>
        <w:t>cruel, inhuman or degrading treatment or punishment under</w:t>
      </w:r>
      <w:r w:rsidRPr="003B120E">
        <w:t xml:space="preserve"> the Convention </w:t>
      </w:r>
      <w:r>
        <w:t>a</w:t>
      </w:r>
      <w:r w:rsidRPr="003B120E">
        <w:t xml:space="preserve">gainst Torture and Other Cruel, Inhuman or Degrading Treatment or Punishment given the levels of mental and physical pain experienced by prisoners, the lack of sleeping space, </w:t>
      </w:r>
      <w:r>
        <w:t xml:space="preserve">the </w:t>
      </w:r>
      <w:r w:rsidRPr="003B120E">
        <w:t>inadequa</w:t>
      </w:r>
      <w:r>
        <w:t>cy</w:t>
      </w:r>
      <w:r w:rsidRPr="003B120E">
        <w:t xml:space="preserve"> </w:t>
      </w:r>
      <w:r>
        <w:t xml:space="preserve">of the </w:t>
      </w:r>
      <w:r w:rsidRPr="003B120E">
        <w:t xml:space="preserve">water and sanitation, and </w:t>
      </w:r>
      <w:r>
        <w:t xml:space="preserve">the </w:t>
      </w:r>
      <w:r w:rsidRPr="003B120E">
        <w:t>limited access to fresh air and health</w:t>
      </w:r>
      <w:r>
        <w:t xml:space="preserve"> </w:t>
      </w:r>
      <w:r w:rsidRPr="003B120E">
        <w:t>care.</w:t>
      </w:r>
    </w:p>
    <w:p w14:paraId="54D6DCFB" w14:textId="77777777" w:rsidR="00657C1B" w:rsidRPr="003B120E" w:rsidRDefault="00657C1B" w:rsidP="00657C1B">
      <w:pPr>
        <w:pStyle w:val="SingleTxtG"/>
      </w:pPr>
      <w:r w:rsidRPr="003B120E">
        <w:t>33.</w:t>
      </w:r>
      <w:r w:rsidRPr="003B120E">
        <w:tab/>
        <w:t xml:space="preserve">Since May 2020, a campaign to reduce the backlog of cases </w:t>
      </w:r>
      <w:r>
        <w:t>before the</w:t>
      </w:r>
      <w:r w:rsidRPr="003B120E">
        <w:t xml:space="preserve"> courts of first instance has led to </w:t>
      </w:r>
      <w:r>
        <w:t xml:space="preserve">the </w:t>
      </w:r>
      <w:r w:rsidRPr="003B120E">
        <w:t xml:space="preserve">release </w:t>
      </w:r>
      <w:r>
        <w:t xml:space="preserve">of </w:t>
      </w:r>
      <w:r w:rsidRPr="003B120E">
        <w:t>prison</w:t>
      </w:r>
      <w:r>
        <w:t>er</w:t>
      </w:r>
      <w:r w:rsidRPr="003B120E">
        <w:t xml:space="preserve">s. </w:t>
      </w:r>
      <w:r>
        <w:t>This move has had only a limited</w:t>
      </w:r>
      <w:r w:rsidRPr="003B120E">
        <w:t xml:space="preserve"> impact on overcrowding,</w:t>
      </w:r>
      <w:r>
        <w:t xml:space="preserve"> however,</w:t>
      </w:r>
      <w:r w:rsidRPr="003B120E">
        <w:t xml:space="preserve"> </w:t>
      </w:r>
      <w:r>
        <w:t>owing</w:t>
      </w:r>
      <w:r w:rsidRPr="003B120E">
        <w:t xml:space="preserve"> to </w:t>
      </w:r>
      <w:r>
        <w:t xml:space="preserve">the </w:t>
      </w:r>
      <w:r w:rsidRPr="003B120E">
        <w:t xml:space="preserve">continuously high number of arrests, especially </w:t>
      </w:r>
      <w:r>
        <w:t>for</w:t>
      </w:r>
      <w:r w:rsidRPr="003B120E">
        <w:t xml:space="preserve"> drug</w:t>
      </w:r>
      <w:r>
        <w:t>-related offences</w:t>
      </w:r>
      <w:r w:rsidRPr="003B120E">
        <w:t xml:space="preserve"> </w:t>
      </w:r>
      <w:r>
        <w:t>(</w:t>
      </w:r>
      <w:r w:rsidRPr="003B120E">
        <w:t>56.9 per</w:t>
      </w:r>
      <w:r>
        <w:t xml:space="preserve"> </w:t>
      </w:r>
      <w:r w:rsidRPr="003B120E">
        <w:t xml:space="preserve">cent of prisoners are detained for </w:t>
      </w:r>
      <w:r>
        <w:t>such</w:t>
      </w:r>
      <w:r w:rsidRPr="003B120E">
        <w:t xml:space="preserve"> offences</w:t>
      </w:r>
      <w:r>
        <w:t>)</w:t>
      </w:r>
      <w:r w:rsidRPr="003B120E">
        <w:t xml:space="preserve">. The proportion of women imprisoned </w:t>
      </w:r>
      <w:r>
        <w:t>for drug-related offences (73 per cent)</w:t>
      </w:r>
      <w:r w:rsidRPr="003B120E">
        <w:t xml:space="preserve"> is even higher.</w:t>
      </w:r>
      <w:r w:rsidRPr="00E376F9">
        <w:rPr>
          <w:rStyle w:val="FootnoteReference"/>
        </w:rPr>
        <w:footnoteReference w:id="42"/>
      </w:r>
      <w:r w:rsidRPr="003B120E">
        <w:t xml:space="preserve"> Sex workers have been disproportionately targeted in anti-drug operations and forced to make confessions under threat of violence.</w:t>
      </w:r>
      <w:r w:rsidRPr="00E376F9">
        <w:rPr>
          <w:rStyle w:val="FootnoteReference"/>
        </w:rPr>
        <w:footnoteReference w:id="43"/>
      </w:r>
      <w:r w:rsidRPr="003B120E">
        <w:t xml:space="preserve"> </w:t>
      </w:r>
      <w:r>
        <w:t>In its comments on the present report, the Government stated that, had it not acted in the way it did, the prison population would be double the current figure.</w:t>
      </w:r>
    </w:p>
    <w:p w14:paraId="51E86A24" w14:textId="77777777" w:rsidR="00657C1B" w:rsidRPr="003B120E" w:rsidRDefault="00657C1B" w:rsidP="00657C1B">
      <w:pPr>
        <w:pStyle w:val="SingleTxtG"/>
      </w:pPr>
      <w:r w:rsidRPr="003B120E">
        <w:t>34.</w:t>
      </w:r>
      <w:r w:rsidRPr="003B120E">
        <w:tab/>
      </w:r>
      <w:r>
        <w:t>In the l</w:t>
      </w:r>
      <w:r w:rsidRPr="003B120E">
        <w:t>onger term, sustainable and rights-based solutions need to be put in place</w:t>
      </w:r>
      <w:r>
        <w:t>. For example</w:t>
      </w:r>
      <w:r w:rsidRPr="003B120E">
        <w:t>, consistent use</w:t>
      </w:r>
      <w:r>
        <w:t xml:space="preserve"> should be made</w:t>
      </w:r>
      <w:r w:rsidRPr="003B120E">
        <w:t xml:space="preserve"> of all types of alternatives to detention, </w:t>
      </w:r>
      <w:r>
        <w:t>as</w:t>
      </w:r>
      <w:r w:rsidRPr="003B120E">
        <w:t xml:space="preserve"> the </w:t>
      </w:r>
      <w:r>
        <w:t>United Nations</w:t>
      </w:r>
      <w:r w:rsidRPr="003B120E">
        <w:t xml:space="preserve"> </w:t>
      </w:r>
      <w:r>
        <w:t>c</w:t>
      </w:r>
      <w:r w:rsidRPr="003B120E">
        <w:t xml:space="preserve">ountry </w:t>
      </w:r>
      <w:r>
        <w:t>t</w:t>
      </w:r>
      <w:r w:rsidRPr="003B120E">
        <w:t>eam ha</w:t>
      </w:r>
      <w:r>
        <w:t>s</w:t>
      </w:r>
      <w:r w:rsidRPr="003B120E">
        <w:t xml:space="preserve"> consistently advocated, and the </w:t>
      </w:r>
      <w:r>
        <w:t>l</w:t>
      </w:r>
      <w:r w:rsidRPr="003B120E">
        <w:t xml:space="preserve">aw on </w:t>
      </w:r>
      <w:r>
        <w:t>d</w:t>
      </w:r>
      <w:r w:rsidRPr="003B120E">
        <w:t xml:space="preserve">rug </w:t>
      </w:r>
      <w:r>
        <w:t>c</w:t>
      </w:r>
      <w:r w:rsidRPr="003B120E">
        <w:t>ontrol</w:t>
      </w:r>
      <w:r>
        <w:t xml:space="preserve"> should be amended</w:t>
      </w:r>
      <w:r w:rsidRPr="003B120E">
        <w:t>, as called for by the Special Rapporteur on the situation of human rights in Cambodia.</w:t>
      </w:r>
      <w:r w:rsidRPr="00E376F9">
        <w:rPr>
          <w:rStyle w:val="FootnoteReference"/>
        </w:rPr>
        <w:footnoteReference w:id="44"/>
      </w:r>
      <w:r w:rsidRPr="003B120E">
        <w:t xml:space="preserve"> </w:t>
      </w:r>
      <w:r>
        <w:t xml:space="preserve">In its comments on the present report, the Government challenged the need for such an amendment, stating that the priority should be to strengthen, expand and enhance voluntary and community-based drug treatment and rehabilitation options. </w:t>
      </w:r>
    </w:p>
    <w:p w14:paraId="5C3CC290" w14:textId="77777777" w:rsidR="00657C1B" w:rsidRPr="003B120E" w:rsidRDefault="00657C1B" w:rsidP="00657C1B">
      <w:pPr>
        <w:pStyle w:val="SingleTxtG"/>
      </w:pPr>
      <w:r w:rsidRPr="003B120E">
        <w:lastRenderedPageBreak/>
        <w:t>35.</w:t>
      </w:r>
      <w:r>
        <w:tab/>
        <w:t>The p</w:t>
      </w:r>
      <w:r w:rsidRPr="003B120E">
        <w:t xml:space="preserve">rison authorities have adopted preventive measures to combat COVID-19 in detention facilities, including </w:t>
      </w:r>
      <w:r>
        <w:t>by</w:t>
      </w:r>
      <w:r w:rsidRPr="003B120E">
        <w:t xml:space="preserve"> quarantin</w:t>
      </w:r>
      <w:r>
        <w:t>ing</w:t>
      </w:r>
      <w:r w:rsidRPr="003B120E">
        <w:t xml:space="preserve"> new prisoners</w:t>
      </w:r>
      <w:r>
        <w:t>,</w:t>
      </w:r>
      <w:r w:rsidRPr="003B120E">
        <w:t xml:space="preserve"> </w:t>
      </w:r>
      <w:r>
        <w:t xml:space="preserve">introducing </w:t>
      </w:r>
      <w:r w:rsidRPr="003B120E">
        <w:t xml:space="preserve">a surveillance </w:t>
      </w:r>
      <w:r>
        <w:t xml:space="preserve">test-and-trace </w:t>
      </w:r>
      <w:r w:rsidRPr="003B120E">
        <w:t>system and vaccinati</w:t>
      </w:r>
      <w:r>
        <w:t>ng</w:t>
      </w:r>
      <w:r w:rsidRPr="003B120E">
        <w:t xml:space="preserve"> inmates in priority prisons. Some measures </w:t>
      </w:r>
      <w:r>
        <w:t xml:space="preserve">have </w:t>
      </w:r>
      <w:r w:rsidRPr="003B120E">
        <w:t xml:space="preserve">led to </w:t>
      </w:r>
      <w:r>
        <w:t>additional</w:t>
      </w:r>
      <w:r w:rsidRPr="003B120E">
        <w:t xml:space="preserve"> limitation</w:t>
      </w:r>
      <w:r>
        <w:t>s</w:t>
      </w:r>
      <w:r w:rsidRPr="003B120E">
        <w:t xml:space="preserve"> o</w:t>
      </w:r>
      <w:r>
        <w:t>n</w:t>
      </w:r>
      <w:r w:rsidRPr="003B120E">
        <w:t xml:space="preserve"> rights, including </w:t>
      </w:r>
      <w:r>
        <w:t xml:space="preserve">the rights to have </w:t>
      </w:r>
      <w:r w:rsidRPr="003B120E">
        <w:t>access to family</w:t>
      </w:r>
      <w:r>
        <w:t xml:space="preserve"> members</w:t>
      </w:r>
      <w:r w:rsidRPr="003B120E">
        <w:t xml:space="preserve"> and lawyers, and no steps </w:t>
      </w:r>
      <w:r>
        <w:t>have been</w:t>
      </w:r>
      <w:r w:rsidRPr="003B120E">
        <w:t xml:space="preserve"> taken to mitigate the</w:t>
      </w:r>
      <w:r>
        <w:t>se</w:t>
      </w:r>
      <w:r w:rsidRPr="003B120E">
        <w:t xml:space="preserve"> impact</w:t>
      </w:r>
      <w:r>
        <w:t xml:space="preserve">s </w:t>
      </w:r>
      <w:r w:rsidRPr="003B120E">
        <w:t xml:space="preserve">on the mental health of inmates, </w:t>
      </w:r>
      <w:r>
        <w:t xml:space="preserve">for example, by </w:t>
      </w:r>
      <w:r w:rsidRPr="003B120E">
        <w:t xml:space="preserve">ensuring regular access to </w:t>
      </w:r>
      <w:r>
        <w:t>tele</w:t>
      </w:r>
      <w:r w:rsidRPr="003B120E">
        <w:t>phones.</w:t>
      </w:r>
      <w:r>
        <w:t xml:space="preserve"> In its response to the present report, the Government stated that it had facilitated telephone use by prisoners around the country but that the telephone system in nine prisons was outdated. </w:t>
      </w:r>
    </w:p>
    <w:p w14:paraId="22010633" w14:textId="77777777" w:rsidR="00657C1B" w:rsidRPr="003B120E" w:rsidRDefault="00657C1B" w:rsidP="00657C1B">
      <w:pPr>
        <w:pStyle w:val="SingleTxtG"/>
      </w:pPr>
      <w:r w:rsidRPr="003B120E">
        <w:t>36.</w:t>
      </w:r>
      <w:r>
        <w:tab/>
      </w:r>
      <w:r w:rsidRPr="003B120E">
        <w:t>On 9 May 2021, the General Department of Prisons completed the vaccination of most inmates in three priorit</w:t>
      </w:r>
      <w:r>
        <w:t>y</w:t>
      </w:r>
      <w:r w:rsidRPr="003B120E">
        <w:t xml:space="preserve"> prisons and</w:t>
      </w:r>
      <w:r>
        <w:t>,</w:t>
      </w:r>
      <w:r w:rsidRPr="003B120E">
        <w:t xml:space="preserve"> on 14 May 2021, </w:t>
      </w:r>
      <w:r>
        <w:t>it had</w:t>
      </w:r>
      <w:r w:rsidRPr="003B120E">
        <w:t xml:space="preserve"> also completed </w:t>
      </w:r>
      <w:r>
        <w:t>the vaccination of</w:t>
      </w:r>
      <w:r w:rsidRPr="003B120E">
        <w:t xml:space="preserve"> all eligible inmates in Preah Sihanouk prison. </w:t>
      </w:r>
      <w:r>
        <w:t>United Nations</w:t>
      </w:r>
      <w:r w:rsidRPr="003B120E">
        <w:t xml:space="preserve"> </w:t>
      </w:r>
      <w:r>
        <w:t>s</w:t>
      </w:r>
      <w:r w:rsidRPr="003B120E">
        <w:t>pecial</w:t>
      </w:r>
      <w:r>
        <w:t xml:space="preserve"> p</w:t>
      </w:r>
      <w:r w:rsidRPr="003B120E">
        <w:t xml:space="preserve">rocedure mandate holders </w:t>
      </w:r>
      <w:r>
        <w:t xml:space="preserve">had </w:t>
      </w:r>
      <w:r w:rsidRPr="003B120E">
        <w:t>previously expressed concern at the lack of testing available to detainees.</w:t>
      </w:r>
      <w:r w:rsidRPr="00E376F9">
        <w:rPr>
          <w:rStyle w:val="FootnoteReference"/>
        </w:rPr>
        <w:footnoteReference w:id="45"/>
      </w:r>
      <w:r w:rsidRPr="003B120E">
        <w:t xml:space="preserve"> There have been outbreaks of COVID-19 in numerous prisons, resulting in at least three deaths. </w:t>
      </w:r>
      <w:r>
        <w:t xml:space="preserve">In its comments on the present report, the Government stated that the General Department of Prisons supported the provision of bail and the application of diversionary measures for vulnerable inmates, including minors, in accordance with the Code of Criminal Procedure and noted that the death rate from COVID-19 in prisons was five times lower than in the community. </w:t>
      </w:r>
    </w:p>
    <w:p w14:paraId="1C579DFC" w14:textId="77777777" w:rsidR="00657C1B" w:rsidRPr="003B120E" w:rsidRDefault="00657C1B" w:rsidP="00657C1B">
      <w:pPr>
        <w:pStyle w:val="SingleTxtG"/>
        <w:rPr>
          <w:highlight w:val="yellow"/>
        </w:rPr>
      </w:pPr>
      <w:r w:rsidRPr="003B120E">
        <w:t>37.</w:t>
      </w:r>
      <w:r w:rsidRPr="003B120E">
        <w:tab/>
        <w:t xml:space="preserve">Despite the </w:t>
      </w:r>
      <w:r>
        <w:t xml:space="preserve">fact that the </w:t>
      </w:r>
      <w:r w:rsidRPr="003B120E">
        <w:t>Secretary-General</w:t>
      </w:r>
      <w:r>
        <w:t xml:space="preserve"> has called upon </w:t>
      </w:r>
      <w:r w:rsidRPr="003B120E">
        <w:t xml:space="preserve">the Government to </w:t>
      </w:r>
      <w:r>
        <w:t xml:space="preserve">grant </w:t>
      </w:r>
      <w:r w:rsidRPr="003B120E">
        <w:t xml:space="preserve">OHCHR </w:t>
      </w:r>
      <w:r>
        <w:t xml:space="preserve">access </w:t>
      </w:r>
      <w:r w:rsidRPr="003B120E">
        <w:t>to all places of detention</w:t>
      </w:r>
      <w:r>
        <w:t xml:space="preserve">, including </w:t>
      </w:r>
      <w:r w:rsidRPr="003B120E">
        <w:t xml:space="preserve">to </w:t>
      </w:r>
      <w:r>
        <w:t>conduct</w:t>
      </w:r>
      <w:r w:rsidRPr="003B120E">
        <w:t xml:space="preserve"> confidential interviews with </w:t>
      </w:r>
      <w:r>
        <w:t>detainees</w:t>
      </w:r>
      <w:r w:rsidRPr="003B120E">
        <w:t>,</w:t>
      </w:r>
      <w:r w:rsidRPr="00E376F9">
        <w:rPr>
          <w:rStyle w:val="FootnoteReference"/>
        </w:rPr>
        <w:footnoteReference w:id="46"/>
      </w:r>
      <w:r>
        <w:t xml:space="preserve"> </w:t>
      </w:r>
      <w:r w:rsidRPr="003B120E">
        <w:t>confidential interviews were not facilitated during the reporting period.</w:t>
      </w:r>
    </w:p>
    <w:p w14:paraId="68547CA6" w14:textId="77777777" w:rsidR="00657C1B" w:rsidRPr="003B120E" w:rsidRDefault="00657C1B" w:rsidP="00657C1B">
      <w:pPr>
        <w:pStyle w:val="SingleTxtG"/>
      </w:pPr>
      <w:r>
        <w:t>38.</w:t>
      </w:r>
      <w:r>
        <w:tab/>
        <w:t xml:space="preserve">During the reporting period, OHCHR received reports of two suspicious deaths of individuals in custody, both in Battambang Province. The first death happened in police custody on 3 April 2021 and the second in prison on 3 May 2021. OHCHR monitored these cases remotely and provided technical advice to the National Committee against Torture in its investigations into these deaths, including with regard the prioritization of interviewees and the collection of evidence. In the case of a death in custody in Banteay Meanchey on 1 January 2020, two officials from the provincial military police were convicted on 13 January 2021. While the facts of the case appear to have warranted a charge of torture, an offence that carries a punishment of up to 30 years, the officers were charged with lesser offences and given shorter sentences of between four and seven years. </w:t>
      </w:r>
    </w:p>
    <w:p w14:paraId="0C3EDDAD" w14:textId="77777777" w:rsidR="00657C1B" w:rsidRDefault="00657C1B" w:rsidP="00657C1B">
      <w:pPr>
        <w:pStyle w:val="SingleTxtG"/>
      </w:pPr>
      <w:r>
        <w:t>39.</w:t>
      </w:r>
      <w:r>
        <w:tab/>
        <w:t>The authorities have acknowledged the existence of 10 cases in which individuals died in treatment or quarantine facilities but not as a result of COVID-19. The causes given by officials included suicide, drug overdose, heart attack and head trauma caused by falls. In each case, however, there are concerns that impartial and transparent investigations into the deaths have not taken place. In at least one case, OHCHR is currently investigating allegations that a man killed a guard while escaping from a treatment facility in Phnom Penh in May 2021 before dying or being killed in custody; there is evidence that the man had been tortured. In another case, a 17-year-old girl died of COVID-19 in Phnom Penh on 26 April but her family were not informed of the fact by the authorities until four weeks later after they had made an appeal on social media for information. In that case, the girl had been admitted to hospital for an unrelated medical issue and contracted COVID-19 while in hospital.</w:t>
      </w:r>
    </w:p>
    <w:p w14:paraId="62CAE281" w14:textId="77777777" w:rsidR="00657C1B" w:rsidRDefault="00657C1B" w:rsidP="00657C1B">
      <w:pPr>
        <w:pStyle w:val="HChG"/>
      </w:pPr>
      <w:r>
        <w:tab/>
        <w:t>V.</w:t>
      </w:r>
      <w:r>
        <w:tab/>
      </w:r>
      <w:r w:rsidRPr="00067087">
        <w:t>Economic and social rights</w:t>
      </w:r>
    </w:p>
    <w:p w14:paraId="1C605298" w14:textId="77777777" w:rsidR="00657C1B" w:rsidRDefault="00657C1B" w:rsidP="00657C1B">
      <w:pPr>
        <w:pStyle w:val="H1G"/>
      </w:pPr>
      <w:r>
        <w:tab/>
        <w:t>A.</w:t>
      </w:r>
      <w:r>
        <w:tab/>
      </w:r>
      <w:r w:rsidRPr="00067087">
        <w:t>Economic impact of COVID-19</w:t>
      </w:r>
    </w:p>
    <w:p w14:paraId="364D61FE" w14:textId="77777777" w:rsidR="00657C1B" w:rsidRPr="00067087" w:rsidRDefault="00657C1B" w:rsidP="00657C1B">
      <w:pPr>
        <w:pStyle w:val="SingleTxtG"/>
      </w:pPr>
      <w:r>
        <w:t>40.</w:t>
      </w:r>
      <w:r>
        <w:tab/>
      </w:r>
      <w:r w:rsidRPr="00067087">
        <w:t xml:space="preserve">The economic impact of COVID-19 is serious. Whereas a family of four in Phnom Penh spends an average of </w:t>
      </w:r>
      <w:r>
        <w:t>$</w:t>
      </w:r>
      <w:r w:rsidRPr="00067087">
        <w:t>474 a month to meet basic needs,</w:t>
      </w:r>
      <w:r w:rsidRPr="00E376F9">
        <w:rPr>
          <w:rStyle w:val="FootnoteReference"/>
        </w:rPr>
        <w:footnoteReference w:id="47"/>
      </w:r>
      <w:r w:rsidRPr="00067087">
        <w:t xml:space="preserve"> work was suspended in </w:t>
      </w:r>
      <w:r w:rsidRPr="00067087">
        <w:lastRenderedPageBreak/>
        <w:t xml:space="preserve">hundreds of factories, </w:t>
      </w:r>
      <w:r>
        <w:t>leaving</w:t>
      </w:r>
      <w:r w:rsidRPr="00067087">
        <w:t xml:space="preserve"> workers </w:t>
      </w:r>
      <w:r>
        <w:t>un</w:t>
      </w:r>
      <w:r w:rsidRPr="00067087">
        <w:t xml:space="preserve">paid, or </w:t>
      </w:r>
      <w:r>
        <w:t xml:space="preserve">was </w:t>
      </w:r>
      <w:r w:rsidRPr="00067087">
        <w:t xml:space="preserve">reduced </w:t>
      </w:r>
      <w:r>
        <w:t>by</w:t>
      </w:r>
      <w:r w:rsidRPr="00067087">
        <w:t xml:space="preserve"> 50 per</w:t>
      </w:r>
      <w:r>
        <w:t xml:space="preserve"> </w:t>
      </w:r>
      <w:r w:rsidRPr="00067087">
        <w:t>cent</w:t>
      </w:r>
      <w:r>
        <w:t xml:space="preserve"> </w:t>
      </w:r>
      <w:r w:rsidRPr="00067087">
        <w:t xml:space="preserve">in others, </w:t>
      </w:r>
      <w:r>
        <w:t>which meant that</w:t>
      </w:r>
      <w:r w:rsidRPr="00067087">
        <w:t xml:space="preserve"> workers</w:t>
      </w:r>
      <w:r>
        <w:t xml:space="preserve"> were</w:t>
      </w:r>
      <w:r w:rsidRPr="00067087">
        <w:t xml:space="preserve"> receiving half </w:t>
      </w:r>
      <w:r>
        <w:t>of the</w:t>
      </w:r>
      <w:r w:rsidRPr="00067087">
        <w:t xml:space="preserve"> </w:t>
      </w:r>
      <w:r>
        <w:t>$</w:t>
      </w:r>
      <w:r w:rsidRPr="00067087">
        <w:t>192</w:t>
      </w:r>
      <w:r>
        <w:t xml:space="preserve"> a month they were earning as the</w:t>
      </w:r>
      <w:r w:rsidRPr="00067087">
        <w:t xml:space="preserve"> minimum wage.</w:t>
      </w:r>
      <w:r w:rsidRPr="00E376F9">
        <w:rPr>
          <w:rStyle w:val="FootnoteReference"/>
        </w:rPr>
        <w:footnoteReference w:id="48"/>
      </w:r>
      <w:r w:rsidRPr="00067087">
        <w:t xml:space="preserve"> In recent years, Cambodians have turned increasingly to microfinanc</w:t>
      </w:r>
      <w:r>
        <w:t>ing schemes</w:t>
      </w:r>
      <w:r w:rsidRPr="00067087">
        <w:t xml:space="preserve"> </w:t>
      </w:r>
      <w:r>
        <w:t>to meet their</w:t>
      </w:r>
      <w:r w:rsidRPr="00067087">
        <w:t xml:space="preserve"> basic needs; the average loan repayment for a Cambodian family </w:t>
      </w:r>
      <w:r>
        <w:t xml:space="preserve">is </w:t>
      </w:r>
      <w:r w:rsidRPr="00067087">
        <w:t xml:space="preserve">now </w:t>
      </w:r>
      <w:r>
        <w:t>equal to $</w:t>
      </w:r>
      <w:r w:rsidRPr="00067087">
        <w:t>182</w:t>
      </w:r>
      <w:r>
        <w:t xml:space="preserve"> a</w:t>
      </w:r>
      <w:r w:rsidRPr="00067087">
        <w:t xml:space="preserve"> month.</w:t>
      </w:r>
      <w:r w:rsidRPr="00E376F9">
        <w:rPr>
          <w:rStyle w:val="FootnoteReference"/>
        </w:rPr>
        <w:footnoteReference w:id="49"/>
      </w:r>
      <w:r w:rsidRPr="00067087">
        <w:t xml:space="preserve"> With land</w:t>
      </w:r>
      <w:r>
        <w:t xml:space="preserve"> being</w:t>
      </w:r>
      <w:r w:rsidRPr="00067087">
        <w:t xml:space="preserve"> the most common form of collateral </w:t>
      </w:r>
      <w:r>
        <w:t xml:space="preserve">for </w:t>
      </w:r>
      <w:r w:rsidRPr="00067087">
        <w:t>underwriting loans,</w:t>
      </w:r>
      <w:r w:rsidRPr="00E376F9">
        <w:rPr>
          <w:rStyle w:val="FootnoteReference"/>
        </w:rPr>
        <w:footnoteReference w:id="50"/>
      </w:r>
      <w:r w:rsidRPr="00067087">
        <w:t xml:space="preserve"> loss of property among those unable to pay is foreseeable.</w:t>
      </w:r>
    </w:p>
    <w:p w14:paraId="51B51FC5" w14:textId="77777777" w:rsidR="00657C1B" w:rsidRPr="00067087" w:rsidRDefault="00657C1B" w:rsidP="00657C1B">
      <w:pPr>
        <w:pStyle w:val="SingleTxtG"/>
      </w:pPr>
      <w:r>
        <w:t>41.</w:t>
      </w:r>
      <w:r>
        <w:tab/>
      </w:r>
      <w:r w:rsidRPr="00067087">
        <w:t xml:space="preserve">The Government continued </w:t>
      </w:r>
      <w:r>
        <w:t>its</w:t>
      </w:r>
      <w:r w:rsidRPr="00067087">
        <w:t xml:space="preserve"> cash transfer programme using the national poverty identification system, a</w:t>
      </w:r>
      <w:r>
        <w:t>n</w:t>
      </w:r>
      <w:r w:rsidRPr="00067087">
        <w:t xml:space="preserve"> initiative </w:t>
      </w:r>
      <w:r>
        <w:t>implemented with the assistance of the United Nations that has</w:t>
      </w:r>
      <w:r w:rsidRPr="00067087">
        <w:t xml:space="preserve"> benefit</w:t>
      </w:r>
      <w:r>
        <w:t>ed more than</w:t>
      </w:r>
      <w:r w:rsidRPr="00067087">
        <w:t xml:space="preserve"> 700,000 households.</w:t>
      </w:r>
      <w:r w:rsidRPr="00E376F9">
        <w:rPr>
          <w:rStyle w:val="FootnoteReference"/>
        </w:rPr>
        <w:footnoteReference w:id="51"/>
      </w:r>
      <w:r w:rsidRPr="00067087">
        <w:t xml:space="preserve"> In early April 2020, the Inter</w:t>
      </w:r>
      <w:r>
        <w:t>m</w:t>
      </w:r>
      <w:r w:rsidRPr="00067087">
        <w:t>inisterial Committee to Combat COVID-19</w:t>
      </w:r>
      <w:r>
        <w:t>,</w:t>
      </w:r>
      <w:r w:rsidRPr="00067087">
        <w:t xml:space="preserve"> headed by the Minister of Health</w:t>
      </w:r>
      <w:r>
        <w:t>,</w:t>
      </w:r>
      <w:r w:rsidRPr="00067087">
        <w:t xml:space="preserve"> was created to engage all government agencies in the fight against COVID-19. Th</w:t>
      </w:r>
      <w:r>
        <w:t>at measure was</w:t>
      </w:r>
      <w:r w:rsidRPr="00067087">
        <w:t xml:space="preserve"> replicated at the provincial level</w:t>
      </w:r>
      <w:r>
        <w:t xml:space="preserve">, where it was </w:t>
      </w:r>
      <w:r w:rsidRPr="00067087">
        <w:t xml:space="preserve">led by governors. Following the February 2021 outbreak, a </w:t>
      </w:r>
      <w:r>
        <w:t>s</w:t>
      </w:r>
      <w:r w:rsidRPr="00067087">
        <w:t xml:space="preserve">ubcommittee on </w:t>
      </w:r>
      <w:r>
        <w:t>s</w:t>
      </w:r>
      <w:r w:rsidRPr="00067087">
        <w:t xml:space="preserve">ocial </w:t>
      </w:r>
      <w:r>
        <w:t>a</w:t>
      </w:r>
      <w:r w:rsidRPr="00067087">
        <w:t>ssistance was created to assess humanitarian needs, identify populations requiring assistance and provide recommendations to the National Committee</w:t>
      </w:r>
      <w:r>
        <w:t xml:space="preserve"> on COVID-19</w:t>
      </w:r>
      <w:r w:rsidRPr="00067087">
        <w:t xml:space="preserve">. In May 2021, the Government launched a new package </w:t>
      </w:r>
      <w:r>
        <w:t xml:space="preserve">that included relief </w:t>
      </w:r>
      <w:r w:rsidRPr="00067087">
        <w:t xml:space="preserve">for, </w:t>
      </w:r>
      <w:r>
        <w:t xml:space="preserve">among others, </w:t>
      </w:r>
      <w:r w:rsidRPr="00067087">
        <w:t xml:space="preserve">factory workers and persons infected with COVID-19. </w:t>
      </w:r>
    </w:p>
    <w:p w14:paraId="2C90A1E2" w14:textId="77777777" w:rsidR="00657C1B" w:rsidRPr="00067087" w:rsidRDefault="00657C1B" w:rsidP="00657C1B">
      <w:pPr>
        <w:pStyle w:val="SingleTxtG"/>
      </w:pPr>
      <w:r>
        <w:rPr>
          <w:lang w:val="en-US"/>
        </w:rPr>
        <w:t>42.</w:t>
      </w:r>
      <w:r>
        <w:rPr>
          <w:lang w:val="en-US"/>
        </w:rPr>
        <w:tab/>
      </w:r>
      <w:r w:rsidRPr="00067087">
        <w:rPr>
          <w:lang w:val="en-US"/>
        </w:rPr>
        <w:t xml:space="preserve">While these efforts are welcome, the impact of the pandemic on economic and social rights has </w:t>
      </w:r>
      <w:r>
        <w:rPr>
          <w:lang w:val="en-US"/>
        </w:rPr>
        <w:t xml:space="preserve">nonetheless </w:t>
      </w:r>
      <w:r w:rsidRPr="00067087">
        <w:rPr>
          <w:lang w:val="en-US"/>
        </w:rPr>
        <w:t xml:space="preserve">been far-reaching. </w:t>
      </w:r>
      <w:r>
        <w:rPr>
          <w:lang w:val="en-US"/>
        </w:rPr>
        <w:t>I</w:t>
      </w:r>
      <w:r w:rsidRPr="00067087">
        <w:rPr>
          <w:lang w:val="en-US"/>
        </w:rPr>
        <w:t>ncome</w:t>
      </w:r>
      <w:r>
        <w:rPr>
          <w:lang w:val="en-US"/>
        </w:rPr>
        <w:t>s have decreased</w:t>
      </w:r>
      <w:r w:rsidRPr="00067087">
        <w:rPr>
          <w:lang w:val="en-US"/>
        </w:rPr>
        <w:t>, job</w:t>
      </w:r>
      <w:r>
        <w:rPr>
          <w:lang w:val="en-US"/>
        </w:rPr>
        <w:t>s</w:t>
      </w:r>
      <w:r w:rsidRPr="00067087">
        <w:rPr>
          <w:lang w:val="en-US"/>
        </w:rPr>
        <w:t xml:space="preserve"> </w:t>
      </w:r>
      <w:r>
        <w:rPr>
          <w:lang w:val="en-US"/>
        </w:rPr>
        <w:t xml:space="preserve">have been </w:t>
      </w:r>
      <w:r w:rsidRPr="00067087">
        <w:rPr>
          <w:lang w:val="en-US"/>
        </w:rPr>
        <w:t>los</w:t>
      </w:r>
      <w:r>
        <w:rPr>
          <w:lang w:val="en-US"/>
        </w:rPr>
        <w:t>t in</w:t>
      </w:r>
      <w:r w:rsidRPr="00067087">
        <w:rPr>
          <w:lang w:val="en-US"/>
        </w:rPr>
        <w:t xml:space="preserve"> both </w:t>
      </w:r>
      <w:r>
        <w:rPr>
          <w:lang w:val="en-US"/>
        </w:rPr>
        <w:t>the</w:t>
      </w:r>
      <w:r w:rsidRPr="00067087">
        <w:rPr>
          <w:lang w:val="en-US"/>
        </w:rPr>
        <w:t xml:space="preserve"> formal and informal sectors and access to health care and social protection</w:t>
      </w:r>
      <w:r>
        <w:rPr>
          <w:lang w:val="en-US"/>
        </w:rPr>
        <w:t xml:space="preserve"> has been unequal,</w:t>
      </w:r>
      <w:r w:rsidRPr="00067087">
        <w:rPr>
          <w:lang w:val="en-US"/>
        </w:rPr>
        <w:t xml:space="preserve"> </w:t>
      </w:r>
      <w:r>
        <w:rPr>
          <w:lang w:val="en-US"/>
        </w:rPr>
        <w:t>with</w:t>
      </w:r>
      <w:r w:rsidRPr="00067087">
        <w:rPr>
          <w:lang w:val="en-US"/>
        </w:rPr>
        <w:t xml:space="preserve"> the urban poor, including the scrap collector community</w:t>
      </w:r>
      <w:r>
        <w:rPr>
          <w:lang w:val="en-US"/>
        </w:rPr>
        <w:t>, being particularly badly affected</w:t>
      </w:r>
      <w:r w:rsidRPr="00067087">
        <w:rPr>
          <w:lang w:val="en-US"/>
        </w:rPr>
        <w:t xml:space="preserve">. </w:t>
      </w:r>
      <w:r w:rsidRPr="00680DA6">
        <w:rPr>
          <w:lang w:val="en-US"/>
        </w:rPr>
        <w:t xml:space="preserve">It is estimated that </w:t>
      </w:r>
      <w:r>
        <w:rPr>
          <w:lang w:val="en-US"/>
        </w:rPr>
        <w:t xml:space="preserve">between </w:t>
      </w:r>
      <w:r w:rsidRPr="00680DA6">
        <w:rPr>
          <w:lang w:val="en-US"/>
        </w:rPr>
        <w:t>390,000</w:t>
      </w:r>
      <w:r>
        <w:rPr>
          <w:lang w:val="en-US"/>
        </w:rPr>
        <w:t xml:space="preserve"> and </w:t>
      </w:r>
      <w:r w:rsidRPr="00680DA6">
        <w:rPr>
          <w:lang w:val="en-US"/>
        </w:rPr>
        <w:t>570,000 jobs were lost in 2020</w:t>
      </w:r>
      <w:r>
        <w:rPr>
          <w:lang w:val="en-US"/>
        </w:rPr>
        <w:t>;</w:t>
      </w:r>
      <w:r w:rsidRPr="00E376F9">
        <w:rPr>
          <w:rStyle w:val="FootnoteReference"/>
        </w:rPr>
        <w:footnoteReference w:id="52"/>
      </w:r>
      <w:r w:rsidRPr="00067087">
        <w:rPr>
          <w:lang w:val="en-US"/>
        </w:rPr>
        <w:t xml:space="preserve"> </w:t>
      </w:r>
      <w:r>
        <w:rPr>
          <w:lang w:val="en-US"/>
        </w:rPr>
        <w:t xml:space="preserve">the number of </w:t>
      </w:r>
      <w:r w:rsidRPr="00067087">
        <w:rPr>
          <w:lang w:val="en-US"/>
        </w:rPr>
        <w:t>job</w:t>
      </w:r>
      <w:r>
        <w:rPr>
          <w:lang w:val="en-US"/>
        </w:rPr>
        <w:t>s</w:t>
      </w:r>
      <w:r w:rsidRPr="00067087">
        <w:rPr>
          <w:lang w:val="en-US"/>
        </w:rPr>
        <w:t xml:space="preserve"> los</w:t>
      </w:r>
      <w:r>
        <w:rPr>
          <w:lang w:val="en-US"/>
        </w:rPr>
        <w:t>t</w:t>
      </w:r>
      <w:r w:rsidRPr="00067087">
        <w:rPr>
          <w:lang w:val="en-US"/>
        </w:rPr>
        <w:t xml:space="preserve"> following the February outbreak </w:t>
      </w:r>
      <w:r>
        <w:rPr>
          <w:lang w:val="en-US"/>
        </w:rPr>
        <w:t xml:space="preserve">is </w:t>
      </w:r>
      <w:r w:rsidRPr="00067087">
        <w:rPr>
          <w:lang w:val="en-US"/>
        </w:rPr>
        <w:t xml:space="preserve">yet to be determined. Food insecurity has increased in terms of the quality and diversity of food, particularly for children, pregnant women and </w:t>
      </w:r>
      <w:r>
        <w:rPr>
          <w:lang w:val="en-US"/>
        </w:rPr>
        <w:t>older persons</w:t>
      </w:r>
      <w:r w:rsidRPr="00067087">
        <w:rPr>
          <w:lang w:val="en-US"/>
        </w:rPr>
        <w:t>.</w:t>
      </w:r>
    </w:p>
    <w:p w14:paraId="439F225C" w14:textId="03DE5B2E" w:rsidR="00657C1B" w:rsidRPr="00067087" w:rsidRDefault="00657C1B" w:rsidP="00657C1B">
      <w:pPr>
        <w:pStyle w:val="SingleTxtG"/>
      </w:pPr>
      <w:r>
        <w:t>43.</w:t>
      </w:r>
      <w:r>
        <w:tab/>
      </w:r>
      <w:r w:rsidRPr="00067087">
        <w:t xml:space="preserve">OHCHR documented 19 peaceful protests </w:t>
      </w:r>
      <w:r>
        <w:t xml:space="preserve">held to </w:t>
      </w:r>
      <w:r w:rsidRPr="00067087">
        <w:t>demand socioeconomic relief in the context of COVID-19</w:t>
      </w:r>
      <w:r w:rsidRPr="008D2431">
        <w:t xml:space="preserve"> </w:t>
      </w:r>
      <w:r w:rsidRPr="00067087">
        <w:t xml:space="preserve">during the reporting period. </w:t>
      </w:r>
      <w:r>
        <w:t xml:space="preserve">With the </w:t>
      </w:r>
      <w:r w:rsidRPr="00067087">
        <w:rPr>
          <w:lang w:val="en-US"/>
        </w:rPr>
        <w:t>country</w:t>
      </w:r>
      <w:r w:rsidR="00BC48DA">
        <w:rPr>
          <w:lang w:val="en-US"/>
        </w:rPr>
        <w:t>’</w:t>
      </w:r>
      <w:r w:rsidRPr="00067087">
        <w:rPr>
          <w:lang w:val="en-US"/>
        </w:rPr>
        <w:t xml:space="preserve">s economy on the verge of a deeper recession, the poverty rate may increase significantly. While recognizing </w:t>
      </w:r>
      <w:r>
        <w:rPr>
          <w:lang w:val="en-US"/>
        </w:rPr>
        <w:t xml:space="preserve">the </w:t>
      </w:r>
      <w:r w:rsidRPr="00067087">
        <w:rPr>
          <w:lang w:val="en-US"/>
        </w:rPr>
        <w:t>measures and policies</w:t>
      </w:r>
      <w:r>
        <w:rPr>
          <w:lang w:val="en-US"/>
        </w:rPr>
        <w:t xml:space="preserve"> that have been</w:t>
      </w:r>
      <w:r w:rsidRPr="00067087">
        <w:rPr>
          <w:lang w:val="en-US"/>
        </w:rPr>
        <w:t xml:space="preserve"> put in place by the Government </w:t>
      </w:r>
      <w:r>
        <w:rPr>
          <w:lang w:val="en-US"/>
        </w:rPr>
        <w:t>to provide</w:t>
      </w:r>
      <w:r w:rsidRPr="00067087">
        <w:rPr>
          <w:lang w:val="en-US"/>
        </w:rPr>
        <w:t xml:space="preserve"> health, social protection and economic assistance, there remains an urgent need to further enhance policies and interventions in line with </w:t>
      </w:r>
      <w:r>
        <w:rPr>
          <w:lang w:val="en-US"/>
        </w:rPr>
        <w:t xml:space="preserve">State </w:t>
      </w:r>
      <w:r w:rsidRPr="00067087">
        <w:rPr>
          <w:lang w:val="en-US"/>
        </w:rPr>
        <w:t xml:space="preserve">obligations under the International Covenant on Economic, Social and Cultural Rights. The </w:t>
      </w:r>
      <w:r>
        <w:rPr>
          <w:lang w:val="en-US"/>
        </w:rPr>
        <w:t xml:space="preserve">above-mentioned national poverty identification </w:t>
      </w:r>
      <w:r w:rsidRPr="00067087">
        <w:rPr>
          <w:lang w:val="en-US"/>
        </w:rPr>
        <w:t xml:space="preserve">system should be expanded to address the overarching issues of poverty and inequality, and the Government should continue to increase investment in health, social protection and the public sector, mobilizing </w:t>
      </w:r>
      <w:r>
        <w:rPr>
          <w:lang w:val="en-US"/>
        </w:rPr>
        <w:t xml:space="preserve">the </w:t>
      </w:r>
      <w:r w:rsidRPr="00067087">
        <w:rPr>
          <w:lang w:val="en-US"/>
        </w:rPr>
        <w:t xml:space="preserve">maximum </w:t>
      </w:r>
      <w:r>
        <w:rPr>
          <w:lang w:val="en-US"/>
        </w:rPr>
        <w:t xml:space="preserve">of its </w:t>
      </w:r>
      <w:r w:rsidRPr="00067087">
        <w:rPr>
          <w:lang w:val="en-US"/>
        </w:rPr>
        <w:t>available resources and seeking international cooperation if necessary.</w:t>
      </w:r>
    </w:p>
    <w:p w14:paraId="4AF5F34C" w14:textId="61F316A9" w:rsidR="00657C1B" w:rsidRPr="00067087" w:rsidRDefault="00657C1B" w:rsidP="00657C1B">
      <w:pPr>
        <w:pStyle w:val="H1G"/>
      </w:pPr>
      <w:r>
        <w:tab/>
        <w:t>B.</w:t>
      </w:r>
      <w:r>
        <w:tab/>
        <w:t>L</w:t>
      </w:r>
      <w:r w:rsidRPr="00067087">
        <w:t>and and housing rights</w:t>
      </w:r>
    </w:p>
    <w:p w14:paraId="58837636" w14:textId="77777777" w:rsidR="00657C1B" w:rsidRPr="00067087" w:rsidRDefault="00657C1B" w:rsidP="00657C1B">
      <w:pPr>
        <w:pStyle w:val="SingleTxtG"/>
      </w:pPr>
      <w:r>
        <w:t>44.</w:t>
      </w:r>
      <w:r>
        <w:tab/>
        <w:t xml:space="preserve">As </w:t>
      </w:r>
      <w:r w:rsidRPr="00067087">
        <w:t>the Human Rights Council</w:t>
      </w:r>
      <w:r>
        <w:t xml:space="preserve"> has noted,</w:t>
      </w:r>
      <w:r w:rsidRPr="00067087">
        <w:t xml:space="preserve"> the land situation </w:t>
      </w:r>
      <w:r>
        <w:t xml:space="preserve">in Cambodia is </w:t>
      </w:r>
      <w:r w:rsidRPr="00067087">
        <w:t>deeply problematic.</w:t>
      </w:r>
      <w:r w:rsidRPr="00E376F9">
        <w:rPr>
          <w:rStyle w:val="FootnoteReference"/>
        </w:rPr>
        <w:footnoteReference w:id="53"/>
      </w:r>
      <w:r>
        <w:t xml:space="preserve"> </w:t>
      </w:r>
      <w:r w:rsidRPr="00067087">
        <w:t>Poor and marginali</w:t>
      </w:r>
      <w:r>
        <w:t>z</w:t>
      </w:r>
      <w:r w:rsidRPr="00067087">
        <w:t xml:space="preserve">ed communities continue to face forced evictions. A major root cause is the allocation of land concessions to individuals with </w:t>
      </w:r>
      <w:r>
        <w:t xml:space="preserve">ties to the </w:t>
      </w:r>
      <w:r w:rsidRPr="00067087">
        <w:t xml:space="preserve">ruling party, with victims invariably </w:t>
      </w:r>
      <w:r>
        <w:t xml:space="preserve">coming </w:t>
      </w:r>
      <w:r w:rsidRPr="00067087">
        <w:t xml:space="preserve">from lower socioeconomic </w:t>
      </w:r>
      <w:r>
        <w:t>parts of the population</w:t>
      </w:r>
      <w:r w:rsidRPr="00067087">
        <w:t xml:space="preserve">. No new laws or policies </w:t>
      </w:r>
      <w:r>
        <w:t>aimed at</w:t>
      </w:r>
      <w:r w:rsidRPr="00067087">
        <w:t xml:space="preserve"> address</w:t>
      </w:r>
      <w:r>
        <w:t>ing</w:t>
      </w:r>
      <w:r w:rsidRPr="00067087">
        <w:t xml:space="preserve"> the root causes </w:t>
      </w:r>
      <w:r>
        <w:t xml:space="preserve">of </w:t>
      </w:r>
      <w:r w:rsidRPr="00067087">
        <w:t>land and housing</w:t>
      </w:r>
      <w:r>
        <w:t xml:space="preserve"> issues</w:t>
      </w:r>
      <w:r w:rsidRPr="00067087">
        <w:t xml:space="preserve"> were developed </w:t>
      </w:r>
      <w:r>
        <w:t>during the reporting</w:t>
      </w:r>
      <w:r w:rsidRPr="00067087">
        <w:t xml:space="preserve"> period. A draft law on </w:t>
      </w:r>
      <w:r>
        <w:t>the e</w:t>
      </w:r>
      <w:r w:rsidRPr="00067087">
        <w:t xml:space="preserve">nvironment and </w:t>
      </w:r>
      <w:r>
        <w:t>n</w:t>
      </w:r>
      <w:r w:rsidRPr="00067087">
        <w:t xml:space="preserve">atural </w:t>
      </w:r>
      <w:r>
        <w:t>r</w:t>
      </w:r>
      <w:r w:rsidRPr="00067087">
        <w:t>esources, published in 2016, remains pending after years of consultation with stakeholders.</w:t>
      </w:r>
      <w:r>
        <w:t xml:space="preserve"> In its comments on the present report, the Government stated that the draft law was under </w:t>
      </w:r>
      <w:r>
        <w:lastRenderedPageBreak/>
        <w:t>discussion by the relevant line ministries and that it would subsequently be submitted to the Council of Ministers before being brought before the National Assembly.</w:t>
      </w:r>
    </w:p>
    <w:p w14:paraId="465ADA05" w14:textId="7407B144" w:rsidR="00657C1B" w:rsidRPr="00067087" w:rsidRDefault="00657C1B" w:rsidP="00657C1B">
      <w:pPr>
        <w:pStyle w:val="SingleTxtG"/>
      </w:pPr>
      <w:r>
        <w:t>45.</w:t>
      </w:r>
      <w:r>
        <w:tab/>
      </w:r>
      <w:r w:rsidRPr="00067087">
        <w:t>OHCHR observed that</w:t>
      </w:r>
      <w:r>
        <w:t>,</w:t>
      </w:r>
      <w:r w:rsidRPr="00067087">
        <w:t xml:space="preserve"> in February 2021, </w:t>
      </w:r>
      <w:r>
        <w:t xml:space="preserve">the authorities of </w:t>
      </w:r>
      <w:r w:rsidRPr="00067087">
        <w:t xml:space="preserve">Mondulkiri </w:t>
      </w:r>
      <w:r>
        <w:t>P</w:t>
      </w:r>
      <w:r w:rsidRPr="00067087">
        <w:t>rovinc</w:t>
      </w:r>
      <w:r>
        <w:t>e had</w:t>
      </w:r>
      <w:r w:rsidRPr="00067087">
        <w:t xml:space="preserve"> sought approval to excise more than 3,000 hectares</w:t>
      </w:r>
      <w:r>
        <w:t xml:space="preserve"> of land</w:t>
      </w:r>
      <w:r w:rsidRPr="00067087">
        <w:t xml:space="preserve"> from a protected wildlife sanctuary to establish a special economic zone.</w:t>
      </w:r>
      <w:r w:rsidRPr="00E376F9">
        <w:rPr>
          <w:rStyle w:val="FootnoteReference"/>
        </w:rPr>
        <w:footnoteReference w:id="54"/>
      </w:r>
      <w:r w:rsidRPr="00067087">
        <w:t xml:space="preserve"> In 2020</w:t>
      </w:r>
      <w:r>
        <w:t>,</w:t>
      </w:r>
      <w:r w:rsidRPr="00067087">
        <w:t xml:space="preserve"> </w:t>
      </w:r>
      <w:r>
        <w:t xml:space="preserve">in </w:t>
      </w:r>
      <w:r w:rsidRPr="00067087">
        <w:t>Preah Sihanouk</w:t>
      </w:r>
      <w:r>
        <w:t xml:space="preserve"> Province</w:t>
      </w:r>
      <w:r w:rsidRPr="00067087">
        <w:t xml:space="preserve">, the Government reclassified </w:t>
      </w:r>
      <w:r>
        <w:t>S</w:t>
      </w:r>
      <w:r w:rsidRPr="00067087">
        <w:t xml:space="preserve">tate land and granted nearly 173 hectares </w:t>
      </w:r>
      <w:r>
        <w:t xml:space="preserve">of land </w:t>
      </w:r>
      <w:r w:rsidRPr="00067087">
        <w:t>to 14 individuals, including senior government officials, family members and others with close ties to the ruling party.</w:t>
      </w:r>
      <w:r w:rsidRPr="00E376F9">
        <w:rPr>
          <w:rStyle w:val="FootnoteReference"/>
        </w:rPr>
        <w:footnoteReference w:id="55"/>
      </w:r>
      <w:r w:rsidRPr="00067087">
        <w:t xml:space="preserve"> A C</w:t>
      </w:r>
      <w:r>
        <w:t xml:space="preserve">ambodian </w:t>
      </w:r>
      <w:r w:rsidRPr="00067087">
        <w:t>P</w:t>
      </w:r>
      <w:r>
        <w:t>eople</w:t>
      </w:r>
      <w:r w:rsidR="00BC48DA">
        <w:t>’</w:t>
      </w:r>
      <w:r>
        <w:t xml:space="preserve">s </w:t>
      </w:r>
      <w:r w:rsidRPr="00067087">
        <w:t>P</w:t>
      </w:r>
      <w:r>
        <w:t>arty</w:t>
      </w:r>
      <w:r w:rsidRPr="00067087">
        <w:t xml:space="preserve"> senator who ha</w:t>
      </w:r>
      <w:r>
        <w:t>d</w:t>
      </w:r>
      <w:r w:rsidRPr="00067087">
        <w:t xml:space="preserve"> </w:t>
      </w:r>
      <w:r>
        <w:t xml:space="preserve">already </w:t>
      </w:r>
      <w:r w:rsidRPr="00067087">
        <w:t xml:space="preserve">received numerous land concessions over the years received another grant of land in November 2020 through a </w:t>
      </w:r>
      <w:r>
        <w:t>s</w:t>
      </w:r>
      <w:r w:rsidRPr="00067087">
        <w:t>ub-decree relating to a forested area in Kampong Speu</w:t>
      </w:r>
      <w:r>
        <w:t xml:space="preserve"> Province</w:t>
      </w:r>
      <w:r w:rsidRPr="00067087">
        <w:t>.</w:t>
      </w:r>
      <w:r w:rsidRPr="00E376F9">
        <w:rPr>
          <w:rStyle w:val="FootnoteReference"/>
        </w:rPr>
        <w:footnoteReference w:id="56"/>
      </w:r>
    </w:p>
    <w:p w14:paraId="266ADAF1" w14:textId="3AA3DCC1" w:rsidR="00657C1B" w:rsidRPr="00067087" w:rsidRDefault="00657C1B" w:rsidP="00657C1B">
      <w:pPr>
        <w:pStyle w:val="SingleTxtG"/>
      </w:pPr>
      <w:r>
        <w:t>46.</w:t>
      </w:r>
      <w:r>
        <w:tab/>
      </w:r>
      <w:r w:rsidRPr="00067087">
        <w:t xml:space="preserve">The opaque process </w:t>
      </w:r>
      <w:r>
        <w:t>for granting</w:t>
      </w:r>
      <w:r w:rsidRPr="00067087">
        <w:t xml:space="preserve"> land concessions continues, resulting in the protracted suffering of poor and marginali</w:t>
      </w:r>
      <w:r>
        <w:t>z</w:t>
      </w:r>
      <w:r w:rsidRPr="00067087">
        <w:t xml:space="preserve">ed communities. In Phnom Penh, the privatization of lake areas and the eviction of families living </w:t>
      </w:r>
      <w:r>
        <w:t>in such areas</w:t>
      </w:r>
      <w:r w:rsidRPr="00067087">
        <w:t xml:space="preserve"> continue. Since 2003, 60 per</w:t>
      </w:r>
      <w:r>
        <w:t xml:space="preserve"> </w:t>
      </w:r>
      <w:r w:rsidRPr="00067087">
        <w:t>cent of the city</w:t>
      </w:r>
      <w:r w:rsidR="00BC48DA">
        <w:t>’</w:t>
      </w:r>
      <w:r w:rsidRPr="00067087">
        <w:t>s lakes and 40 per</w:t>
      </w:r>
      <w:r>
        <w:t xml:space="preserve"> </w:t>
      </w:r>
      <w:r w:rsidRPr="00067087">
        <w:t>cent of its wetland areas have been filled in by developers, resulting in the eviction of thousands of families.</w:t>
      </w:r>
      <w:r w:rsidRPr="00E376F9">
        <w:rPr>
          <w:rStyle w:val="FootnoteReference"/>
        </w:rPr>
        <w:footnoteReference w:id="57"/>
      </w:r>
      <w:r w:rsidRPr="00067087">
        <w:t xml:space="preserve"> An OHCHR-supported report found that the ING City project </w:t>
      </w:r>
      <w:r>
        <w:t xml:space="preserve">had </w:t>
      </w:r>
      <w:r w:rsidRPr="00067087">
        <w:t>led to the destruction of the Tompoun/Cheung Ek wetlands</w:t>
      </w:r>
      <w:r>
        <w:t xml:space="preserve"> and placed the </w:t>
      </w:r>
      <w:r w:rsidRPr="00067087">
        <w:t>homes and livelihoods</w:t>
      </w:r>
      <w:r>
        <w:t xml:space="preserve"> of </w:t>
      </w:r>
      <w:r w:rsidRPr="00067087">
        <w:t xml:space="preserve">more than </w:t>
      </w:r>
      <w:r>
        <w:t>1,000</w:t>
      </w:r>
      <w:r w:rsidRPr="00067087">
        <w:t xml:space="preserve"> families under threat.</w:t>
      </w:r>
      <w:r w:rsidRPr="00E376F9">
        <w:rPr>
          <w:rStyle w:val="FootnoteReference"/>
        </w:rPr>
        <w:footnoteReference w:id="58"/>
      </w:r>
      <w:r w:rsidRPr="00067087">
        <w:t xml:space="preserve"> </w:t>
      </w:r>
      <w:r>
        <w:t>United Nations s</w:t>
      </w:r>
      <w:r w:rsidRPr="00067087">
        <w:t xml:space="preserve">pecial </w:t>
      </w:r>
      <w:r>
        <w:t>p</w:t>
      </w:r>
      <w:r w:rsidRPr="00067087">
        <w:t xml:space="preserve">rocedure </w:t>
      </w:r>
      <w:r>
        <w:t xml:space="preserve">mandate holders have </w:t>
      </w:r>
      <w:r w:rsidRPr="00067087">
        <w:t xml:space="preserve">expressed concern </w:t>
      </w:r>
      <w:r>
        <w:t xml:space="preserve">that, without the wetlands, </w:t>
      </w:r>
      <w:r w:rsidRPr="00067087">
        <w:t xml:space="preserve">more than </w:t>
      </w:r>
      <w:r>
        <w:t>1</w:t>
      </w:r>
      <w:r w:rsidRPr="00067087">
        <w:t xml:space="preserve"> million people </w:t>
      </w:r>
      <w:r>
        <w:t xml:space="preserve">are </w:t>
      </w:r>
      <w:r w:rsidRPr="00067087">
        <w:t>at risk of flooding</w:t>
      </w:r>
      <w:r>
        <w:t xml:space="preserve"> and exposure to contaminated water</w:t>
      </w:r>
      <w:r w:rsidRPr="00067087">
        <w:t>.</w:t>
      </w:r>
      <w:r w:rsidRPr="00E376F9">
        <w:rPr>
          <w:rStyle w:val="FootnoteReference"/>
        </w:rPr>
        <w:footnoteReference w:id="59"/>
      </w:r>
      <w:r w:rsidRPr="00067087">
        <w:t xml:space="preserve"> </w:t>
      </w:r>
    </w:p>
    <w:p w14:paraId="6C5E2351" w14:textId="77777777" w:rsidR="00657C1B" w:rsidRPr="00067087" w:rsidRDefault="00657C1B" w:rsidP="00657C1B">
      <w:pPr>
        <w:pStyle w:val="SingleTxtG"/>
      </w:pPr>
      <w:r>
        <w:t>47.</w:t>
      </w:r>
      <w:r>
        <w:tab/>
        <w:t xml:space="preserve">The ongoing development of Boeung Tamok lake could affect 319 poor families, many of which have no land titles and some of which have already been evicted without notice or consultation. Between August 2018 and January 2021, OHCHR documented 16 decisions issued by the Government to reclaim land close to the lake for private and public development projects. OHCHR also documented 11 new land disputes arising from economic land concessions and 16 long-standing land disputes that remain unresolved. </w:t>
      </w:r>
    </w:p>
    <w:p w14:paraId="727DDD79" w14:textId="77C95631" w:rsidR="00657C1B" w:rsidRPr="00067087" w:rsidRDefault="00657C1B" w:rsidP="00657C1B">
      <w:pPr>
        <w:pStyle w:val="SingleTxtG"/>
      </w:pPr>
      <w:r>
        <w:t>48.</w:t>
      </w:r>
      <w:r>
        <w:tab/>
        <w:t>Violations of l</w:t>
      </w:r>
      <w:r w:rsidRPr="00067087">
        <w:t xml:space="preserve">and and housing rights have also </w:t>
      </w:r>
      <w:r>
        <w:t>occurred</w:t>
      </w:r>
      <w:r w:rsidRPr="00067087">
        <w:t xml:space="preserve"> in tourist areas. A road improvement project in Siem Reap</w:t>
      </w:r>
      <w:r>
        <w:t xml:space="preserve"> Province</w:t>
      </w:r>
      <w:r w:rsidRPr="00E376F9">
        <w:rPr>
          <w:rStyle w:val="FootnoteReference"/>
        </w:rPr>
        <w:footnoteReference w:id="60"/>
      </w:r>
      <w:r w:rsidRPr="00067087">
        <w:t xml:space="preserve"> </w:t>
      </w:r>
      <w:r>
        <w:t>that</w:t>
      </w:r>
      <w:r w:rsidRPr="00067087">
        <w:t xml:space="preserve"> will affect approximately 5,000 homes has resulted in the eviction of 94 urban poor families.</w:t>
      </w:r>
      <w:r w:rsidRPr="00E376F9">
        <w:rPr>
          <w:rStyle w:val="FootnoteReference"/>
        </w:rPr>
        <w:footnoteReference w:id="61"/>
      </w:r>
      <w:r w:rsidRPr="00067087">
        <w:t xml:space="preserve"> On 26 January 2021, OHCHR, </w:t>
      </w:r>
      <w:r>
        <w:t xml:space="preserve">the </w:t>
      </w:r>
      <w:r w:rsidRPr="002F7C08">
        <w:t xml:space="preserve">United Nations Human Settlements Programme </w:t>
      </w:r>
      <w:r>
        <w:t>(</w:t>
      </w:r>
      <w:r w:rsidRPr="00067087">
        <w:t>UN</w:t>
      </w:r>
      <w:r>
        <w:t>-</w:t>
      </w:r>
      <w:r w:rsidRPr="00067087">
        <w:t>Habitat</w:t>
      </w:r>
      <w:r>
        <w:t>)</w:t>
      </w:r>
      <w:r w:rsidRPr="00067087">
        <w:t xml:space="preserve"> and the Resident Coordinator</w:t>
      </w:r>
      <w:r w:rsidR="00BC48DA">
        <w:t>’</w:t>
      </w:r>
      <w:r w:rsidRPr="00067087">
        <w:t xml:space="preserve">s </w:t>
      </w:r>
      <w:r>
        <w:t>o</w:t>
      </w:r>
      <w:r w:rsidRPr="00067087">
        <w:t xml:space="preserve">ffice met with the Ministry of </w:t>
      </w:r>
      <w:r>
        <w:t xml:space="preserve">the </w:t>
      </w:r>
      <w:r w:rsidRPr="00067087">
        <w:t xml:space="preserve">Interior to discuss the </w:t>
      </w:r>
      <w:r w:rsidR="00BC48DA">
        <w:t>“</w:t>
      </w:r>
      <w:r>
        <w:t>s</w:t>
      </w:r>
      <w:r w:rsidRPr="00067087">
        <w:t xml:space="preserve">mart </w:t>
      </w:r>
      <w:r>
        <w:t>c</w:t>
      </w:r>
      <w:r w:rsidRPr="00067087">
        <w:t>ity</w:t>
      </w:r>
      <w:r w:rsidR="00BC48DA">
        <w:t>”</w:t>
      </w:r>
      <w:r w:rsidRPr="00067087">
        <w:t xml:space="preserve"> development in Preah Sihanouk</w:t>
      </w:r>
      <w:r>
        <w:t xml:space="preserve"> Province</w:t>
      </w:r>
      <w:r w:rsidRPr="00067087">
        <w:t xml:space="preserve"> and to advocate for the promotion of sustainable and inclusive development. In February 2021, OHCHR and the Resident Coordinator</w:t>
      </w:r>
      <w:r w:rsidR="00BC48DA">
        <w:t>’</w:t>
      </w:r>
      <w:r w:rsidRPr="00067087">
        <w:t xml:space="preserve">s </w:t>
      </w:r>
      <w:r>
        <w:t>o</w:t>
      </w:r>
      <w:r w:rsidRPr="00067087">
        <w:t xml:space="preserve">ffice engaged with the </w:t>
      </w:r>
      <w:r>
        <w:t xml:space="preserve">authorities of </w:t>
      </w:r>
      <w:r w:rsidRPr="00067087">
        <w:t>Preah Sihanouk Provinc</w:t>
      </w:r>
      <w:r>
        <w:t>e</w:t>
      </w:r>
      <w:r w:rsidRPr="00067087">
        <w:t xml:space="preserve"> to halt </w:t>
      </w:r>
      <w:r>
        <w:t>the</w:t>
      </w:r>
      <w:r w:rsidRPr="00067087">
        <w:t xml:space="preserve"> eviction of 168 families that have been living in an informal settlement there since</w:t>
      </w:r>
      <w:r>
        <w:t xml:space="preserve"> the</w:t>
      </w:r>
      <w:r w:rsidRPr="00067087">
        <w:t xml:space="preserve"> 1990</w:t>
      </w:r>
      <w:r>
        <w:t>s</w:t>
      </w:r>
      <w:r w:rsidRPr="00067087">
        <w:t>. The eviction did not take place but</w:t>
      </w:r>
      <w:r>
        <w:t>,</w:t>
      </w:r>
      <w:r w:rsidRPr="00067087">
        <w:t xml:space="preserve"> </w:t>
      </w:r>
      <w:r>
        <w:t>as</w:t>
      </w:r>
      <w:r w:rsidRPr="00067087">
        <w:t xml:space="preserve"> a durable solution</w:t>
      </w:r>
      <w:r>
        <w:t xml:space="preserve"> was not found</w:t>
      </w:r>
      <w:r w:rsidRPr="00067087">
        <w:t>, the community remains highly vulnerable.</w:t>
      </w:r>
      <w:r>
        <w:t xml:space="preserve"> In its comments on the present report, the Government stated that it </w:t>
      </w:r>
      <w:r w:rsidRPr="001B1FF4">
        <w:t xml:space="preserve">was reviewing </w:t>
      </w:r>
      <w:r w:rsidR="00BC48DA">
        <w:t>“</w:t>
      </w:r>
      <w:r w:rsidRPr="001B1FF4">
        <w:t>illegal resettlements</w:t>
      </w:r>
      <w:r w:rsidR="00BC48DA">
        <w:t>”</w:t>
      </w:r>
      <w:r w:rsidRPr="001B1FF4">
        <w:t xml:space="preserve"> on a case-by-case basis with a view to supporting vulnerable households for which relocation was deemed necessary as a last resort.</w:t>
      </w:r>
      <w:r>
        <w:t xml:space="preserve"> </w:t>
      </w:r>
    </w:p>
    <w:p w14:paraId="61A65F52" w14:textId="77777777" w:rsidR="00657C1B" w:rsidRPr="00067087" w:rsidRDefault="00657C1B" w:rsidP="00657C1B">
      <w:pPr>
        <w:pStyle w:val="SingleTxtG"/>
      </w:pPr>
      <w:r>
        <w:t>49.</w:t>
      </w:r>
      <w:r>
        <w:tab/>
      </w:r>
      <w:r w:rsidRPr="00067087">
        <w:t xml:space="preserve">In Phnom Penh, OHCHR engaged with </w:t>
      </w:r>
      <w:r>
        <w:t xml:space="preserve">the </w:t>
      </w:r>
      <w:r w:rsidRPr="00067087">
        <w:t xml:space="preserve">authorities to improve conditions </w:t>
      </w:r>
      <w:r>
        <w:t>at</w:t>
      </w:r>
      <w:r w:rsidRPr="00067087">
        <w:t xml:space="preserve"> the resettlement site in Bonteay Slerk, where 87 families ha</w:t>
      </w:r>
      <w:r>
        <w:t>d</w:t>
      </w:r>
      <w:r w:rsidRPr="00067087">
        <w:t xml:space="preserve"> been living in an informal settlement since the early 1990s. On 13 July 2020, OHCHR met with the District Governor </w:t>
      </w:r>
      <w:r w:rsidRPr="00067087">
        <w:lastRenderedPageBreak/>
        <w:t xml:space="preserve">to raise human rights concerns relating to the inadequacy of </w:t>
      </w:r>
      <w:r>
        <w:t xml:space="preserve">the </w:t>
      </w:r>
      <w:r w:rsidRPr="00067087">
        <w:t xml:space="preserve">infrastructure and </w:t>
      </w:r>
      <w:r>
        <w:t xml:space="preserve">of </w:t>
      </w:r>
      <w:r w:rsidRPr="00067087">
        <w:t>services such as shelter and flood defence</w:t>
      </w:r>
      <w:r>
        <w:t>s</w:t>
      </w:r>
      <w:r w:rsidRPr="00067087">
        <w:t xml:space="preserve"> </w:t>
      </w:r>
      <w:r>
        <w:t>at</w:t>
      </w:r>
      <w:r w:rsidRPr="00067087">
        <w:t xml:space="preserve"> the site. Following advocacy efforts, the Phnom Penh </w:t>
      </w:r>
      <w:r>
        <w:t>m</w:t>
      </w:r>
      <w:r w:rsidRPr="00067087">
        <w:t xml:space="preserve">unicipality took measures to improve the site, including </w:t>
      </w:r>
      <w:r>
        <w:t>its</w:t>
      </w:r>
      <w:r w:rsidRPr="00067087">
        <w:t xml:space="preserve"> flood defences. </w:t>
      </w:r>
    </w:p>
    <w:p w14:paraId="46A3AA13" w14:textId="77777777" w:rsidR="00657C1B" w:rsidRPr="00067087" w:rsidRDefault="00657C1B" w:rsidP="00657C1B">
      <w:pPr>
        <w:pStyle w:val="SingleTxtG"/>
      </w:pPr>
      <w:r>
        <w:t>50.</w:t>
      </w:r>
      <w:r>
        <w:tab/>
        <w:t>OHCHR has undertaken a study of 17 resettlement sites in Cambodia. In the report on that study, which will be released in the final quarter of 2021, OHCHR found that evicted communities were sent to resettlement sites before infrastructure and services, including those related to access to safe drinking water and sanitation, roads, electricity, health, education and food, had been put in place. The report highlights a lack of national guidelines on resettlement processes.</w:t>
      </w:r>
    </w:p>
    <w:p w14:paraId="0FC07A37" w14:textId="77777777" w:rsidR="00657C1B" w:rsidRPr="00067087" w:rsidRDefault="00657C1B" w:rsidP="00657C1B">
      <w:pPr>
        <w:pStyle w:val="H1G"/>
      </w:pPr>
      <w:r>
        <w:tab/>
        <w:t>C.</w:t>
      </w:r>
      <w:r>
        <w:tab/>
      </w:r>
      <w:r w:rsidRPr="00067087">
        <w:t>Access to land for indigenous people</w:t>
      </w:r>
    </w:p>
    <w:p w14:paraId="661D4541" w14:textId="536C7447" w:rsidR="00657C1B" w:rsidRPr="00067087" w:rsidRDefault="00657C1B" w:rsidP="00657C1B">
      <w:pPr>
        <w:pStyle w:val="SingleTxtG"/>
      </w:pPr>
      <w:r>
        <w:t>51.</w:t>
      </w:r>
      <w:r>
        <w:tab/>
      </w:r>
      <w:r w:rsidRPr="00067087">
        <w:t>Indigenous peoples</w:t>
      </w:r>
      <w:r w:rsidR="00BC48DA">
        <w:t>’</w:t>
      </w:r>
      <w:r w:rsidRPr="00067087">
        <w:t xml:space="preserve"> land continues to be granted to private companies</w:t>
      </w:r>
      <w:r>
        <w:t>, marking a trend that is facilitated by the country</w:t>
      </w:r>
      <w:r w:rsidR="00BC48DA">
        <w:t>’</w:t>
      </w:r>
      <w:r>
        <w:t xml:space="preserve">s </w:t>
      </w:r>
      <w:r w:rsidRPr="00067087">
        <w:t xml:space="preserve">complex, expensive, slow and inaccessible </w:t>
      </w:r>
      <w:r>
        <w:t>c</w:t>
      </w:r>
      <w:r w:rsidRPr="00067087">
        <w:t xml:space="preserve">ommunal </w:t>
      </w:r>
      <w:r>
        <w:t>l</w:t>
      </w:r>
      <w:r w:rsidRPr="00067087">
        <w:t xml:space="preserve">and </w:t>
      </w:r>
      <w:r>
        <w:t>t</w:t>
      </w:r>
      <w:r w:rsidRPr="00067087">
        <w:t xml:space="preserve">itling process. </w:t>
      </w:r>
    </w:p>
    <w:p w14:paraId="0BF6AE13" w14:textId="10FA6801" w:rsidR="00657C1B" w:rsidRPr="00067087" w:rsidRDefault="00657C1B" w:rsidP="00657C1B">
      <w:pPr>
        <w:pStyle w:val="SingleTxtG"/>
      </w:pPr>
      <w:r>
        <w:t>52.</w:t>
      </w:r>
      <w:r>
        <w:tab/>
      </w:r>
      <w:r w:rsidRPr="00067087">
        <w:t xml:space="preserve">Of the 455 indigenous communities in Cambodia, only 158 have had their indigenous identities recognized since the </w:t>
      </w:r>
      <w:r>
        <w:t xml:space="preserve">issuance in </w:t>
      </w:r>
      <w:r w:rsidRPr="00067087">
        <w:t xml:space="preserve">2009 </w:t>
      </w:r>
      <w:r>
        <w:t>of a s</w:t>
      </w:r>
      <w:r w:rsidRPr="00067087">
        <w:t>ub-decree on registration procedures for the land of indigenous communities.</w:t>
      </w:r>
      <w:r w:rsidRPr="00E376F9">
        <w:rPr>
          <w:rStyle w:val="FootnoteReference"/>
        </w:rPr>
        <w:footnoteReference w:id="62"/>
      </w:r>
      <w:r w:rsidRPr="00067087">
        <w:t xml:space="preserve"> Recognition is the first step in a long process to protect indigenous people</w:t>
      </w:r>
      <w:r w:rsidR="00BC48DA">
        <w:t>’</w:t>
      </w:r>
      <w:r w:rsidRPr="00067087">
        <w:t xml:space="preserve">s rights. Government officials </w:t>
      </w:r>
      <w:r>
        <w:t xml:space="preserve">have </w:t>
      </w:r>
      <w:r w:rsidRPr="00067087">
        <w:t>state</w:t>
      </w:r>
      <w:r>
        <w:t>d</w:t>
      </w:r>
      <w:r w:rsidRPr="00067087">
        <w:t xml:space="preserve"> that a further 152 indigenous communities have </w:t>
      </w:r>
      <w:r>
        <w:t>reached</w:t>
      </w:r>
      <w:r w:rsidRPr="00067087">
        <w:t xml:space="preserve"> the second step of the process and have been registered as legal entities.</w:t>
      </w:r>
      <w:r w:rsidRPr="00E376F9">
        <w:rPr>
          <w:rStyle w:val="FootnoteReference"/>
        </w:rPr>
        <w:footnoteReference w:id="63"/>
      </w:r>
      <w:r w:rsidRPr="00067087">
        <w:t xml:space="preserve"> </w:t>
      </w:r>
      <w:r>
        <w:t>Thirty-three</w:t>
      </w:r>
      <w:r w:rsidRPr="00067087">
        <w:t xml:space="preserve"> communities have </w:t>
      </w:r>
      <w:r>
        <w:t xml:space="preserve">made additional </w:t>
      </w:r>
      <w:r w:rsidRPr="00067087">
        <w:t>progress</w:t>
      </w:r>
      <w:r>
        <w:t xml:space="preserve"> and reached</w:t>
      </w:r>
      <w:r w:rsidRPr="00067087">
        <w:t xml:space="preserve"> the final stage of the process, which involves land measurement, before final approval and the issuance of land titles.</w:t>
      </w:r>
      <w:r w:rsidRPr="00E376F9">
        <w:rPr>
          <w:rStyle w:val="FootnoteReference"/>
        </w:rPr>
        <w:footnoteReference w:id="64"/>
      </w:r>
      <w:r w:rsidRPr="00067087">
        <w:t xml:space="preserve"> While these are welcome steps,</w:t>
      </w:r>
      <w:r>
        <w:t xml:space="preserve"> the process is likely to take all the </w:t>
      </w:r>
      <w:r w:rsidRPr="00067087">
        <w:t xml:space="preserve">indigenous communities </w:t>
      </w:r>
      <w:r>
        <w:t>in the country</w:t>
      </w:r>
      <w:r w:rsidRPr="008F1832">
        <w:t xml:space="preserve"> </w:t>
      </w:r>
      <w:r>
        <w:t>many years to complete</w:t>
      </w:r>
      <w:r w:rsidRPr="00067087">
        <w:t xml:space="preserve">. </w:t>
      </w:r>
      <w:r>
        <w:t>In its comments on the present report, the Government stated that it had established a working group comprising representatives from various relevant ministries to survey the situation of indigenous land ownership in Mondulkiri Province.</w:t>
      </w:r>
    </w:p>
    <w:p w14:paraId="1180D21E" w14:textId="77777777" w:rsidR="00657C1B" w:rsidRPr="00067087" w:rsidRDefault="00657C1B" w:rsidP="00657C1B">
      <w:pPr>
        <w:pStyle w:val="SingleTxtG"/>
      </w:pPr>
      <w:r>
        <w:t>53.</w:t>
      </w:r>
      <w:r>
        <w:tab/>
      </w:r>
      <w:r w:rsidRPr="00067087">
        <w:t xml:space="preserve">In November 2020, the draft discussion paper on the simplification of the </w:t>
      </w:r>
      <w:r>
        <w:t>c</w:t>
      </w:r>
      <w:r w:rsidRPr="00067087">
        <w:t xml:space="preserve">ommunal </w:t>
      </w:r>
      <w:r>
        <w:t>l</w:t>
      </w:r>
      <w:r w:rsidRPr="00067087">
        <w:t xml:space="preserve">and </w:t>
      </w:r>
      <w:r>
        <w:t>t</w:t>
      </w:r>
      <w:r w:rsidRPr="00067087">
        <w:t xml:space="preserve">itling process developed by OHCHR was shared with the Government. </w:t>
      </w:r>
      <w:r>
        <w:t>OHCHR</w:t>
      </w:r>
      <w:r w:rsidRPr="00067087">
        <w:t xml:space="preserve"> has also worked directly with indigenous communities, supporting their efforts to complete the process. </w:t>
      </w:r>
      <w:r>
        <w:t>That support</w:t>
      </w:r>
      <w:r w:rsidRPr="00067087">
        <w:t xml:space="preserve"> included assisting 56 indigenous families in Stung Treng Province affected by </w:t>
      </w:r>
      <w:r w:rsidRPr="001B1FF4">
        <w:t xml:space="preserve">the Lower Sesan 2 </w:t>
      </w:r>
      <w:r w:rsidRPr="00C2519A">
        <w:t>h</w:t>
      </w:r>
      <w:r w:rsidRPr="001B1FF4">
        <w:t>ydro</w:t>
      </w:r>
      <w:r w:rsidRPr="00C2519A">
        <w:t>p</w:t>
      </w:r>
      <w:r w:rsidRPr="001B1FF4">
        <w:t xml:space="preserve">ower </w:t>
      </w:r>
      <w:r w:rsidRPr="00C2519A">
        <w:t>d</w:t>
      </w:r>
      <w:r w:rsidRPr="001B1FF4">
        <w:t>am. The</w:t>
      </w:r>
      <w:r w:rsidRPr="00067087">
        <w:t xml:space="preserve"> community filed a </w:t>
      </w:r>
      <w:r>
        <w:t>c</w:t>
      </w:r>
      <w:r w:rsidRPr="00067087">
        <w:t xml:space="preserve">ommunal </w:t>
      </w:r>
      <w:r>
        <w:t>l</w:t>
      </w:r>
      <w:r w:rsidRPr="00067087">
        <w:t xml:space="preserve">and </w:t>
      </w:r>
      <w:r>
        <w:t>t</w:t>
      </w:r>
      <w:r w:rsidRPr="00067087">
        <w:t>itling application for 7,000 hectares but in January 2021 received an offer of 951 hectares</w:t>
      </w:r>
      <w:r>
        <w:t>,</w:t>
      </w:r>
      <w:r w:rsidRPr="00067087">
        <w:t xml:space="preserve"> which </w:t>
      </w:r>
      <w:r>
        <w:t>it</w:t>
      </w:r>
      <w:r w:rsidRPr="00067087">
        <w:t xml:space="preserve"> rejected. </w:t>
      </w:r>
    </w:p>
    <w:p w14:paraId="160979C1" w14:textId="77777777" w:rsidR="00657C1B" w:rsidRPr="00067087" w:rsidRDefault="00657C1B" w:rsidP="00657C1B">
      <w:pPr>
        <w:pStyle w:val="SingleTxtG"/>
      </w:pPr>
      <w:r>
        <w:t>54.</w:t>
      </w:r>
      <w:r>
        <w:tab/>
      </w:r>
      <w:r w:rsidRPr="00067087">
        <w:t>Throughout the reporting period, OHCHR observed an increase in arrests and detention</w:t>
      </w:r>
      <w:r>
        <w:t>s</w:t>
      </w:r>
      <w:r w:rsidRPr="00067087">
        <w:t xml:space="preserve"> of indigenous community members under the </w:t>
      </w:r>
      <w:r>
        <w:t>law on p</w:t>
      </w:r>
      <w:r w:rsidRPr="00067087">
        <w:t xml:space="preserve">rotected </w:t>
      </w:r>
      <w:r>
        <w:t>a</w:t>
      </w:r>
      <w:r w:rsidRPr="00067087">
        <w:t>rea</w:t>
      </w:r>
      <w:r>
        <w:t>s</w:t>
      </w:r>
      <w:r w:rsidRPr="00067087">
        <w:t xml:space="preserve">. In March 2021, OHCHR intervened with local officials after five indigenous people were arrested by park rangers in Phnom Namlear Wildlife Sanctuary. Three were released within a week but two remain in pretrial detention on charges </w:t>
      </w:r>
      <w:r>
        <w:t xml:space="preserve">of violating provisions of </w:t>
      </w:r>
      <w:r w:rsidRPr="00067087">
        <w:t xml:space="preserve">the </w:t>
      </w:r>
      <w:r>
        <w:t>l</w:t>
      </w:r>
      <w:r w:rsidRPr="00067087">
        <w:t xml:space="preserve">aw on </w:t>
      </w:r>
      <w:r>
        <w:t>p</w:t>
      </w:r>
      <w:r w:rsidRPr="00067087">
        <w:t xml:space="preserve">rotected </w:t>
      </w:r>
      <w:r>
        <w:t>a</w:t>
      </w:r>
      <w:r w:rsidRPr="00067087">
        <w:t xml:space="preserve">reas. </w:t>
      </w:r>
    </w:p>
    <w:p w14:paraId="0490A514" w14:textId="77777777" w:rsidR="00657C1B" w:rsidRPr="00067087" w:rsidRDefault="00657C1B" w:rsidP="00657C1B">
      <w:pPr>
        <w:pStyle w:val="SingleTxtG"/>
      </w:pPr>
      <w:r>
        <w:t>55.</w:t>
      </w:r>
      <w:r>
        <w:tab/>
      </w:r>
      <w:r w:rsidRPr="00067087">
        <w:t xml:space="preserve">OHCHR received reports that the Ministry of </w:t>
      </w:r>
      <w:r>
        <w:t xml:space="preserve">the </w:t>
      </w:r>
      <w:r w:rsidRPr="00067087">
        <w:t>Environment and forest rangers ha</w:t>
      </w:r>
      <w:r>
        <w:t>d</w:t>
      </w:r>
      <w:r w:rsidRPr="00067087">
        <w:t xml:space="preserve"> cited COVID-19 restriction measures to prevent indigenous communities from conducting forest</w:t>
      </w:r>
      <w:r>
        <w:t>-</w:t>
      </w:r>
      <w:r w:rsidRPr="00067087">
        <w:t>monitoring</w:t>
      </w:r>
      <w:r>
        <w:t xml:space="preserve"> activities,</w:t>
      </w:r>
      <w:r w:rsidRPr="00067087">
        <w:t xml:space="preserve"> giving rise to reports of increased illegal logging and the destruction of natural resources. Indigenous communities have informed OHCHR that they are not receiving adequate information on COVID-19</w:t>
      </w:r>
      <w:r>
        <w:t xml:space="preserve"> that this makes them particularly </w:t>
      </w:r>
      <w:r w:rsidRPr="00067087">
        <w:t>vulnerabl</w:t>
      </w:r>
      <w:r>
        <w:t>e</w:t>
      </w:r>
      <w:r w:rsidRPr="00067087">
        <w:t xml:space="preserve"> to outbreaks</w:t>
      </w:r>
      <w:r>
        <w:t>. OHCHR has</w:t>
      </w:r>
      <w:r w:rsidRPr="00067087">
        <w:t xml:space="preserve"> highlight</w:t>
      </w:r>
      <w:r>
        <w:t>ed</w:t>
      </w:r>
      <w:r w:rsidRPr="00067087">
        <w:t xml:space="preserve"> </w:t>
      </w:r>
      <w:r>
        <w:t>that</w:t>
      </w:r>
      <w:r w:rsidRPr="00067087">
        <w:t xml:space="preserve"> the Government</w:t>
      </w:r>
      <w:r>
        <w:t xml:space="preserve"> needs</w:t>
      </w:r>
      <w:r w:rsidRPr="00067087">
        <w:t xml:space="preserve"> to</w:t>
      </w:r>
      <w:r>
        <w:t xml:space="preserve"> reach out to</w:t>
      </w:r>
      <w:r w:rsidRPr="00067087">
        <w:t xml:space="preserve"> indigenous people</w:t>
      </w:r>
      <w:r>
        <w:t>,</w:t>
      </w:r>
      <w:r w:rsidRPr="00067087">
        <w:t xml:space="preserve"> in </w:t>
      </w:r>
      <w:r>
        <w:t>their languages</w:t>
      </w:r>
      <w:r w:rsidRPr="00067087">
        <w:t xml:space="preserve">. </w:t>
      </w:r>
      <w:r>
        <w:t xml:space="preserve">In its comments on the present report, the Government stated that it had provided training opportunities to indigenous communities on COVID-19 </w:t>
      </w:r>
      <w:r>
        <w:lastRenderedPageBreak/>
        <w:t>transmission and preventive measures. However, no details on the number of trainings or participants was provided.</w:t>
      </w:r>
    </w:p>
    <w:p w14:paraId="3C199A14" w14:textId="77777777" w:rsidR="00657C1B" w:rsidRDefault="00657C1B" w:rsidP="00657C1B">
      <w:pPr>
        <w:pStyle w:val="HChG"/>
      </w:pPr>
      <w:r>
        <w:tab/>
        <w:t>VI.</w:t>
      </w:r>
      <w:r>
        <w:tab/>
      </w:r>
      <w:r w:rsidRPr="00067087">
        <w:t xml:space="preserve">Gender and </w:t>
      </w:r>
      <w:r>
        <w:t xml:space="preserve">the </w:t>
      </w:r>
      <w:r w:rsidRPr="00067087">
        <w:t xml:space="preserve">rights of </w:t>
      </w:r>
      <w:r>
        <w:t>lesbian, gay, bisexual, transgender and intersex</w:t>
      </w:r>
      <w:r w:rsidRPr="00067087">
        <w:t xml:space="preserve"> </w:t>
      </w:r>
      <w:r>
        <w:t>persons</w:t>
      </w:r>
    </w:p>
    <w:p w14:paraId="3D38B261" w14:textId="77777777" w:rsidR="00657C1B" w:rsidRPr="00067087" w:rsidRDefault="00657C1B" w:rsidP="00657C1B">
      <w:pPr>
        <w:pStyle w:val="SingleTxtG"/>
        <w:rPr>
          <w:lang w:val="en-US"/>
        </w:rPr>
      </w:pPr>
      <w:r>
        <w:rPr>
          <w:lang w:val="en-US"/>
        </w:rPr>
        <w:t>56.</w:t>
      </w:r>
      <w:r>
        <w:rPr>
          <w:lang w:val="en-US"/>
        </w:rPr>
        <w:tab/>
      </w:r>
      <w:r w:rsidRPr="00067087">
        <w:rPr>
          <w:lang w:val="en-US"/>
        </w:rPr>
        <w:t xml:space="preserve">In response to </w:t>
      </w:r>
      <w:r>
        <w:rPr>
          <w:lang w:val="en-US"/>
        </w:rPr>
        <w:t xml:space="preserve">the </w:t>
      </w:r>
      <w:r w:rsidRPr="00067087">
        <w:rPr>
          <w:lang w:val="en-US"/>
        </w:rPr>
        <w:t>COVID-19</w:t>
      </w:r>
      <w:r>
        <w:rPr>
          <w:lang w:val="en-US"/>
        </w:rPr>
        <w:t xml:space="preserve"> pandemic</w:t>
      </w:r>
      <w:r w:rsidRPr="00067087">
        <w:rPr>
          <w:lang w:val="en-US"/>
        </w:rPr>
        <w:t xml:space="preserve">, members of the </w:t>
      </w:r>
      <w:r>
        <w:rPr>
          <w:lang w:val="en-US"/>
        </w:rPr>
        <w:t>United Nations</w:t>
      </w:r>
      <w:r w:rsidRPr="00067087">
        <w:rPr>
          <w:lang w:val="en-US"/>
        </w:rPr>
        <w:t xml:space="preserve"> </w:t>
      </w:r>
      <w:r>
        <w:rPr>
          <w:lang w:val="en-US"/>
        </w:rPr>
        <w:t>c</w:t>
      </w:r>
      <w:r w:rsidRPr="00067087">
        <w:rPr>
          <w:lang w:val="en-US"/>
        </w:rPr>
        <w:t xml:space="preserve">ountry </w:t>
      </w:r>
      <w:r>
        <w:rPr>
          <w:lang w:val="en-US"/>
        </w:rPr>
        <w:t>t</w:t>
      </w:r>
      <w:r w:rsidRPr="00067087">
        <w:rPr>
          <w:lang w:val="en-US"/>
        </w:rPr>
        <w:t xml:space="preserve">eam established a </w:t>
      </w:r>
      <w:r>
        <w:rPr>
          <w:lang w:val="en-US"/>
        </w:rPr>
        <w:t>core</w:t>
      </w:r>
      <w:r w:rsidRPr="00067087">
        <w:rPr>
          <w:lang w:val="en-US"/>
        </w:rPr>
        <w:t xml:space="preserve"> quarantine group</w:t>
      </w:r>
      <w:r>
        <w:rPr>
          <w:lang w:val="en-US"/>
        </w:rPr>
        <w:t xml:space="preserve"> after</w:t>
      </w:r>
      <w:r w:rsidRPr="00067087">
        <w:rPr>
          <w:lang w:val="en-US"/>
        </w:rPr>
        <w:t xml:space="preserve"> the Ministry of Labour and Vocational Training announce</w:t>
      </w:r>
      <w:r>
        <w:rPr>
          <w:lang w:val="en-US"/>
        </w:rPr>
        <w:t>d</w:t>
      </w:r>
      <w:r w:rsidRPr="00067087">
        <w:rPr>
          <w:lang w:val="en-US"/>
        </w:rPr>
        <w:t xml:space="preserve"> that 30,000 factory workers, mostly women, would be subject to a 14-day Government-imposed quarantine. In February 2021, the group developed a </w:t>
      </w:r>
      <w:r>
        <w:rPr>
          <w:lang w:val="en-US"/>
        </w:rPr>
        <w:t>c</w:t>
      </w:r>
      <w:r w:rsidRPr="00067087">
        <w:rPr>
          <w:lang w:val="en-US"/>
        </w:rPr>
        <w:t xml:space="preserve">ode of </w:t>
      </w:r>
      <w:r>
        <w:rPr>
          <w:lang w:val="en-US"/>
        </w:rPr>
        <w:t>c</w:t>
      </w:r>
      <w:r w:rsidRPr="00067087">
        <w:rPr>
          <w:lang w:val="en-US"/>
        </w:rPr>
        <w:t>onduct for quarantine cent</w:t>
      </w:r>
      <w:r>
        <w:rPr>
          <w:lang w:val="en-US"/>
        </w:rPr>
        <w:t>res</w:t>
      </w:r>
      <w:r w:rsidRPr="00067087">
        <w:rPr>
          <w:lang w:val="en-US"/>
        </w:rPr>
        <w:t xml:space="preserve"> setting out minimum standards for safe spaces for women and children. </w:t>
      </w:r>
      <w:r w:rsidRPr="001B1FF4">
        <w:rPr>
          <w:lang w:val="en-US"/>
        </w:rPr>
        <w:t>The National Committee for Counter Trafficking and the Ministry of Health endorsed the cod</w:t>
      </w:r>
      <w:r w:rsidRPr="00067087">
        <w:rPr>
          <w:lang w:val="en-US"/>
        </w:rPr>
        <w:t>e</w:t>
      </w:r>
      <w:r>
        <w:rPr>
          <w:lang w:val="en-US"/>
        </w:rPr>
        <w:t xml:space="preserve"> of conduct</w:t>
      </w:r>
      <w:r w:rsidRPr="00067087">
        <w:rPr>
          <w:lang w:val="en-US"/>
        </w:rPr>
        <w:t xml:space="preserve"> in February 2021.</w:t>
      </w:r>
    </w:p>
    <w:p w14:paraId="43200728" w14:textId="6BE725F3" w:rsidR="00657C1B" w:rsidRDefault="00657C1B" w:rsidP="00657C1B">
      <w:pPr>
        <w:pStyle w:val="SingleTxtG"/>
        <w:rPr>
          <w:lang w:val="en-US"/>
        </w:rPr>
      </w:pPr>
      <w:r>
        <w:rPr>
          <w:lang w:val="en-US"/>
        </w:rPr>
        <w:t>57.</w:t>
      </w:r>
      <w:r>
        <w:rPr>
          <w:lang w:val="en-US"/>
        </w:rPr>
        <w:tab/>
      </w:r>
      <w:r w:rsidRPr="2735FB0C">
        <w:rPr>
          <w:lang w:val="en-US"/>
        </w:rPr>
        <w:t xml:space="preserve">In December 2020, OHCHR and the </w:t>
      </w:r>
      <w:r>
        <w:rPr>
          <w:lang w:val="en-US"/>
        </w:rPr>
        <w:t>United Nations</w:t>
      </w:r>
      <w:r w:rsidRPr="2735FB0C">
        <w:rPr>
          <w:lang w:val="en-US"/>
        </w:rPr>
        <w:t xml:space="preserve"> </w:t>
      </w:r>
      <w:r>
        <w:rPr>
          <w:lang w:val="en-US"/>
        </w:rPr>
        <w:t>c</w:t>
      </w:r>
      <w:r w:rsidRPr="2735FB0C">
        <w:rPr>
          <w:lang w:val="en-US"/>
        </w:rPr>
        <w:t xml:space="preserve">ountry </w:t>
      </w:r>
      <w:r>
        <w:rPr>
          <w:lang w:val="en-US"/>
        </w:rPr>
        <w:t>t</w:t>
      </w:r>
      <w:r w:rsidRPr="2735FB0C">
        <w:rPr>
          <w:lang w:val="en-US"/>
        </w:rPr>
        <w:t xml:space="preserve">eam participated in a dialogue </w:t>
      </w:r>
      <w:r>
        <w:rPr>
          <w:lang w:val="en-US"/>
        </w:rPr>
        <w:t xml:space="preserve">to </w:t>
      </w:r>
      <w:r w:rsidRPr="2735FB0C">
        <w:rPr>
          <w:lang w:val="en-US"/>
        </w:rPr>
        <w:t xml:space="preserve">mark the </w:t>
      </w:r>
      <w:r>
        <w:rPr>
          <w:lang w:val="en-US"/>
        </w:rPr>
        <w:t xml:space="preserve">seventy-fifth </w:t>
      </w:r>
      <w:r w:rsidRPr="2735FB0C">
        <w:rPr>
          <w:lang w:val="en-US"/>
        </w:rPr>
        <w:t xml:space="preserve">anniversary of the United Nations, which included a session on the rights of </w:t>
      </w:r>
      <w:r>
        <w:rPr>
          <w:lang w:val="en-US"/>
        </w:rPr>
        <w:t>lesbian, gay, bisexual, transgender and intersex</w:t>
      </w:r>
      <w:r w:rsidRPr="2735FB0C">
        <w:rPr>
          <w:lang w:val="en-US"/>
        </w:rPr>
        <w:t xml:space="preserve"> </w:t>
      </w:r>
      <w:r>
        <w:rPr>
          <w:lang w:val="en-US"/>
        </w:rPr>
        <w:t>persons</w:t>
      </w:r>
      <w:r w:rsidRPr="2735FB0C">
        <w:rPr>
          <w:lang w:val="en-US"/>
        </w:rPr>
        <w:t xml:space="preserve">. </w:t>
      </w:r>
      <w:r>
        <w:rPr>
          <w:lang w:val="en-US"/>
        </w:rPr>
        <w:t>R</w:t>
      </w:r>
      <w:r w:rsidRPr="2735FB0C">
        <w:rPr>
          <w:lang w:val="en-US"/>
        </w:rPr>
        <w:t xml:space="preserve">epresentatives </w:t>
      </w:r>
      <w:r>
        <w:rPr>
          <w:lang w:val="en-US"/>
        </w:rPr>
        <w:t xml:space="preserve">of lesbian, gay, bisexual, transgender and intersex persons </w:t>
      </w:r>
      <w:r w:rsidRPr="2735FB0C">
        <w:rPr>
          <w:lang w:val="en-US"/>
        </w:rPr>
        <w:t xml:space="preserve">referred to the 2019 recommendations </w:t>
      </w:r>
      <w:r>
        <w:rPr>
          <w:lang w:val="en-US"/>
        </w:rPr>
        <w:t>addressed to</w:t>
      </w:r>
      <w:r w:rsidRPr="2735FB0C">
        <w:rPr>
          <w:lang w:val="en-US"/>
        </w:rPr>
        <w:t xml:space="preserve"> Cambodia</w:t>
      </w:r>
      <w:r>
        <w:rPr>
          <w:lang w:val="en-US"/>
        </w:rPr>
        <w:t xml:space="preserve"> in the context of the universal periodic review</w:t>
      </w:r>
      <w:r w:rsidRPr="2735FB0C">
        <w:rPr>
          <w:lang w:val="en-US"/>
        </w:rPr>
        <w:t xml:space="preserve">, including those calling </w:t>
      </w:r>
      <w:r>
        <w:rPr>
          <w:lang w:val="en-US"/>
        </w:rPr>
        <w:t>up</w:t>
      </w:r>
      <w:r w:rsidRPr="2735FB0C">
        <w:rPr>
          <w:lang w:val="en-US"/>
        </w:rPr>
        <w:t>on Cambodia to allow same</w:t>
      </w:r>
      <w:r>
        <w:rPr>
          <w:lang w:val="en-US"/>
        </w:rPr>
        <w:t>-</w:t>
      </w:r>
      <w:r w:rsidRPr="2735FB0C">
        <w:rPr>
          <w:lang w:val="en-US"/>
        </w:rPr>
        <w:t>sex marriage</w:t>
      </w:r>
      <w:r>
        <w:rPr>
          <w:lang w:val="en-US"/>
        </w:rPr>
        <w:t>s</w:t>
      </w:r>
      <w:r w:rsidRPr="2735FB0C">
        <w:rPr>
          <w:lang w:val="en-US"/>
        </w:rPr>
        <w:t xml:space="preserve"> and to prohibit discrimination based on sexual orientation and gender identity. The Government accepted those recommendations but no action has been taken.</w:t>
      </w:r>
      <w:r w:rsidR="00AA191B">
        <w:rPr>
          <w:lang w:val="en-US"/>
        </w:rPr>
        <w:t xml:space="preserve"> </w:t>
      </w:r>
      <w:r w:rsidRPr="2735FB0C">
        <w:rPr>
          <w:lang w:val="en-US"/>
        </w:rPr>
        <w:t xml:space="preserve">There </w:t>
      </w:r>
      <w:r>
        <w:rPr>
          <w:lang w:val="en-US"/>
        </w:rPr>
        <w:t>continues to be insufficient</w:t>
      </w:r>
      <w:r w:rsidRPr="2735FB0C">
        <w:rPr>
          <w:lang w:val="en-US"/>
        </w:rPr>
        <w:t xml:space="preserve"> legal protection from discrimination and violence against </w:t>
      </w:r>
      <w:r>
        <w:rPr>
          <w:lang w:val="en-US"/>
        </w:rPr>
        <w:t>lesbian, gay, bisexual, transgender and intersex persons</w:t>
      </w:r>
      <w:r w:rsidRPr="2735FB0C">
        <w:rPr>
          <w:lang w:val="en-US"/>
        </w:rPr>
        <w:t xml:space="preserve">, </w:t>
      </w:r>
      <w:r w:rsidRPr="001B1FF4">
        <w:rPr>
          <w:lang w:val="en-US"/>
        </w:rPr>
        <w:t>no legal recognition of self-defined gender identity and marriage equality within the law, as well as discrimination in the context of adoption.</w:t>
      </w:r>
      <w:r w:rsidRPr="2735FB0C">
        <w:rPr>
          <w:lang w:val="en-US"/>
        </w:rPr>
        <w:t xml:space="preserve"> </w:t>
      </w:r>
    </w:p>
    <w:p w14:paraId="3EBF7428" w14:textId="77777777" w:rsidR="00657C1B" w:rsidRDefault="00657C1B" w:rsidP="00657C1B">
      <w:pPr>
        <w:pStyle w:val="HChG"/>
      </w:pPr>
      <w:r>
        <w:tab/>
        <w:t>VII.</w:t>
      </w:r>
      <w:r>
        <w:tab/>
      </w:r>
      <w:r w:rsidRPr="00B97DBA">
        <w:t xml:space="preserve">Mainstreaming human rights </w:t>
      </w:r>
      <w:r>
        <w:t xml:space="preserve">through </w:t>
      </w:r>
      <w:r w:rsidRPr="00825DDA">
        <w:t xml:space="preserve">the United Nations </w:t>
      </w:r>
      <w:r>
        <w:t>country team</w:t>
      </w:r>
    </w:p>
    <w:p w14:paraId="51D7E837" w14:textId="77777777" w:rsidR="00657C1B" w:rsidRPr="009D2163" w:rsidRDefault="00657C1B" w:rsidP="00657C1B">
      <w:pPr>
        <w:pStyle w:val="SingleTxtG"/>
      </w:pPr>
      <w:r>
        <w:t>58.</w:t>
      </w:r>
      <w:r>
        <w:tab/>
      </w:r>
      <w:r w:rsidRPr="009D2163">
        <w:t xml:space="preserve">OHCHR continued to engage with the </w:t>
      </w:r>
      <w:r>
        <w:t>United Nations</w:t>
      </w:r>
      <w:r w:rsidRPr="009D2163">
        <w:t xml:space="preserve"> </w:t>
      </w:r>
      <w:r>
        <w:t>c</w:t>
      </w:r>
      <w:r w:rsidRPr="009D2163">
        <w:t xml:space="preserve">ountry </w:t>
      </w:r>
      <w:r>
        <w:t>t</w:t>
      </w:r>
      <w:r w:rsidRPr="009D2163">
        <w:t xml:space="preserve">eam as a convener of the </w:t>
      </w:r>
      <w:r>
        <w:t>h</w:t>
      </w:r>
      <w:r w:rsidRPr="009D2163">
        <w:t xml:space="preserve">uman </w:t>
      </w:r>
      <w:r>
        <w:t>r</w:t>
      </w:r>
      <w:r w:rsidRPr="009D2163">
        <w:t xml:space="preserve">ights </w:t>
      </w:r>
      <w:r>
        <w:t>t</w:t>
      </w:r>
      <w:r w:rsidRPr="009D2163">
        <w:t xml:space="preserve">heme </w:t>
      </w:r>
      <w:r>
        <w:t>g</w:t>
      </w:r>
      <w:r w:rsidRPr="009D2163">
        <w:t xml:space="preserve">roup and the </w:t>
      </w:r>
      <w:r>
        <w:t>United Nations</w:t>
      </w:r>
      <w:r w:rsidRPr="009D2163">
        <w:t xml:space="preserve"> Development Assistance Framework results group on participation and accountability. </w:t>
      </w:r>
    </w:p>
    <w:p w14:paraId="62F45CF8" w14:textId="77777777" w:rsidR="00657C1B" w:rsidRPr="009D2163" w:rsidRDefault="00657C1B" w:rsidP="00657C1B">
      <w:pPr>
        <w:pStyle w:val="SingleTxtG"/>
      </w:pPr>
      <w:r>
        <w:t>59.</w:t>
      </w:r>
      <w:r>
        <w:tab/>
      </w:r>
      <w:r w:rsidRPr="009D2163">
        <w:t xml:space="preserve">OHCHR coordinated submissions by the </w:t>
      </w:r>
      <w:r>
        <w:t>United Nations</w:t>
      </w:r>
      <w:r w:rsidRPr="009D2163">
        <w:t xml:space="preserve"> </w:t>
      </w:r>
      <w:r>
        <w:t>c</w:t>
      </w:r>
      <w:r w:rsidRPr="009D2163">
        <w:t xml:space="preserve">ountry </w:t>
      </w:r>
      <w:r>
        <w:t>t</w:t>
      </w:r>
      <w:r w:rsidRPr="009D2163">
        <w:t xml:space="preserve">eam to </w:t>
      </w:r>
      <w:r>
        <w:t xml:space="preserve">the </w:t>
      </w:r>
      <w:r w:rsidRPr="009D2163">
        <w:t xml:space="preserve">human right treaty bodies. In June and December 2020, the </w:t>
      </w:r>
      <w:r>
        <w:t>c</w:t>
      </w:r>
      <w:r w:rsidRPr="009D2163">
        <w:t xml:space="preserve">ountry </w:t>
      </w:r>
      <w:r>
        <w:t>t</w:t>
      </w:r>
      <w:r w:rsidRPr="009D2163">
        <w:t>eam made two submissions</w:t>
      </w:r>
      <w:r>
        <w:t>,</w:t>
      </w:r>
      <w:r w:rsidRPr="009D2163">
        <w:t xml:space="preserve"> to the Human Rights Committee and the Committee on Economic, Social and Cultural Rights. </w:t>
      </w:r>
    </w:p>
    <w:p w14:paraId="539F91E0" w14:textId="77777777" w:rsidR="00657C1B" w:rsidRPr="009D2163" w:rsidRDefault="00657C1B" w:rsidP="00657C1B">
      <w:pPr>
        <w:pStyle w:val="SingleTxtG"/>
      </w:pPr>
      <w:r>
        <w:t>60.</w:t>
      </w:r>
      <w:r>
        <w:tab/>
      </w:r>
      <w:r w:rsidRPr="009D2163">
        <w:t>In October 2020, OHCHR coordinated a prison visit with</w:t>
      </w:r>
      <w:r>
        <w:t xml:space="preserve"> the United Nations country team</w:t>
      </w:r>
      <w:r w:rsidRPr="009D2163">
        <w:t xml:space="preserve"> to assess the situation of three prisons </w:t>
      </w:r>
      <w:r>
        <w:t>that</w:t>
      </w:r>
      <w:r w:rsidRPr="009D2163">
        <w:t xml:space="preserve"> had flooded </w:t>
      </w:r>
      <w:r>
        <w:t>as a result of</w:t>
      </w:r>
      <w:r w:rsidRPr="009D2163">
        <w:t xml:space="preserve"> heavy rain</w:t>
      </w:r>
      <w:r>
        <w:t>fall</w:t>
      </w:r>
      <w:r w:rsidRPr="009D2163">
        <w:t xml:space="preserve">. In November 2020, OHCHR engaged with the World Health Organization to </w:t>
      </w:r>
      <w:r>
        <w:t xml:space="preserve">make </w:t>
      </w:r>
      <w:r w:rsidRPr="009D2163">
        <w:t>sure that detainees and prisoners ha</w:t>
      </w:r>
      <w:r>
        <w:t>d</w:t>
      </w:r>
      <w:r w:rsidRPr="009D2163">
        <w:t xml:space="preserve"> access to COVID-19 testing.</w:t>
      </w:r>
    </w:p>
    <w:p w14:paraId="2BAC1AEA" w14:textId="77777777" w:rsidR="00657C1B" w:rsidRPr="009D2163" w:rsidRDefault="00657C1B" w:rsidP="00657C1B">
      <w:pPr>
        <w:pStyle w:val="SingleTxtG"/>
      </w:pPr>
      <w:r>
        <w:t>61.</w:t>
      </w:r>
      <w:r>
        <w:tab/>
        <w:t xml:space="preserve">In the context of </w:t>
      </w:r>
      <w:r w:rsidRPr="009D2163">
        <w:t xml:space="preserve">its </w:t>
      </w:r>
      <w:r>
        <w:t>s</w:t>
      </w:r>
      <w:r w:rsidRPr="009D2163">
        <w:t xml:space="preserve">urge </w:t>
      </w:r>
      <w:r>
        <w:t>i</w:t>
      </w:r>
      <w:r w:rsidRPr="009D2163">
        <w:t>nitiative, OHCHR strengthened the integration of economic and social rights</w:t>
      </w:r>
      <w:r w:rsidRPr="001F46F7">
        <w:t xml:space="preserve"> </w:t>
      </w:r>
      <w:r w:rsidRPr="009D2163">
        <w:t xml:space="preserve">in the work of the </w:t>
      </w:r>
      <w:r>
        <w:t>United Nations</w:t>
      </w:r>
      <w:r w:rsidRPr="009D2163">
        <w:t xml:space="preserve"> </w:t>
      </w:r>
      <w:r>
        <w:t>c</w:t>
      </w:r>
      <w:r w:rsidRPr="009D2163">
        <w:t xml:space="preserve">ountry </w:t>
      </w:r>
      <w:r>
        <w:t>t</w:t>
      </w:r>
      <w:r w:rsidRPr="009D2163">
        <w:t>eam, including through human rights</w:t>
      </w:r>
      <w:r>
        <w:t>-</w:t>
      </w:r>
      <w:r w:rsidRPr="009D2163">
        <w:t>based macroeconomic analyses</w:t>
      </w:r>
      <w:r>
        <w:t>.</w:t>
      </w:r>
    </w:p>
    <w:p w14:paraId="04914300" w14:textId="77777777" w:rsidR="00657C1B" w:rsidRPr="00067087" w:rsidRDefault="00657C1B" w:rsidP="00657C1B">
      <w:pPr>
        <w:pStyle w:val="HChG"/>
      </w:pPr>
      <w:r>
        <w:tab/>
        <w:t>VIII.</w:t>
      </w:r>
      <w:r>
        <w:tab/>
      </w:r>
      <w:r w:rsidRPr="00D218A4">
        <w:t>Increasing implementation of the outcomes of international human rights mechanisms</w:t>
      </w:r>
    </w:p>
    <w:p w14:paraId="53C40F1F" w14:textId="77777777" w:rsidR="00657C1B" w:rsidRPr="00D218A4" w:rsidRDefault="00657C1B" w:rsidP="00657C1B">
      <w:pPr>
        <w:pStyle w:val="SingleTxtG"/>
      </w:pPr>
      <w:r>
        <w:t>62.</w:t>
      </w:r>
      <w:r>
        <w:tab/>
        <w:t>The</w:t>
      </w:r>
      <w:r w:rsidRPr="00D218A4">
        <w:t xml:space="preserve"> reports</w:t>
      </w:r>
      <w:r>
        <w:t xml:space="preserve"> submitted by Cambodia</w:t>
      </w:r>
      <w:r w:rsidRPr="00D218A4">
        <w:t xml:space="preserve"> to the Committee on the Rights of Persons with Disabilities and </w:t>
      </w:r>
      <w:r>
        <w:t xml:space="preserve">the Committee </w:t>
      </w:r>
      <w:r w:rsidRPr="00D218A4">
        <w:t xml:space="preserve">on Enforced Disappearances </w:t>
      </w:r>
      <w:r>
        <w:t>have been</w:t>
      </w:r>
      <w:r w:rsidRPr="00D218A4">
        <w:t xml:space="preserve"> overdue since 2015</w:t>
      </w:r>
      <w:r>
        <w:t>,</w:t>
      </w:r>
      <w:r w:rsidRPr="00D218A4">
        <w:t xml:space="preserve"> and the 201</w:t>
      </w:r>
      <w:r>
        <w:t>3</w:t>
      </w:r>
      <w:r w:rsidRPr="00D218A4">
        <w:t xml:space="preserve"> list of issues of the Committee </w:t>
      </w:r>
      <w:r>
        <w:t>a</w:t>
      </w:r>
      <w:r w:rsidRPr="00D218A4">
        <w:t>gainst Torture has received no response</w:t>
      </w:r>
      <w:r>
        <w:t xml:space="preserve"> from the Government</w:t>
      </w:r>
      <w:r w:rsidRPr="00D218A4">
        <w:t>. The review</w:t>
      </w:r>
      <w:r>
        <w:t xml:space="preserve"> of Cambodia</w:t>
      </w:r>
      <w:r w:rsidRPr="00D218A4">
        <w:t xml:space="preserve"> by the Committee on the Rights of the Child was postponed to 2022 at the request of the Government. The designation of the National Committee </w:t>
      </w:r>
      <w:r>
        <w:t>a</w:t>
      </w:r>
      <w:r w:rsidRPr="00D218A4">
        <w:t xml:space="preserve">gainst Torture as the </w:t>
      </w:r>
      <w:r>
        <w:t>n</w:t>
      </w:r>
      <w:r w:rsidRPr="00D218A4">
        <w:t xml:space="preserve">ational </w:t>
      </w:r>
      <w:r>
        <w:t>p</w:t>
      </w:r>
      <w:r w:rsidRPr="00D218A4">
        <w:t xml:space="preserve">reventive </w:t>
      </w:r>
      <w:r>
        <w:t>m</w:t>
      </w:r>
      <w:r w:rsidRPr="00D218A4">
        <w:t xml:space="preserve">echanism continues to be </w:t>
      </w:r>
      <w:r>
        <w:t xml:space="preserve">of concern, as there are doubts as to the functional independence of the mechanism in terms of its legal </w:t>
      </w:r>
      <w:r>
        <w:lastRenderedPageBreak/>
        <w:t>framework, the selection of its members, its role and duties, and its funding</w:t>
      </w:r>
      <w:r w:rsidRPr="00D218A4">
        <w:t>.</w:t>
      </w:r>
      <w:r w:rsidRPr="00E376F9">
        <w:rPr>
          <w:rStyle w:val="FootnoteReference"/>
        </w:rPr>
        <w:footnoteReference w:id="65"/>
      </w:r>
      <w:r w:rsidRPr="00D218A4">
        <w:t xml:space="preserve"> OHCHR has </w:t>
      </w:r>
      <w:r>
        <w:t>responded positively to the request from</w:t>
      </w:r>
      <w:r w:rsidRPr="00D218A4">
        <w:t xml:space="preserve"> the Cambodia Human Rights Committee for training on the </w:t>
      </w:r>
      <w:r>
        <w:t>n</w:t>
      </w:r>
      <w:r w:rsidRPr="00D218A4">
        <w:t xml:space="preserve">ational </w:t>
      </w:r>
      <w:r>
        <w:t>h</w:t>
      </w:r>
      <w:r w:rsidRPr="00D218A4">
        <w:t xml:space="preserve">uman </w:t>
      </w:r>
      <w:r>
        <w:t>r</w:t>
      </w:r>
      <w:r w:rsidRPr="00D218A4">
        <w:t xml:space="preserve">ights </w:t>
      </w:r>
      <w:r>
        <w:t>t</w:t>
      </w:r>
      <w:r w:rsidRPr="00D218A4">
        <w:t xml:space="preserve">racking </w:t>
      </w:r>
      <w:r>
        <w:t>d</w:t>
      </w:r>
      <w:r w:rsidRPr="00D218A4">
        <w:t>atabase</w:t>
      </w:r>
      <w:r>
        <w:t>.</w:t>
      </w:r>
      <w:r w:rsidRPr="00D218A4">
        <w:t xml:space="preserve"> </w:t>
      </w:r>
    </w:p>
    <w:p w14:paraId="2384F3FA" w14:textId="77777777" w:rsidR="00657C1B" w:rsidRPr="00D218A4" w:rsidRDefault="00657C1B" w:rsidP="00657C1B">
      <w:pPr>
        <w:pStyle w:val="SingleTxtG"/>
      </w:pPr>
      <w:r>
        <w:t>63.</w:t>
      </w:r>
      <w:r>
        <w:tab/>
        <w:t xml:space="preserve">While Cambodia engaged positively in the third cycle of the universal periodic review, in 2019, no implementation plan has been developed since the review. In its comments on the present report, the Government stated that the Cambodian Human Rights Committee was seeking input from government ministries on the implementation of the recommendations arising from the universal periodic review. </w:t>
      </w:r>
    </w:p>
    <w:p w14:paraId="3E907DE2" w14:textId="77777777" w:rsidR="00657C1B" w:rsidRPr="00D218A4" w:rsidRDefault="00657C1B" w:rsidP="00657C1B">
      <w:pPr>
        <w:pStyle w:val="SingleTxtG"/>
      </w:pPr>
      <w:r>
        <w:t>64.</w:t>
      </w:r>
      <w:r>
        <w:tab/>
      </w:r>
      <w:r w:rsidRPr="00D218A4">
        <w:t>The Cambodia Human Rights Committee, with assistance from OHCHR and other stakeholders</w:t>
      </w:r>
      <w:r>
        <w:t>,</w:t>
      </w:r>
      <w:r w:rsidRPr="00D218A4">
        <w:t xml:space="preserve"> </w:t>
      </w:r>
      <w:r>
        <w:t>ha</w:t>
      </w:r>
      <w:r w:rsidRPr="00D218A4">
        <w:t xml:space="preserve">s </w:t>
      </w:r>
      <w:r>
        <w:t>recently</w:t>
      </w:r>
      <w:r w:rsidRPr="00D218A4">
        <w:t xml:space="preserve"> finali</w:t>
      </w:r>
      <w:r>
        <w:t>zed</w:t>
      </w:r>
      <w:r w:rsidRPr="00D218A4">
        <w:t xml:space="preserve"> a zero draft of the law on the establishment of the </w:t>
      </w:r>
      <w:r>
        <w:t>n</w:t>
      </w:r>
      <w:r w:rsidRPr="00D218A4">
        <w:t xml:space="preserve">ational </w:t>
      </w:r>
      <w:r>
        <w:t>h</w:t>
      </w:r>
      <w:r w:rsidRPr="00D218A4">
        <w:t xml:space="preserve">uman </w:t>
      </w:r>
      <w:r>
        <w:t>r</w:t>
      </w:r>
      <w:r w:rsidRPr="00D218A4">
        <w:t xml:space="preserve">ights </w:t>
      </w:r>
      <w:r>
        <w:t>i</w:t>
      </w:r>
      <w:r w:rsidRPr="00D218A4">
        <w:t xml:space="preserve">nstitution. The process has been </w:t>
      </w:r>
      <w:r>
        <w:t>delayed</w:t>
      </w:r>
      <w:r w:rsidRPr="00D218A4">
        <w:t xml:space="preserve"> since 2001, </w:t>
      </w:r>
      <w:r>
        <w:t>when a working group</w:t>
      </w:r>
      <w:r w:rsidRPr="00D218A4">
        <w:t xml:space="preserve"> consist</w:t>
      </w:r>
      <w:r>
        <w:t>ing</w:t>
      </w:r>
      <w:r w:rsidRPr="00D218A4">
        <w:t xml:space="preserve"> of members of the Senate and </w:t>
      </w:r>
      <w:r>
        <w:t xml:space="preserve">the </w:t>
      </w:r>
      <w:r w:rsidRPr="00D218A4">
        <w:t>National Assembly</w:t>
      </w:r>
      <w:r>
        <w:t>, among others, organized a workshop on prospects for the establishment of an independent national human rights institution in Cambodia</w:t>
      </w:r>
      <w:r w:rsidRPr="00D218A4">
        <w:t>.</w:t>
      </w:r>
      <w:r w:rsidRPr="00E376F9">
        <w:rPr>
          <w:rStyle w:val="FootnoteReference"/>
        </w:rPr>
        <w:footnoteReference w:id="66"/>
      </w:r>
      <w:r w:rsidRPr="00D218A4">
        <w:t xml:space="preserve"> The Government accepted recommendations</w:t>
      </w:r>
      <w:r>
        <w:t xml:space="preserve"> made in </w:t>
      </w:r>
      <w:r w:rsidRPr="00D218A4">
        <w:t>2010, 2014 and 2019</w:t>
      </w:r>
      <w:r>
        <w:t>, in the context of the universal periodic review,</w:t>
      </w:r>
      <w:r w:rsidRPr="00D218A4">
        <w:t xml:space="preserve"> to set up a </w:t>
      </w:r>
      <w:r>
        <w:t>national human rights institution</w:t>
      </w:r>
      <w:r w:rsidRPr="00D218A4">
        <w:t>.</w:t>
      </w:r>
      <w:r>
        <w:t xml:space="preserve"> </w:t>
      </w:r>
    </w:p>
    <w:p w14:paraId="483A2C8E" w14:textId="45B94708" w:rsidR="00657C1B" w:rsidRPr="00D218A4" w:rsidRDefault="00657C1B" w:rsidP="00657C1B">
      <w:pPr>
        <w:pStyle w:val="HChG"/>
      </w:pPr>
      <w:r>
        <w:tab/>
        <w:t>IX.</w:t>
      </w:r>
      <w:r>
        <w:tab/>
      </w:r>
      <w:r w:rsidRPr="00D218A4">
        <w:t>Conclusions and recommendations</w:t>
      </w:r>
    </w:p>
    <w:p w14:paraId="7ACC1B2D" w14:textId="77777777" w:rsidR="00657C1B" w:rsidRPr="00D218A4" w:rsidRDefault="00657C1B" w:rsidP="00657C1B">
      <w:pPr>
        <w:pStyle w:val="SingleTxtG"/>
        <w:rPr>
          <w:b/>
          <w:bCs/>
        </w:rPr>
      </w:pPr>
      <w:bookmarkStart w:id="2" w:name="_Hlk72395586"/>
      <w:r w:rsidRPr="0016788C">
        <w:t>65.</w:t>
      </w:r>
      <w:r>
        <w:tab/>
      </w:r>
      <w:r w:rsidRPr="2735FB0C">
        <w:rPr>
          <w:b/>
          <w:bCs/>
        </w:rPr>
        <w:t>T</w:t>
      </w:r>
      <w:bookmarkEnd w:id="2"/>
      <w:r w:rsidRPr="2735FB0C">
        <w:rPr>
          <w:b/>
          <w:bCs/>
        </w:rPr>
        <w:t xml:space="preserve">he Secretary-General acknowledges the positive engagement of the Government with OHCHR and stresses the </w:t>
      </w:r>
      <w:r>
        <w:rPr>
          <w:b/>
          <w:bCs/>
        </w:rPr>
        <w:t>need to adopt</w:t>
      </w:r>
      <w:r w:rsidRPr="2735FB0C">
        <w:rPr>
          <w:b/>
          <w:bCs/>
        </w:rPr>
        <w:t xml:space="preserve"> a human rights</w:t>
      </w:r>
      <w:r>
        <w:rPr>
          <w:b/>
          <w:bCs/>
        </w:rPr>
        <w:t>-</w:t>
      </w:r>
      <w:r w:rsidRPr="2735FB0C">
        <w:rPr>
          <w:b/>
          <w:bCs/>
        </w:rPr>
        <w:t xml:space="preserve">based approach </w:t>
      </w:r>
      <w:r>
        <w:rPr>
          <w:b/>
          <w:bCs/>
        </w:rPr>
        <w:t>to</w:t>
      </w:r>
      <w:r w:rsidRPr="2735FB0C">
        <w:rPr>
          <w:b/>
          <w:bCs/>
        </w:rPr>
        <w:t xml:space="preserve"> strengthening economic development and maintaining peace and social cohesion. During the COVID-19 crisis, respect for human rights is critical to ensure response and recovery </w:t>
      </w:r>
      <w:r>
        <w:rPr>
          <w:b/>
          <w:bCs/>
        </w:rPr>
        <w:t xml:space="preserve">efforts </w:t>
      </w:r>
      <w:r w:rsidRPr="2735FB0C">
        <w:rPr>
          <w:b/>
          <w:bCs/>
        </w:rPr>
        <w:t xml:space="preserve">that </w:t>
      </w:r>
      <w:r>
        <w:rPr>
          <w:b/>
          <w:bCs/>
        </w:rPr>
        <w:t>are</w:t>
      </w:r>
      <w:r w:rsidRPr="2735FB0C">
        <w:rPr>
          <w:b/>
          <w:bCs/>
        </w:rPr>
        <w:t xml:space="preserve"> compliant with international </w:t>
      </w:r>
      <w:r>
        <w:rPr>
          <w:b/>
          <w:bCs/>
        </w:rPr>
        <w:t>standards</w:t>
      </w:r>
      <w:r w:rsidRPr="2735FB0C">
        <w:rPr>
          <w:b/>
          <w:bCs/>
        </w:rPr>
        <w:t xml:space="preserve">. The Secretary-General highlights the crucial role of OHCHR in assisting Cambodians in realizing their human rights, including in the context of COVID-19. </w:t>
      </w:r>
    </w:p>
    <w:p w14:paraId="033B7427" w14:textId="77777777" w:rsidR="00657C1B" w:rsidRPr="00D218A4" w:rsidRDefault="00657C1B" w:rsidP="00657C1B">
      <w:pPr>
        <w:pStyle w:val="SingleTxtG"/>
        <w:rPr>
          <w:b/>
        </w:rPr>
      </w:pPr>
      <w:r w:rsidRPr="0016788C">
        <w:rPr>
          <w:bCs/>
        </w:rPr>
        <w:t>66.</w:t>
      </w:r>
      <w:r>
        <w:rPr>
          <w:b/>
        </w:rPr>
        <w:tab/>
      </w:r>
      <w:r w:rsidRPr="00D218A4">
        <w:rPr>
          <w:b/>
        </w:rPr>
        <w:t xml:space="preserve">The Secretary-General calls upon the Government: </w:t>
      </w:r>
    </w:p>
    <w:p w14:paraId="1AE3B7BD" w14:textId="06706AB4" w:rsidR="00657C1B" w:rsidRPr="0016788C" w:rsidRDefault="0016788C" w:rsidP="0016788C">
      <w:pPr>
        <w:pStyle w:val="SingleTxtG"/>
        <w:rPr>
          <w:b/>
          <w:bCs/>
        </w:rPr>
      </w:pPr>
      <w:r>
        <w:tab/>
      </w:r>
      <w:r w:rsidR="00657C1B" w:rsidRPr="0016788C">
        <w:t>(a)</w:t>
      </w:r>
      <w:r w:rsidR="00657C1B" w:rsidRPr="0016788C">
        <w:tab/>
      </w:r>
      <w:r w:rsidR="00657C1B" w:rsidRPr="0016788C">
        <w:rPr>
          <w:b/>
          <w:bCs/>
        </w:rPr>
        <w:t xml:space="preserve">To initiate a dialogue with all political actors to ensure that all can take part in the 2022 communal and 2023 national elections; </w:t>
      </w:r>
    </w:p>
    <w:p w14:paraId="2D0C90A6" w14:textId="21BA2966" w:rsidR="00657C1B" w:rsidRPr="0016788C" w:rsidRDefault="0016788C" w:rsidP="0016788C">
      <w:pPr>
        <w:pStyle w:val="SingleTxtG"/>
        <w:rPr>
          <w:b/>
          <w:bCs/>
        </w:rPr>
      </w:pPr>
      <w:r>
        <w:tab/>
      </w:r>
      <w:r w:rsidR="00657C1B" w:rsidRPr="0016788C">
        <w:t>(b)</w:t>
      </w:r>
      <w:r w:rsidR="00657C1B" w:rsidRPr="0016788C">
        <w:tab/>
      </w:r>
      <w:r w:rsidR="00657C1B" w:rsidRPr="0016788C">
        <w:rPr>
          <w:b/>
          <w:bCs/>
        </w:rPr>
        <w:t xml:space="preserve">To engage at the highest level in discussions with OHCHR on all human rights issues raised in the present report; </w:t>
      </w:r>
    </w:p>
    <w:p w14:paraId="5616099E" w14:textId="7DD2F5C2" w:rsidR="00657C1B" w:rsidRPr="0016788C" w:rsidRDefault="0016788C" w:rsidP="0016788C">
      <w:pPr>
        <w:pStyle w:val="SingleTxtG"/>
        <w:rPr>
          <w:b/>
          <w:bCs/>
        </w:rPr>
      </w:pPr>
      <w:r>
        <w:tab/>
      </w:r>
      <w:r w:rsidR="00657C1B" w:rsidRPr="0016788C">
        <w:t>(c)</w:t>
      </w:r>
      <w:r w:rsidR="00657C1B" w:rsidRPr="0016788C">
        <w:tab/>
      </w:r>
      <w:r w:rsidR="00657C1B" w:rsidRPr="0016788C">
        <w:rPr>
          <w:b/>
          <w:bCs/>
        </w:rPr>
        <w:t>To ensure that the COVID-19 law, and any other extraordinary measures introduced to protect the health and well-being of the population during the COVID-19 pandemic, are temporary, proportionate and strictly necessary for the prevention of the spread and the treatment of the disease, applied in a non-discriminatory manner and aligned with the international human rights obligations of Cambodia;</w:t>
      </w:r>
    </w:p>
    <w:p w14:paraId="267BE005" w14:textId="2834383B" w:rsidR="00657C1B" w:rsidRPr="0016788C" w:rsidRDefault="0016788C" w:rsidP="0016788C">
      <w:pPr>
        <w:pStyle w:val="SingleTxtG"/>
        <w:rPr>
          <w:b/>
          <w:bCs/>
        </w:rPr>
      </w:pPr>
      <w:r>
        <w:tab/>
      </w:r>
      <w:r w:rsidR="00657C1B" w:rsidRPr="0016788C">
        <w:t>(d)</w:t>
      </w:r>
      <w:r w:rsidR="00657C1B" w:rsidRPr="0016788C">
        <w:tab/>
      </w:r>
      <w:r w:rsidR="00657C1B" w:rsidRPr="0016788C">
        <w:rPr>
          <w:b/>
          <w:bCs/>
        </w:rPr>
        <w:t xml:space="preserve">To review legislation and policies to ensure that any restrictions on rights, including in the context of COVID-19, comply with international human rights norms and standards; </w:t>
      </w:r>
    </w:p>
    <w:p w14:paraId="794DEFB0" w14:textId="1D20A326" w:rsidR="00657C1B" w:rsidRPr="0016788C" w:rsidRDefault="0016788C" w:rsidP="0016788C">
      <w:pPr>
        <w:pStyle w:val="SingleTxtG"/>
        <w:rPr>
          <w:b/>
          <w:bCs/>
        </w:rPr>
      </w:pPr>
      <w:r>
        <w:tab/>
      </w:r>
      <w:r w:rsidR="00657C1B" w:rsidRPr="0016788C">
        <w:t>(e)</w:t>
      </w:r>
      <w:r w:rsidR="00657C1B" w:rsidRPr="0016788C">
        <w:tab/>
      </w:r>
      <w:r w:rsidR="00657C1B" w:rsidRPr="0016788C">
        <w:rPr>
          <w:b/>
          <w:bCs/>
        </w:rPr>
        <w:t xml:space="preserve">To engage with the United Nations country team and other development partners to meet the medical, humanitarian and socioeconomic needs of the population, including in the context of COVID-19 and in the longer term; </w:t>
      </w:r>
    </w:p>
    <w:p w14:paraId="3DF124E7" w14:textId="081FB190" w:rsidR="00657C1B" w:rsidRPr="0016788C" w:rsidRDefault="0016788C" w:rsidP="0016788C">
      <w:pPr>
        <w:pStyle w:val="SingleTxtG"/>
        <w:rPr>
          <w:b/>
          <w:bCs/>
        </w:rPr>
      </w:pPr>
      <w:r>
        <w:tab/>
      </w:r>
      <w:r w:rsidR="00657C1B" w:rsidRPr="0016788C">
        <w:t>(f)</w:t>
      </w:r>
      <w:r w:rsidR="00657C1B" w:rsidRPr="0016788C">
        <w:tab/>
      </w:r>
      <w:r w:rsidR="00657C1B" w:rsidRPr="0016788C">
        <w:rPr>
          <w:b/>
          <w:bCs/>
        </w:rPr>
        <w:t>To expand the national poverty identification system to address overarching issues of poverty and inequality, increase investment in health, social protection and the public sector, mobilizing the maximum available resources, and seek international cooperation if necessary;</w:t>
      </w:r>
    </w:p>
    <w:p w14:paraId="67219665" w14:textId="42EBA31A" w:rsidR="00657C1B" w:rsidRPr="0016788C" w:rsidRDefault="0016788C" w:rsidP="0016788C">
      <w:pPr>
        <w:pStyle w:val="SingleTxtG"/>
        <w:rPr>
          <w:b/>
          <w:bCs/>
        </w:rPr>
      </w:pPr>
      <w:r>
        <w:tab/>
      </w:r>
      <w:r w:rsidR="00657C1B" w:rsidRPr="0016788C">
        <w:t>(g)</w:t>
      </w:r>
      <w:r w:rsidR="00657C1B" w:rsidRPr="0016788C">
        <w:tab/>
      </w:r>
      <w:r w:rsidR="00657C1B" w:rsidRPr="0016788C">
        <w:rPr>
          <w:b/>
          <w:bCs/>
        </w:rPr>
        <w:t>To strengthen civic and democratic space, end harassment of political actors and human rights defenders and ensure that the draft law on associations and NGOs is in line with international human rights law;</w:t>
      </w:r>
    </w:p>
    <w:p w14:paraId="0E9390CA" w14:textId="64DCE25A" w:rsidR="00657C1B" w:rsidRPr="0016788C" w:rsidRDefault="0016788C" w:rsidP="0016788C">
      <w:pPr>
        <w:pStyle w:val="SingleTxtG"/>
        <w:rPr>
          <w:b/>
          <w:bCs/>
        </w:rPr>
      </w:pPr>
      <w:r>
        <w:lastRenderedPageBreak/>
        <w:tab/>
      </w:r>
      <w:r w:rsidR="00657C1B" w:rsidRPr="0016788C">
        <w:t>(h)</w:t>
      </w:r>
      <w:r w:rsidR="00657C1B" w:rsidRPr="0016788C">
        <w:tab/>
      </w:r>
      <w:r w:rsidR="00657C1B" w:rsidRPr="0016788C">
        <w:rPr>
          <w:b/>
          <w:bCs/>
        </w:rPr>
        <w:t>To ensure thorough and impartial investigations into cases of killings and disappearances that have been highlighted in previous reports, including the case of Kem Lay;</w:t>
      </w:r>
    </w:p>
    <w:p w14:paraId="4E263EAB" w14:textId="4172CA46" w:rsidR="00657C1B" w:rsidRPr="0016788C" w:rsidRDefault="0016788C" w:rsidP="0016788C">
      <w:pPr>
        <w:pStyle w:val="SingleTxtG"/>
        <w:rPr>
          <w:b/>
          <w:bCs/>
        </w:rPr>
      </w:pPr>
      <w:r>
        <w:tab/>
      </w:r>
      <w:r w:rsidR="00657C1B" w:rsidRPr="0016788C">
        <w:t>(i)</w:t>
      </w:r>
      <w:r w:rsidR="00657C1B" w:rsidRPr="0016788C">
        <w:tab/>
      </w:r>
      <w:r w:rsidR="00657C1B" w:rsidRPr="0016788C">
        <w:rPr>
          <w:b/>
          <w:bCs/>
        </w:rPr>
        <w:t>To reduce the size of the prison population by releasing vulnerable women prisoners with disabilities and pre-existing medical conditions, juveniles, non-violent offenders and persons detained for engaging in conduct that is protected by international human rights law;</w:t>
      </w:r>
    </w:p>
    <w:p w14:paraId="2C3F032F" w14:textId="23745225" w:rsidR="00657C1B" w:rsidRPr="0016788C" w:rsidRDefault="0016788C" w:rsidP="0016788C">
      <w:pPr>
        <w:pStyle w:val="SingleTxtG"/>
        <w:rPr>
          <w:b/>
          <w:bCs/>
        </w:rPr>
      </w:pPr>
      <w:r>
        <w:tab/>
      </w:r>
      <w:r w:rsidR="00657C1B" w:rsidRPr="0016788C">
        <w:t>(j)</w:t>
      </w:r>
      <w:r w:rsidR="00657C1B" w:rsidRPr="0016788C">
        <w:tab/>
      </w:r>
      <w:r w:rsidR="00657C1B" w:rsidRPr="0016788C">
        <w:rPr>
          <w:b/>
          <w:bCs/>
        </w:rPr>
        <w:t>To consider implementing the United Nations system</w:t>
      </w:r>
      <w:r w:rsidR="00BC48DA">
        <w:rPr>
          <w:b/>
          <w:bCs/>
        </w:rPr>
        <w:t>’</w:t>
      </w:r>
      <w:r w:rsidR="00657C1B" w:rsidRPr="0016788C">
        <w:rPr>
          <w:b/>
          <w:bCs/>
        </w:rPr>
        <w:t>s common position on international drug control through effective inter-agency collaboration and also consider implementing international guidelines on human rights and drug control, including guidelines aimed at prohibiting arbitrary detention and decriminalizing the possession of drugs for personal use;</w:t>
      </w:r>
    </w:p>
    <w:p w14:paraId="0869EC7B" w14:textId="4250F725" w:rsidR="00657C1B" w:rsidRPr="0016788C" w:rsidRDefault="0016788C" w:rsidP="0016788C">
      <w:pPr>
        <w:pStyle w:val="SingleTxtG"/>
        <w:rPr>
          <w:b/>
          <w:bCs/>
        </w:rPr>
      </w:pPr>
      <w:r>
        <w:tab/>
      </w:r>
      <w:r w:rsidR="00657C1B" w:rsidRPr="0016788C">
        <w:t>(k)</w:t>
      </w:r>
      <w:r w:rsidR="00657C1B" w:rsidRPr="0016788C">
        <w:tab/>
      </w:r>
      <w:r w:rsidR="00657C1B" w:rsidRPr="0016788C">
        <w:rPr>
          <w:b/>
          <w:bCs/>
        </w:rPr>
        <w:t>To guarantee the right to legal assistance, adopt a national policy on legal aid and create a centralized legal aid system;</w:t>
      </w:r>
    </w:p>
    <w:p w14:paraId="62A1EC52" w14:textId="37260D8D" w:rsidR="00657C1B" w:rsidRPr="0016788C" w:rsidRDefault="0016788C" w:rsidP="0016788C">
      <w:pPr>
        <w:pStyle w:val="SingleTxtG"/>
        <w:rPr>
          <w:b/>
          <w:bCs/>
        </w:rPr>
      </w:pPr>
      <w:r>
        <w:tab/>
      </w:r>
      <w:r w:rsidR="00657C1B" w:rsidRPr="0016788C">
        <w:t>(l)</w:t>
      </w:r>
      <w:r w:rsidR="00657C1B" w:rsidRPr="0016788C">
        <w:tab/>
      </w:r>
      <w:r w:rsidR="00657C1B" w:rsidRPr="0016788C">
        <w:rPr>
          <w:b/>
          <w:bCs/>
        </w:rPr>
        <w:t xml:space="preserve">To ensure that OHCHR once again has confidential access to prisons and grant such access to other service providers and human rights monitors; </w:t>
      </w:r>
    </w:p>
    <w:p w14:paraId="78F3E41F" w14:textId="49E29C29" w:rsidR="00657C1B" w:rsidRPr="0016788C" w:rsidRDefault="0016788C" w:rsidP="0016788C">
      <w:pPr>
        <w:pStyle w:val="SingleTxtG"/>
        <w:rPr>
          <w:b/>
          <w:bCs/>
        </w:rPr>
      </w:pPr>
      <w:r>
        <w:tab/>
      </w:r>
      <w:r w:rsidR="00657C1B" w:rsidRPr="0016788C">
        <w:t>(m)</w:t>
      </w:r>
      <w:r w:rsidR="00657C1B" w:rsidRPr="0016788C">
        <w:tab/>
      </w:r>
      <w:r w:rsidR="00657C1B" w:rsidRPr="0016788C">
        <w:rPr>
          <w:b/>
          <w:bCs/>
        </w:rPr>
        <w:t>To bring the draft law on the rights of persons with disabilities in line with the Convention on the Rights of Persons with Disabilities, including with respect to accessibility and equality of opportunity;</w:t>
      </w:r>
    </w:p>
    <w:p w14:paraId="3F836D67" w14:textId="158DA4BE" w:rsidR="00657C1B" w:rsidRPr="0016788C" w:rsidRDefault="0016788C" w:rsidP="0016788C">
      <w:pPr>
        <w:pStyle w:val="SingleTxtG"/>
        <w:rPr>
          <w:b/>
          <w:bCs/>
        </w:rPr>
      </w:pPr>
      <w:r>
        <w:tab/>
      </w:r>
      <w:r w:rsidR="00657C1B" w:rsidRPr="0016788C">
        <w:t>(n)</w:t>
      </w:r>
      <w:r w:rsidR="00657C1B" w:rsidRPr="0016788C">
        <w:tab/>
      </w:r>
      <w:r w:rsidR="00657C1B" w:rsidRPr="0016788C">
        <w:rPr>
          <w:b/>
          <w:bCs/>
        </w:rPr>
        <w:t>To simplify the communal land titling process for indigenous peoples;</w:t>
      </w:r>
    </w:p>
    <w:p w14:paraId="3008D0E0" w14:textId="75F5CA50" w:rsidR="00657C1B" w:rsidRPr="0016788C" w:rsidRDefault="0016788C" w:rsidP="0016788C">
      <w:pPr>
        <w:pStyle w:val="SingleTxtG"/>
        <w:rPr>
          <w:b/>
          <w:bCs/>
        </w:rPr>
      </w:pPr>
      <w:r>
        <w:tab/>
      </w:r>
      <w:r w:rsidR="00657C1B" w:rsidRPr="0016788C">
        <w:t>(o)</w:t>
      </w:r>
      <w:r w:rsidR="00657C1B" w:rsidRPr="0016788C">
        <w:tab/>
      </w:r>
      <w:r w:rsidR="00657C1B" w:rsidRPr="0016788C">
        <w:rPr>
          <w:b/>
          <w:bCs/>
        </w:rPr>
        <w:t>To adopt draft national guidelines on evictions and relocations that are in line with the basic principles and guidelines on development-based evictions and displacement;</w:t>
      </w:r>
    </w:p>
    <w:p w14:paraId="5D41EDA7" w14:textId="715F4F3A" w:rsidR="00657C1B" w:rsidRPr="0016788C" w:rsidRDefault="0016788C" w:rsidP="0016788C">
      <w:pPr>
        <w:pStyle w:val="SingleTxtG"/>
        <w:rPr>
          <w:b/>
          <w:bCs/>
        </w:rPr>
      </w:pPr>
      <w:r>
        <w:tab/>
      </w:r>
      <w:r w:rsidR="00657C1B" w:rsidRPr="0016788C">
        <w:t>(p)</w:t>
      </w:r>
      <w:r w:rsidR="00657C1B" w:rsidRPr="0016788C">
        <w:tab/>
      </w:r>
      <w:r w:rsidR="00657C1B" w:rsidRPr="0016788C">
        <w:rPr>
          <w:b/>
          <w:bCs/>
        </w:rPr>
        <w:t>To establish a national human rights institution that is in line with the principles relating to the status of national institutions for the promotion and protection of human rights (the Paris Principles);</w:t>
      </w:r>
    </w:p>
    <w:p w14:paraId="4546F60F" w14:textId="706F611F" w:rsidR="00657C1B" w:rsidRPr="0016788C" w:rsidRDefault="0016788C" w:rsidP="0016788C">
      <w:pPr>
        <w:pStyle w:val="SingleTxtG"/>
        <w:rPr>
          <w:b/>
          <w:bCs/>
        </w:rPr>
      </w:pPr>
      <w:r>
        <w:tab/>
      </w:r>
      <w:r w:rsidR="00657C1B" w:rsidRPr="0016788C">
        <w:t>(q)</w:t>
      </w:r>
      <w:r w:rsidR="00657C1B" w:rsidRPr="0016788C">
        <w:tab/>
      </w:r>
      <w:r w:rsidR="00657C1B" w:rsidRPr="0016788C">
        <w:rPr>
          <w:b/>
          <w:bCs/>
        </w:rPr>
        <w:t xml:space="preserve">To strengthen engagement with United Nations human rights mechanisms, including by presenting a plan for implementing the recommendations made in the context of the universal periodic review; </w:t>
      </w:r>
    </w:p>
    <w:p w14:paraId="4E5A87D9" w14:textId="7BEDE89B" w:rsidR="00657C1B" w:rsidRPr="0016788C" w:rsidRDefault="0016788C" w:rsidP="0016788C">
      <w:pPr>
        <w:pStyle w:val="SingleTxtG"/>
        <w:rPr>
          <w:b/>
          <w:bCs/>
        </w:rPr>
      </w:pPr>
      <w:r>
        <w:tab/>
      </w:r>
      <w:r w:rsidR="00657C1B" w:rsidRPr="0016788C">
        <w:t>(r)</w:t>
      </w:r>
      <w:r w:rsidR="00657C1B" w:rsidRPr="0016788C">
        <w:tab/>
      </w:r>
      <w:r w:rsidR="00657C1B" w:rsidRPr="0016788C">
        <w:rPr>
          <w:b/>
          <w:bCs/>
        </w:rPr>
        <w:t>To carry out a review of previous recommendations by United Nations mechanisms and treaty bodies and finalize a timeline for the implementation of outstanding recommendations.</w:t>
      </w:r>
    </w:p>
    <w:p w14:paraId="4EC1E703" w14:textId="59F28715" w:rsidR="007268F9" w:rsidRPr="00657C1B" w:rsidRDefault="00657C1B" w:rsidP="00657C1B">
      <w:pPr>
        <w:spacing w:before="240"/>
        <w:jc w:val="center"/>
        <w:rPr>
          <w:lang w:val="en-US"/>
        </w:rPr>
      </w:pPr>
      <w:r w:rsidRPr="00E01611">
        <w:rPr>
          <w:u w:val="single"/>
          <w:lang w:val="en-US"/>
        </w:rPr>
        <w:tab/>
      </w:r>
      <w:r w:rsidRPr="00E01611">
        <w:rPr>
          <w:u w:val="single"/>
          <w:lang w:val="en-US"/>
        </w:rPr>
        <w:tab/>
      </w:r>
      <w:r w:rsidRPr="00E01611">
        <w:rPr>
          <w:u w:val="single"/>
          <w:lang w:val="en-US"/>
        </w:rPr>
        <w:tab/>
      </w:r>
    </w:p>
    <w:sectPr w:rsidR="007268F9" w:rsidRPr="00657C1B"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AC7F5" w14:textId="77777777" w:rsidR="002158A1" w:rsidRPr="00C47B2E" w:rsidRDefault="002158A1" w:rsidP="00C47B2E">
      <w:pPr>
        <w:pStyle w:val="Footer"/>
      </w:pPr>
    </w:p>
  </w:endnote>
  <w:endnote w:type="continuationSeparator" w:id="0">
    <w:p w14:paraId="12CFF962" w14:textId="77777777" w:rsidR="002158A1" w:rsidRPr="00C47B2E" w:rsidRDefault="002158A1" w:rsidP="00C47B2E">
      <w:pPr>
        <w:pStyle w:val="Footer"/>
      </w:pPr>
    </w:p>
  </w:endnote>
  <w:endnote w:type="continuationNotice" w:id="1">
    <w:p w14:paraId="1CC2DE35" w14:textId="77777777" w:rsidR="002158A1" w:rsidRPr="00C47B2E" w:rsidRDefault="002158A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Batang">
    <w:panose1 w:val="02030600000101010101"/>
    <w:charset w:val="81"/>
    <w:family w:val="roman"/>
    <w:pitch w:val="variable"/>
    <w:sig w:usb0="B00002AF" w:usb1="69D77CFB" w:usb2="00000030" w:usb3="00000000" w:csb0="0008009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CF8AB" w14:textId="5312F2E4" w:rsidR="00B52172" w:rsidRDefault="00B52172" w:rsidP="00BC41C8">
    <w:pPr>
      <w:pStyle w:val="Footer"/>
      <w:tabs>
        <w:tab w:val="right" w:pos="9638"/>
      </w:tabs>
    </w:pPr>
    <w:r w:rsidRPr="00B52172">
      <w:rPr>
        <w:b/>
        <w:bCs/>
        <w:sz w:val="18"/>
      </w:rPr>
      <w:fldChar w:fldCharType="begin"/>
    </w:r>
    <w:r w:rsidRPr="00B52172">
      <w:rPr>
        <w:b/>
        <w:bCs/>
        <w:sz w:val="18"/>
      </w:rPr>
      <w:instrText xml:space="preserve"> PAGE  \* MERGEFORMAT </w:instrText>
    </w:r>
    <w:r w:rsidRPr="00B52172">
      <w:rPr>
        <w:b/>
        <w:bCs/>
        <w:sz w:val="18"/>
      </w:rPr>
      <w:fldChar w:fldCharType="separate"/>
    </w:r>
    <w:r w:rsidR="00D5722E">
      <w:rPr>
        <w:b/>
        <w:bCs/>
        <w:noProof/>
        <w:sz w:val="18"/>
      </w:rPr>
      <w:t>6</w:t>
    </w:r>
    <w:r w:rsidRPr="00B52172">
      <w:rPr>
        <w:b/>
        <w:bCs/>
        <w:sz w:val="18"/>
      </w:rPr>
      <w:fldChar w:fldCharType="end"/>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24B6E" w14:textId="61E39D83" w:rsidR="00B52172" w:rsidRDefault="00B52172" w:rsidP="00B52172">
    <w:pPr>
      <w:pStyle w:val="Footer"/>
      <w:tabs>
        <w:tab w:val="right" w:pos="9638"/>
      </w:tabs>
    </w:pPr>
    <w:r>
      <w:tab/>
    </w:r>
    <w:r w:rsidRPr="00B52172">
      <w:rPr>
        <w:b/>
        <w:bCs/>
        <w:sz w:val="18"/>
      </w:rPr>
      <w:fldChar w:fldCharType="begin"/>
    </w:r>
    <w:r w:rsidRPr="00B52172">
      <w:rPr>
        <w:b/>
        <w:bCs/>
        <w:sz w:val="18"/>
      </w:rPr>
      <w:instrText xml:space="preserve"> PAGE  \* MERGEFORMAT </w:instrText>
    </w:r>
    <w:r w:rsidRPr="00B52172">
      <w:rPr>
        <w:b/>
        <w:bCs/>
        <w:sz w:val="18"/>
      </w:rPr>
      <w:fldChar w:fldCharType="separate"/>
    </w:r>
    <w:r w:rsidR="00D5722E">
      <w:rPr>
        <w:b/>
        <w:bCs/>
        <w:noProof/>
        <w:sz w:val="18"/>
      </w:rPr>
      <w:t>5</w:t>
    </w:r>
    <w:r w:rsidRPr="00B52172">
      <w:rPr>
        <w:b/>
        <w:bC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297A1" w14:textId="77777777" w:rsidR="002158A1" w:rsidRPr="00C47B2E" w:rsidRDefault="002158A1" w:rsidP="00C47B2E">
      <w:pPr>
        <w:tabs>
          <w:tab w:val="right" w:pos="2155"/>
        </w:tabs>
        <w:spacing w:after="80"/>
        <w:ind w:left="680"/>
      </w:pPr>
      <w:r>
        <w:rPr>
          <w:u w:val="single"/>
        </w:rPr>
        <w:tab/>
      </w:r>
    </w:p>
  </w:footnote>
  <w:footnote w:type="continuationSeparator" w:id="0">
    <w:p w14:paraId="3B83D9DB" w14:textId="77777777" w:rsidR="002158A1" w:rsidRPr="00C47B2E" w:rsidRDefault="002158A1" w:rsidP="005E716E">
      <w:pPr>
        <w:tabs>
          <w:tab w:val="right" w:pos="2155"/>
        </w:tabs>
        <w:spacing w:after="80"/>
        <w:ind w:left="680"/>
      </w:pPr>
      <w:r>
        <w:rPr>
          <w:u w:val="single"/>
        </w:rPr>
        <w:tab/>
      </w:r>
    </w:p>
  </w:footnote>
  <w:footnote w:type="continuationNotice" w:id="1">
    <w:p w14:paraId="38ECC775" w14:textId="77777777" w:rsidR="002158A1" w:rsidRPr="00C47B2E" w:rsidRDefault="002158A1" w:rsidP="00C47B2E">
      <w:pPr>
        <w:pStyle w:val="Footer"/>
      </w:pPr>
    </w:p>
  </w:footnote>
  <w:footnote w:id="2">
    <w:p w14:paraId="49ED41D0" w14:textId="77777777" w:rsidR="00657C1B" w:rsidRPr="00065182" w:rsidRDefault="00657C1B" w:rsidP="00B97D31">
      <w:pPr>
        <w:pStyle w:val="FootnoteText"/>
        <w:rPr>
          <w:lang w:val="en-US"/>
        </w:rPr>
      </w:pPr>
      <w:r w:rsidRPr="00065182">
        <w:rPr>
          <w:lang w:val="en-US"/>
        </w:rPr>
        <w:tab/>
      </w:r>
      <w:r w:rsidRPr="00065182">
        <w:rPr>
          <w:sz w:val="20"/>
          <w:lang w:val="en-US"/>
        </w:rPr>
        <w:t>*</w:t>
      </w:r>
      <w:r w:rsidRPr="00065182">
        <w:rPr>
          <w:sz w:val="20"/>
          <w:lang w:val="en-US"/>
        </w:rPr>
        <w:tab/>
      </w:r>
      <w:r w:rsidRPr="00065182">
        <w:rPr>
          <w:lang w:val="en-US"/>
        </w:rPr>
        <w:t>The report was submitted after the deadline so as to include the most recent information.</w:t>
      </w:r>
    </w:p>
  </w:footnote>
  <w:footnote w:id="3">
    <w:p w14:paraId="2E029CDC" w14:textId="77777777" w:rsidR="00657C1B" w:rsidRPr="00065182" w:rsidRDefault="00657C1B" w:rsidP="00B97D31">
      <w:pPr>
        <w:pStyle w:val="FootnoteText"/>
      </w:pPr>
      <w:r w:rsidRPr="00065182">
        <w:rPr>
          <w:lang w:val="en-US"/>
        </w:rPr>
        <w:tab/>
      </w:r>
      <w:r w:rsidRPr="00065182">
        <w:rPr>
          <w:rStyle w:val="FootnoteReference"/>
        </w:rPr>
        <w:footnoteRef/>
      </w:r>
      <w:r w:rsidRPr="00065182">
        <w:t xml:space="preserve"> </w:t>
      </w:r>
      <w:r w:rsidRPr="00065182">
        <w:tab/>
        <w:t xml:space="preserve">OHCHR, </w:t>
      </w:r>
      <w:hyperlink r:id="rId1" w:history="1">
        <w:r w:rsidRPr="00065182">
          <w:rPr>
            <w:rStyle w:val="Hyperlink"/>
            <w:i/>
            <w:iCs/>
            <w:color w:val="auto"/>
          </w:rPr>
          <w:t>Evaluation of the Cambodia Country Programme 2017–2020</w:t>
        </w:r>
      </w:hyperlink>
      <w:r w:rsidRPr="00065182">
        <w:rPr>
          <w:rStyle w:val="Hyperlink"/>
          <w:i/>
          <w:iCs/>
          <w:color w:val="auto"/>
        </w:rPr>
        <w:t>: Final Report</w:t>
      </w:r>
      <w:r w:rsidRPr="00065182">
        <w:t xml:space="preserve"> (19 August 2020).</w:t>
      </w:r>
    </w:p>
  </w:footnote>
  <w:footnote w:id="4">
    <w:p w14:paraId="35487BAA" w14:textId="77777777" w:rsidR="00657C1B" w:rsidRPr="00065182" w:rsidRDefault="00657C1B" w:rsidP="00B97D31">
      <w:pPr>
        <w:pStyle w:val="FootnoteText"/>
        <w:rPr>
          <w:lang w:val="en-US"/>
        </w:rPr>
      </w:pPr>
      <w:r w:rsidRPr="00065182">
        <w:tab/>
      </w:r>
      <w:r w:rsidRPr="00065182">
        <w:rPr>
          <w:rStyle w:val="FootnoteReference"/>
        </w:rPr>
        <w:footnoteRef/>
      </w:r>
      <w:r w:rsidRPr="00065182">
        <w:tab/>
        <w:t>See https://data.adb.org/dataset/basic-statistics-asia-and-pacific.</w:t>
      </w:r>
    </w:p>
  </w:footnote>
  <w:footnote w:id="5">
    <w:p w14:paraId="38BCF722" w14:textId="0894BD80"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Alessandra Danovaro, Danaé Laot and Federico Barreras, </w:t>
      </w:r>
      <w:r w:rsidR="00BC48DA" w:rsidRPr="00065182">
        <w:t>“</w:t>
      </w:r>
      <w:hyperlink r:id="rId2" w:history="1">
        <w:r w:rsidRPr="00065182">
          <w:rPr>
            <w:rStyle w:val="Hyperlink"/>
            <w:color w:val="auto"/>
          </w:rPr>
          <w:t>COVID-19 rapid assessment: lockdown situation in Phnom Penh</w:t>
        </w:r>
      </w:hyperlink>
      <w:r w:rsidR="00F17BE4" w:rsidRPr="00065182">
        <w:rPr>
          <w:rStyle w:val="Hyperlink"/>
          <w:color w:val="auto"/>
        </w:rPr>
        <w:t>”</w:t>
      </w:r>
      <w:r w:rsidRPr="00065182">
        <w:t xml:space="preserve"> (People in Need, DanChurch Aid and World Relief, 2021), p. 2.</w:t>
      </w:r>
    </w:p>
  </w:footnote>
  <w:footnote w:id="6">
    <w:p w14:paraId="4461AD0A"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Ministry of Information announcement No. 1798, on access to information and reporting in restricted zones, 4 May 2021 (in Khmer only).</w:t>
      </w:r>
    </w:p>
  </w:footnote>
  <w:footnote w:id="7">
    <w:p w14:paraId="723842BB" w14:textId="77777777" w:rsidR="00657C1B" w:rsidRPr="00065182" w:rsidRDefault="00657C1B" w:rsidP="00B97D31">
      <w:pPr>
        <w:pStyle w:val="FootnoteText"/>
        <w:rPr>
          <w:lang w:val="en-US"/>
        </w:rPr>
      </w:pPr>
      <w:r w:rsidRPr="00065182">
        <w:tab/>
      </w:r>
      <w:r w:rsidRPr="00065182">
        <w:rPr>
          <w:rStyle w:val="FootnoteReference"/>
        </w:rPr>
        <w:footnoteRef/>
      </w:r>
      <w:r w:rsidRPr="00065182">
        <w:rPr>
          <w:lang w:val="en-US"/>
        </w:rPr>
        <w:t xml:space="preserve"> </w:t>
      </w:r>
      <w:r w:rsidRPr="00065182">
        <w:rPr>
          <w:lang w:val="en-US"/>
        </w:rPr>
        <w:tab/>
        <w:t>See https://cambodia.un.org/en/127454-information-note-3-social-assistance-un-cambodias-covid-19-response.</w:t>
      </w:r>
    </w:p>
  </w:footnote>
  <w:footnote w:id="8">
    <w:p w14:paraId="7364E190" w14:textId="77777777" w:rsidR="00657C1B" w:rsidRPr="00065182" w:rsidRDefault="00657C1B" w:rsidP="00B97D31">
      <w:pPr>
        <w:pStyle w:val="FootnoteText"/>
      </w:pPr>
      <w:r w:rsidRPr="00065182">
        <w:rPr>
          <w:lang w:val="en-US"/>
        </w:rPr>
        <w:tab/>
      </w:r>
      <w:r w:rsidRPr="00065182">
        <w:rPr>
          <w:rStyle w:val="FootnoteReference"/>
        </w:rPr>
        <w:footnoteRef/>
      </w:r>
      <w:r w:rsidRPr="00065182">
        <w:tab/>
        <w:t>Decision No. 49, on putting Phnom Penh and Takmao City in lockdown in order to prevent the spread of COVID-19, 14 April 2021.</w:t>
      </w:r>
    </w:p>
  </w:footnote>
  <w:footnote w:id="9">
    <w:p w14:paraId="002E453B" w14:textId="77777777" w:rsidR="00657C1B" w:rsidRPr="00065182" w:rsidRDefault="00657C1B" w:rsidP="00B97D31">
      <w:pPr>
        <w:pStyle w:val="FootnoteText"/>
      </w:pPr>
      <w:r w:rsidRPr="00065182">
        <w:tab/>
      </w:r>
      <w:r w:rsidRPr="00065182">
        <w:rPr>
          <w:rStyle w:val="FootnoteReference"/>
        </w:rPr>
        <w:footnoteRef/>
      </w:r>
      <w:r w:rsidRPr="00065182">
        <w:tab/>
        <w:t xml:space="preserve">Ministry of Information announcement No. 1798, on access to information and reporting in restricted zones, 4 May 2021 (in Khmer only). </w:t>
      </w:r>
    </w:p>
  </w:footnote>
  <w:footnote w:id="10">
    <w:p w14:paraId="0A229BEA"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r>
      <w:hyperlink r:id="rId3" w:history="1">
        <w:r w:rsidRPr="00065182">
          <w:rPr>
            <w:rStyle w:val="Hyperlink"/>
            <w:color w:val="auto"/>
          </w:rPr>
          <w:t>A/HRC/45/56,</w:t>
        </w:r>
      </w:hyperlink>
      <w:r w:rsidRPr="00065182">
        <w:t xml:space="preserve"> paras. 8–9 and 11.</w:t>
      </w:r>
    </w:p>
  </w:footnote>
  <w:footnote w:id="11">
    <w:p w14:paraId="6CC40B51"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r>
      <w:hyperlink r:id="rId4" w:history="1">
        <w:r w:rsidRPr="00065182">
          <w:rPr>
            <w:rStyle w:val="Hyperlink"/>
            <w:color w:val="auto"/>
          </w:rPr>
          <w:t>Resolution 42/37</w:t>
        </w:r>
      </w:hyperlink>
      <w:r w:rsidRPr="00065182">
        <w:t>.</w:t>
      </w:r>
    </w:p>
  </w:footnote>
  <w:footnote w:id="12">
    <w:p w14:paraId="37F30A31" w14:textId="496DEB65"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t xml:space="preserve">OHCHR, </w:t>
      </w:r>
      <w:r w:rsidR="00BC48DA" w:rsidRPr="00065182">
        <w:t>“</w:t>
      </w:r>
      <w:hyperlink r:id="rId5" w:history="1">
        <w:r w:rsidRPr="00065182">
          <w:rPr>
            <w:rStyle w:val="Hyperlink"/>
            <w:color w:val="auto"/>
          </w:rPr>
          <w:t>Cambodia: long prison terms for former opposition leaders appalling, say UN experts</w:t>
        </w:r>
      </w:hyperlink>
      <w:r w:rsidR="00BC48DA" w:rsidRPr="00065182">
        <w:t>“</w:t>
      </w:r>
      <w:r w:rsidRPr="00065182">
        <w:t>, 5 March 2021.</w:t>
      </w:r>
    </w:p>
  </w:footnote>
  <w:footnote w:id="13">
    <w:p w14:paraId="01DADA63"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r>
      <w:r w:rsidRPr="00065182">
        <w:tab/>
      </w:r>
      <w:hyperlink r:id="rId6" w:history="1">
        <w:r w:rsidRPr="00065182">
          <w:rPr>
            <w:rStyle w:val="Hyperlink"/>
            <w:color w:val="auto"/>
          </w:rPr>
          <w:t>Resolution 42/37</w:t>
        </w:r>
      </w:hyperlink>
      <w:r w:rsidRPr="00065182">
        <w:rPr>
          <w:rStyle w:val="Hyperlink"/>
          <w:color w:val="auto"/>
        </w:rPr>
        <w:t>,</w:t>
      </w:r>
      <w:r w:rsidRPr="00065182">
        <w:t xml:space="preserve"> para. 26.</w:t>
      </w:r>
    </w:p>
  </w:footnote>
  <w:footnote w:id="14">
    <w:p w14:paraId="43F8C09C" w14:textId="77777777"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r>
      <w:r w:rsidRPr="00065182">
        <w:rPr>
          <w:lang w:val="en-US"/>
        </w:rPr>
        <w:t>Letter</w:t>
      </w:r>
      <w:r w:rsidRPr="00065182">
        <w:t xml:space="preserve"> </w:t>
      </w:r>
      <w:r w:rsidRPr="00065182">
        <w:rPr>
          <w:lang w:val="en-US"/>
        </w:rPr>
        <w:t>dated 26 October 2020</w:t>
      </w:r>
      <w:r w:rsidRPr="00065182">
        <w:t xml:space="preserve"> from OHCHR addressed to the Deputy Prime Minister (ref. No. OHCHR/197/20)</w:t>
      </w:r>
      <w:r w:rsidRPr="00065182">
        <w:rPr>
          <w:lang w:val="en-US"/>
        </w:rPr>
        <w:t>.</w:t>
      </w:r>
    </w:p>
  </w:footnote>
  <w:footnote w:id="15">
    <w:p w14:paraId="390206CD" w14:textId="77777777" w:rsidR="00657C1B" w:rsidRPr="00065182" w:rsidRDefault="00657C1B" w:rsidP="00B97D31">
      <w:pPr>
        <w:pStyle w:val="FootnoteText"/>
      </w:pPr>
      <w:r w:rsidRPr="00065182">
        <w:tab/>
      </w:r>
      <w:r w:rsidRPr="00065182">
        <w:rPr>
          <w:rStyle w:val="FootnoteReference"/>
        </w:rPr>
        <w:footnoteRef/>
      </w:r>
      <w:r w:rsidRPr="00065182">
        <w:tab/>
      </w:r>
      <w:r w:rsidRPr="00065182">
        <w:tab/>
        <w:t xml:space="preserve">See communications </w:t>
      </w:r>
      <w:hyperlink r:id="rId7" w:history="1">
        <w:r w:rsidRPr="00065182">
          <w:rPr>
            <w:rStyle w:val="Hyperlink"/>
            <w:color w:val="auto"/>
            <w:lang w:val="en-US"/>
          </w:rPr>
          <w:t>KHM 4/2020</w:t>
        </w:r>
      </w:hyperlink>
      <w:r w:rsidRPr="00065182">
        <w:t xml:space="preserve">, </w:t>
      </w:r>
      <w:hyperlink r:id="rId8" w:history="1">
        <w:r w:rsidRPr="00065182">
          <w:rPr>
            <w:rStyle w:val="Hyperlink"/>
            <w:color w:val="auto"/>
          </w:rPr>
          <w:t>KHM 5/2020</w:t>
        </w:r>
      </w:hyperlink>
      <w:r w:rsidRPr="00065182">
        <w:t xml:space="preserve"> </w:t>
      </w:r>
      <w:r w:rsidRPr="00065182">
        <w:rPr>
          <w:lang w:val="en-US"/>
        </w:rPr>
        <w:t>and</w:t>
      </w:r>
      <w:r w:rsidRPr="00065182">
        <w:t xml:space="preserve"> </w:t>
      </w:r>
      <w:hyperlink r:id="rId9" w:history="1">
        <w:r w:rsidRPr="00065182">
          <w:rPr>
            <w:rStyle w:val="Hyperlink"/>
            <w:color w:val="auto"/>
          </w:rPr>
          <w:t>KHM 7/2020</w:t>
        </w:r>
      </w:hyperlink>
      <w:r w:rsidRPr="00065182">
        <w:t xml:space="preserve">. </w:t>
      </w:r>
      <w:r w:rsidRPr="00065182">
        <w:rPr>
          <w:rFonts w:asciiTheme="majorBidi" w:hAnsiTheme="majorBidi" w:cstheme="majorBidi"/>
        </w:rPr>
        <w:t xml:space="preserve">All such communications are available from </w:t>
      </w:r>
      <w:r w:rsidRPr="00065182">
        <w:rPr>
          <w:rFonts w:asciiTheme="majorBidi" w:hAnsiTheme="majorBidi" w:cstheme="majorBidi"/>
          <w:lang w:val="en-US"/>
        </w:rPr>
        <w:t>https://spcommreports.ohchr.org/Tmsearch/TMDocuments.</w:t>
      </w:r>
    </w:p>
  </w:footnote>
  <w:footnote w:id="16">
    <w:p w14:paraId="1DCBC70F" w14:textId="77777777"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r>
      <w:r w:rsidRPr="00065182">
        <w:rPr>
          <w:lang w:val="en-US"/>
        </w:rPr>
        <w:t>OHCHR interviews with union representatives, April 2021.</w:t>
      </w:r>
    </w:p>
  </w:footnote>
  <w:footnote w:id="17">
    <w:p w14:paraId="2DA04319" w14:textId="1D2EAD34" w:rsidR="00657C1B" w:rsidRPr="00065182" w:rsidRDefault="00657C1B" w:rsidP="00B97D31">
      <w:pPr>
        <w:pStyle w:val="FootnoteText"/>
        <w:rPr>
          <w:highlight w:val="yellow"/>
          <w:lang w:val="en-US"/>
        </w:rPr>
      </w:pPr>
      <w:r w:rsidRPr="00065182">
        <w:tab/>
      </w:r>
      <w:r w:rsidRPr="00065182">
        <w:rPr>
          <w:rStyle w:val="FootnoteReference"/>
        </w:rPr>
        <w:footnoteRef/>
      </w:r>
      <w:r w:rsidRPr="00065182">
        <w:tab/>
      </w:r>
      <w:r w:rsidRPr="00065182">
        <w:rPr>
          <w:lang w:val="en-US"/>
        </w:rPr>
        <w:t xml:space="preserve">Business and Human Rights Resource Centre, </w:t>
      </w:r>
      <w:r w:rsidR="00BC48DA" w:rsidRPr="00065182">
        <w:rPr>
          <w:lang w:val="en-US"/>
        </w:rPr>
        <w:t>“</w:t>
      </w:r>
      <w:hyperlink r:id="rId10" w:history="1">
        <w:r w:rsidRPr="00065182">
          <w:rPr>
            <w:rStyle w:val="Hyperlink"/>
            <w:color w:val="auto"/>
            <w:lang w:val="en-US"/>
          </w:rPr>
          <w:t>Cambodia: garment workers protest unpaid wages as COVID-19 disrupts supply chains</w:t>
        </w:r>
      </w:hyperlink>
      <w:r w:rsidR="00264004" w:rsidRPr="00065182">
        <w:rPr>
          <w:rStyle w:val="Hyperlink"/>
          <w:color w:val="auto"/>
          <w:lang w:val="en-US"/>
        </w:rPr>
        <w:t>”</w:t>
      </w:r>
      <w:r w:rsidRPr="00065182">
        <w:rPr>
          <w:lang w:val="en-US"/>
        </w:rPr>
        <w:t>, 20 May 2020.</w:t>
      </w:r>
    </w:p>
  </w:footnote>
  <w:footnote w:id="18">
    <w:p w14:paraId="783AD5D8" w14:textId="77777777" w:rsidR="00657C1B" w:rsidRPr="00065182" w:rsidRDefault="00657C1B" w:rsidP="00B97D31">
      <w:pPr>
        <w:pStyle w:val="FootnoteText"/>
        <w:rPr>
          <w:lang w:val="en-US"/>
        </w:rPr>
      </w:pPr>
      <w:r w:rsidRPr="00065182">
        <w:tab/>
      </w:r>
      <w:r w:rsidRPr="00065182">
        <w:rPr>
          <w:rStyle w:val="FootnoteReference"/>
        </w:rPr>
        <w:footnoteRef/>
      </w:r>
      <w:r w:rsidRPr="00065182">
        <w:tab/>
      </w:r>
      <w:r w:rsidRPr="00065182">
        <w:rPr>
          <w:lang w:val="en-US"/>
        </w:rPr>
        <w:t xml:space="preserve">OHCHR interviews with union representatives, April 2021. </w:t>
      </w:r>
    </w:p>
  </w:footnote>
  <w:footnote w:id="19">
    <w:p w14:paraId="042AAF6A" w14:textId="77777777" w:rsidR="00657C1B" w:rsidRPr="00065182" w:rsidRDefault="00657C1B" w:rsidP="00B97D31">
      <w:pPr>
        <w:pStyle w:val="FootnoteText"/>
        <w:rPr>
          <w:rStyle w:val="Hyperlink"/>
          <w:color w:val="auto"/>
          <w:lang w:val="en-US"/>
        </w:rPr>
      </w:pPr>
      <w:r w:rsidRPr="00065182">
        <w:tab/>
      </w:r>
      <w:r w:rsidRPr="00065182">
        <w:rPr>
          <w:rStyle w:val="FootnoteReference"/>
        </w:rPr>
        <w:footnoteRef/>
      </w:r>
      <w:r w:rsidRPr="00065182">
        <w:rPr>
          <w:lang w:val="en-US"/>
        </w:rPr>
        <w:tab/>
      </w:r>
      <w:hyperlink r:id="rId11" w:history="1">
        <w:r w:rsidRPr="00065182">
          <w:rPr>
            <w:rStyle w:val="Hyperlink"/>
            <w:color w:val="auto"/>
            <w:lang w:val="en-US"/>
          </w:rPr>
          <w:t>See communication KHM 6/2020</w:t>
        </w:r>
      </w:hyperlink>
      <w:r w:rsidRPr="00065182">
        <w:rPr>
          <w:lang w:val="en-US"/>
        </w:rPr>
        <w:t xml:space="preserve">. </w:t>
      </w:r>
    </w:p>
  </w:footnote>
  <w:footnote w:id="20">
    <w:p w14:paraId="7498375E" w14:textId="77777777" w:rsidR="00657C1B" w:rsidRPr="00065182" w:rsidRDefault="00657C1B" w:rsidP="00B97D31">
      <w:pPr>
        <w:pStyle w:val="FootnoteText"/>
        <w:rPr>
          <w:lang w:val="en-US"/>
        </w:rPr>
      </w:pPr>
      <w:r w:rsidRPr="00065182">
        <w:rPr>
          <w:lang w:val="en-US"/>
        </w:rPr>
        <w:tab/>
      </w:r>
      <w:r w:rsidRPr="00065182">
        <w:rPr>
          <w:rStyle w:val="FootnoteReference"/>
        </w:rPr>
        <w:footnoteRef/>
      </w:r>
      <w:r w:rsidRPr="00065182">
        <w:rPr>
          <w:lang w:val="en-US"/>
        </w:rPr>
        <w:tab/>
        <w:t xml:space="preserve">See communication </w:t>
      </w:r>
      <w:hyperlink r:id="rId12" w:history="1">
        <w:r w:rsidRPr="00065182">
          <w:rPr>
            <w:rStyle w:val="Hyperlink"/>
            <w:color w:val="auto"/>
            <w:lang w:val="en-US"/>
          </w:rPr>
          <w:t>KHM 8/2020</w:t>
        </w:r>
      </w:hyperlink>
      <w:r w:rsidRPr="00065182">
        <w:rPr>
          <w:lang w:val="en-US"/>
        </w:rPr>
        <w:t xml:space="preserve">. </w:t>
      </w:r>
    </w:p>
  </w:footnote>
  <w:footnote w:id="21">
    <w:p w14:paraId="0E910464" w14:textId="77777777" w:rsidR="00657C1B" w:rsidRPr="00065182" w:rsidRDefault="00657C1B" w:rsidP="00B97D31">
      <w:pPr>
        <w:pStyle w:val="FootnoteText"/>
        <w:rPr>
          <w:lang w:val="en-US"/>
        </w:rPr>
      </w:pPr>
      <w:r w:rsidRPr="00065182">
        <w:rPr>
          <w:lang w:val="en-US"/>
        </w:rPr>
        <w:tab/>
      </w:r>
      <w:r w:rsidRPr="00065182">
        <w:rPr>
          <w:rStyle w:val="FootnoteReference"/>
        </w:rPr>
        <w:footnoteRef/>
      </w:r>
      <w:r w:rsidRPr="00065182">
        <w:tab/>
      </w:r>
      <w:r w:rsidRPr="00065182">
        <w:rPr>
          <w:lang w:val="en-US"/>
        </w:rPr>
        <w:t xml:space="preserve">Notification dated 27 November 2018 from the Ministry of the Interior addressed to the Governors of the municipal-provincial governing boards (notification No. 2006). </w:t>
      </w:r>
    </w:p>
  </w:footnote>
  <w:footnote w:id="22">
    <w:p w14:paraId="6C6231E3" w14:textId="77777777" w:rsidR="00657C1B" w:rsidRPr="00065182" w:rsidRDefault="00657C1B" w:rsidP="00B97D31">
      <w:pPr>
        <w:pStyle w:val="FootnoteText"/>
      </w:pPr>
      <w:r w:rsidRPr="00065182">
        <w:tab/>
      </w:r>
      <w:r w:rsidRPr="00065182">
        <w:rPr>
          <w:rStyle w:val="FootnoteReference"/>
        </w:rPr>
        <w:footnoteRef/>
      </w:r>
      <w:r w:rsidRPr="00065182">
        <w:tab/>
      </w:r>
      <w:hyperlink r:id="rId13" w:history="1">
        <w:r w:rsidRPr="00065182">
          <w:rPr>
            <w:rStyle w:val="Hyperlink"/>
            <w:color w:val="auto"/>
            <w:lang w:val="en-US"/>
          </w:rPr>
          <w:t>A/HRC/45/56</w:t>
        </w:r>
      </w:hyperlink>
      <w:r w:rsidRPr="00065182">
        <w:t>, para. 78 (b).</w:t>
      </w:r>
    </w:p>
  </w:footnote>
  <w:footnote w:id="23">
    <w:p w14:paraId="0E20CF33" w14:textId="77777777" w:rsidR="00657C1B" w:rsidRPr="00065182" w:rsidRDefault="00657C1B" w:rsidP="00B97D31">
      <w:pPr>
        <w:pStyle w:val="FootnoteText"/>
        <w:rPr>
          <w:lang w:val="en-US"/>
        </w:rPr>
      </w:pPr>
      <w:r w:rsidRPr="00065182">
        <w:tab/>
      </w:r>
      <w:r w:rsidRPr="00065182">
        <w:rPr>
          <w:rStyle w:val="FootnoteReference"/>
        </w:rPr>
        <w:footnoteRef/>
      </w:r>
      <w:r w:rsidRPr="00065182">
        <w:tab/>
        <w:t>See www.ohchr.org/EN/NewsEvents/Pages/DisplayNews.aspx?NewsID=26223&amp;.</w:t>
      </w:r>
    </w:p>
  </w:footnote>
  <w:footnote w:id="24">
    <w:p w14:paraId="1BB98337"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See communication </w:t>
      </w:r>
      <w:hyperlink r:id="rId14" w:history="1">
        <w:r w:rsidRPr="00065182">
          <w:rPr>
            <w:rStyle w:val="Hyperlink"/>
            <w:color w:val="auto"/>
            <w:lang w:val="en-US"/>
          </w:rPr>
          <w:t>KHM 8/2020</w:t>
        </w:r>
      </w:hyperlink>
      <w:r w:rsidRPr="00065182">
        <w:t>.</w:t>
      </w:r>
    </w:p>
  </w:footnote>
  <w:footnote w:id="25">
    <w:p w14:paraId="36EB847C" w14:textId="62478BBE"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r>
      <w:r w:rsidRPr="00065182">
        <w:rPr>
          <w:lang w:bidi="km-KH"/>
        </w:rPr>
        <w:t xml:space="preserve">From June 2020 to May 2021, </w:t>
      </w:r>
      <w:r w:rsidRPr="00065182">
        <w:t xml:space="preserve">OHCHR documented 29 instances of the </w:t>
      </w:r>
      <w:r w:rsidR="00BC48DA" w:rsidRPr="00065182">
        <w:t>“</w:t>
      </w:r>
      <w:r w:rsidRPr="00065182">
        <w:t>education</w:t>
      </w:r>
      <w:r w:rsidR="00BC48DA" w:rsidRPr="00065182">
        <w:t>”</w:t>
      </w:r>
      <w:r w:rsidRPr="00065182">
        <w:t xml:space="preserve"> of 119 individuals, including 23 monks and 46 human rights defenders.</w:t>
      </w:r>
    </w:p>
  </w:footnote>
  <w:footnote w:id="26">
    <w:p w14:paraId="04466909" w14:textId="77777777" w:rsidR="00657C1B" w:rsidRPr="00065182" w:rsidRDefault="00657C1B" w:rsidP="00B97D31">
      <w:pPr>
        <w:pStyle w:val="FootnoteText"/>
      </w:pPr>
      <w:r w:rsidRPr="00065182">
        <w:tab/>
      </w:r>
      <w:r w:rsidRPr="00065182">
        <w:rPr>
          <w:rStyle w:val="FootnoteReference"/>
        </w:rPr>
        <w:footnoteRef/>
      </w:r>
      <w:r w:rsidRPr="00065182">
        <w:tab/>
        <w:t xml:space="preserve">See communication </w:t>
      </w:r>
      <w:hyperlink r:id="rId15" w:history="1">
        <w:r w:rsidRPr="00065182">
          <w:rPr>
            <w:rStyle w:val="Hyperlink"/>
            <w:color w:val="auto"/>
          </w:rPr>
          <w:t>KHM 3/2020</w:t>
        </w:r>
      </w:hyperlink>
      <w:r w:rsidRPr="00065182">
        <w:t>.</w:t>
      </w:r>
    </w:p>
  </w:footnote>
  <w:footnote w:id="27">
    <w:p w14:paraId="1C382589" w14:textId="77777777" w:rsidR="00657C1B" w:rsidRPr="00065182" w:rsidRDefault="00657C1B" w:rsidP="00B97D31">
      <w:pPr>
        <w:pStyle w:val="FootnoteText"/>
      </w:pPr>
      <w:r w:rsidRPr="00065182">
        <w:tab/>
      </w:r>
      <w:r w:rsidRPr="00065182">
        <w:rPr>
          <w:rStyle w:val="FootnoteReference"/>
        </w:rPr>
        <w:footnoteRef/>
      </w:r>
      <w:r w:rsidRPr="00065182">
        <w:tab/>
      </w:r>
      <w:hyperlink r:id="rId16" w:history="1">
        <w:r w:rsidRPr="00065182">
          <w:rPr>
            <w:rStyle w:val="Hyperlink"/>
            <w:color w:val="auto"/>
          </w:rPr>
          <w:t>A/HRC/WGAD/2019/3</w:t>
        </w:r>
      </w:hyperlink>
      <w:r w:rsidRPr="00065182">
        <w:t xml:space="preserve">. </w:t>
      </w:r>
    </w:p>
  </w:footnote>
  <w:footnote w:id="28">
    <w:p w14:paraId="3104B324" w14:textId="77777777" w:rsidR="00657C1B" w:rsidRPr="00065182" w:rsidRDefault="00657C1B" w:rsidP="00B97D31">
      <w:pPr>
        <w:pStyle w:val="FootnoteText"/>
        <w:rPr>
          <w:lang w:val="en-US"/>
        </w:rPr>
      </w:pPr>
      <w:r w:rsidRPr="00065182">
        <w:t xml:space="preserve"> </w:t>
      </w:r>
      <w:r w:rsidRPr="00065182">
        <w:tab/>
      </w:r>
      <w:r w:rsidRPr="00065182">
        <w:rPr>
          <w:rStyle w:val="FootnoteReference"/>
        </w:rPr>
        <w:footnoteRef/>
      </w:r>
      <w:r w:rsidRPr="00065182">
        <w:rPr>
          <w:lang w:val="en-US"/>
        </w:rPr>
        <w:tab/>
      </w:r>
      <w:hyperlink r:id="rId17" w:history="1">
        <w:r w:rsidRPr="00065182">
          <w:rPr>
            <w:rStyle w:val="Hyperlink"/>
            <w:color w:val="auto"/>
            <w:lang w:val="en-US"/>
          </w:rPr>
          <w:t>Resolution 42/37</w:t>
        </w:r>
      </w:hyperlink>
      <w:r w:rsidRPr="00065182">
        <w:rPr>
          <w:rStyle w:val="Hyperlink"/>
          <w:color w:val="auto"/>
          <w:lang w:val="en-US"/>
        </w:rPr>
        <w:t>.</w:t>
      </w:r>
    </w:p>
  </w:footnote>
  <w:footnote w:id="29">
    <w:p w14:paraId="1C5932AA" w14:textId="77777777"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r>
      <w:r w:rsidRPr="00065182">
        <w:rPr>
          <w:lang w:val="en-US"/>
        </w:rPr>
        <w:t>A/HRC/12/41, paras. 30 and 42.</w:t>
      </w:r>
    </w:p>
  </w:footnote>
  <w:footnote w:id="30">
    <w:p w14:paraId="24F95B48" w14:textId="77777777" w:rsidR="00657C1B" w:rsidRPr="00065182" w:rsidRDefault="00657C1B" w:rsidP="00B97D31">
      <w:pPr>
        <w:pStyle w:val="FootnoteText"/>
        <w:rPr>
          <w:lang w:val="es-ES"/>
        </w:rPr>
      </w:pPr>
      <w:r w:rsidRPr="00065182">
        <w:rPr>
          <w:lang w:val="en-US"/>
        </w:rPr>
        <w:tab/>
      </w:r>
      <w:r w:rsidRPr="00065182">
        <w:rPr>
          <w:rStyle w:val="FootnoteReference"/>
        </w:rPr>
        <w:footnoteRef/>
      </w:r>
      <w:r w:rsidRPr="00065182">
        <w:rPr>
          <w:lang w:val="es-ES"/>
        </w:rPr>
        <w:tab/>
        <w:t>A/HRC/21/35, para. 5 (c).</w:t>
      </w:r>
    </w:p>
  </w:footnote>
  <w:footnote w:id="31">
    <w:p w14:paraId="0D2FA37D" w14:textId="77777777" w:rsidR="00657C1B" w:rsidRPr="00065182" w:rsidRDefault="00657C1B" w:rsidP="00B97D31">
      <w:pPr>
        <w:pStyle w:val="FootnoteText"/>
        <w:rPr>
          <w:lang w:val="en-US"/>
        </w:rPr>
      </w:pPr>
      <w:r w:rsidRPr="00065182">
        <w:rPr>
          <w:lang w:val="es-ES"/>
        </w:rPr>
        <w:tab/>
      </w:r>
      <w:r w:rsidRPr="00065182">
        <w:rPr>
          <w:rStyle w:val="FootnoteReference"/>
        </w:rPr>
        <w:footnoteRef/>
      </w:r>
      <w:r w:rsidRPr="00065182">
        <w:rPr>
          <w:lang w:val="es-ES"/>
        </w:rPr>
        <w:tab/>
      </w:r>
      <w:hyperlink r:id="rId18" w:history="1">
        <w:r w:rsidRPr="00065182">
          <w:rPr>
            <w:rStyle w:val="Hyperlink"/>
            <w:color w:val="auto"/>
            <w:lang w:val="es-ES"/>
          </w:rPr>
          <w:t>A/HRC/27/43</w:t>
        </w:r>
      </w:hyperlink>
      <w:r w:rsidRPr="00065182">
        <w:rPr>
          <w:lang w:val="es-ES"/>
        </w:rPr>
        <w:t xml:space="preserve">, para. </w:t>
      </w:r>
      <w:r w:rsidRPr="00065182">
        <w:rPr>
          <w:lang w:val="en-US"/>
        </w:rPr>
        <w:t>6.</w:t>
      </w:r>
    </w:p>
  </w:footnote>
  <w:footnote w:id="32">
    <w:p w14:paraId="779FAD13" w14:textId="77777777" w:rsidR="00657C1B" w:rsidRPr="00065182" w:rsidRDefault="00657C1B" w:rsidP="00B97D31">
      <w:pPr>
        <w:pStyle w:val="FootnoteText"/>
        <w:rPr>
          <w:lang w:val="en-US"/>
        </w:rPr>
      </w:pPr>
      <w:r w:rsidRPr="00065182">
        <w:rPr>
          <w:lang w:val="en-US"/>
        </w:rPr>
        <w:tab/>
      </w:r>
      <w:r w:rsidRPr="00065182">
        <w:rPr>
          <w:rStyle w:val="FootnoteReference"/>
        </w:rPr>
        <w:footnoteRef/>
      </w:r>
      <w:r w:rsidRPr="00065182">
        <w:rPr>
          <w:lang w:val="en-US"/>
        </w:rPr>
        <w:t xml:space="preserve"> </w:t>
      </w:r>
      <w:r w:rsidRPr="00065182">
        <w:rPr>
          <w:lang w:val="en-US"/>
        </w:rPr>
        <w:tab/>
        <w:t xml:space="preserve">Ibid., paras. 5–6. </w:t>
      </w:r>
    </w:p>
  </w:footnote>
  <w:footnote w:id="33">
    <w:p w14:paraId="43BFBAB9" w14:textId="77777777" w:rsidR="00657C1B" w:rsidRPr="00065182" w:rsidRDefault="00657C1B" w:rsidP="00B97D31">
      <w:pPr>
        <w:pStyle w:val="FootnoteText"/>
        <w:rPr>
          <w:lang w:val="en-US"/>
        </w:rPr>
      </w:pPr>
      <w:r w:rsidRPr="00065182">
        <w:rPr>
          <w:lang w:val="en-US"/>
        </w:rPr>
        <w:tab/>
      </w:r>
      <w:r w:rsidRPr="00065182">
        <w:rPr>
          <w:rStyle w:val="FootnoteReference"/>
        </w:rPr>
        <w:footnoteRef/>
      </w:r>
      <w:r w:rsidRPr="00065182">
        <w:t xml:space="preserve"> </w:t>
      </w:r>
      <w:r w:rsidRPr="00065182">
        <w:tab/>
        <w:t xml:space="preserve">See communication </w:t>
      </w:r>
      <w:hyperlink r:id="rId19" w:history="1">
        <w:r w:rsidRPr="00065182">
          <w:rPr>
            <w:rStyle w:val="Hyperlink"/>
            <w:color w:val="auto"/>
          </w:rPr>
          <w:t>KHM 4/2021</w:t>
        </w:r>
      </w:hyperlink>
      <w:r w:rsidRPr="00065182">
        <w:t>.</w:t>
      </w:r>
    </w:p>
  </w:footnote>
  <w:footnote w:id="34">
    <w:p w14:paraId="2D6B18C2" w14:textId="77777777" w:rsidR="00657C1B" w:rsidRPr="00065182" w:rsidRDefault="00657C1B" w:rsidP="00B97D31">
      <w:pPr>
        <w:pStyle w:val="FootnoteText"/>
      </w:pPr>
      <w:r w:rsidRPr="00065182">
        <w:tab/>
      </w:r>
      <w:r w:rsidRPr="00065182">
        <w:rPr>
          <w:rStyle w:val="FootnoteReference"/>
        </w:rPr>
        <w:footnoteRef/>
      </w:r>
      <w:r w:rsidRPr="00065182">
        <w:tab/>
        <w:t xml:space="preserve">Information received from the General Department of Prisons, 21 April 2021. </w:t>
      </w:r>
    </w:p>
  </w:footnote>
  <w:footnote w:id="35">
    <w:p w14:paraId="00A1A43F" w14:textId="57C30DD2"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Ry Sochan, </w:t>
      </w:r>
      <w:r w:rsidR="00BC48DA" w:rsidRPr="00065182">
        <w:t>“</w:t>
      </w:r>
      <w:r w:rsidRPr="00065182">
        <w:t xml:space="preserve">Official: draft law on rights of persons with disabilities </w:t>
      </w:r>
      <w:r w:rsidR="00BC48DA" w:rsidRPr="00065182">
        <w:t>‘</w:t>
      </w:r>
      <w:r w:rsidRPr="00065182">
        <w:t>inclusive</w:t>
      </w:r>
      <w:r w:rsidR="00BC48DA" w:rsidRPr="00065182">
        <w:t>’”</w:t>
      </w:r>
      <w:r w:rsidRPr="00065182">
        <w:t xml:space="preserve">, </w:t>
      </w:r>
      <w:r w:rsidRPr="00065182">
        <w:rPr>
          <w:i/>
          <w:iCs/>
        </w:rPr>
        <w:t>The Phnom Penh Post</w:t>
      </w:r>
      <w:r w:rsidRPr="00065182">
        <w:t xml:space="preserve">, 29 April 2021. </w:t>
      </w:r>
    </w:p>
  </w:footnote>
  <w:footnote w:id="36">
    <w:p w14:paraId="5426A93A"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See communication </w:t>
      </w:r>
      <w:hyperlink r:id="rId20" w:history="1">
        <w:r w:rsidRPr="00065182">
          <w:rPr>
            <w:rStyle w:val="Hyperlink"/>
            <w:color w:val="auto"/>
          </w:rPr>
          <w:t>KHM 5/2021</w:t>
        </w:r>
      </w:hyperlink>
      <w:r w:rsidRPr="00065182">
        <w:t>.</w:t>
      </w:r>
    </w:p>
  </w:footnote>
  <w:footnote w:id="37">
    <w:p w14:paraId="6A36F394"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See communication </w:t>
      </w:r>
      <w:hyperlink r:id="rId21" w:history="1">
        <w:r w:rsidRPr="00065182">
          <w:rPr>
            <w:rStyle w:val="Hyperlink"/>
            <w:color w:val="auto"/>
          </w:rPr>
          <w:t>KHM 2/2020</w:t>
        </w:r>
      </w:hyperlink>
      <w:r w:rsidRPr="00065182">
        <w:t>.</w:t>
      </w:r>
    </w:p>
  </w:footnote>
  <w:footnote w:id="38">
    <w:p w14:paraId="592B7471" w14:textId="5CDB5F22"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OHCHR, </w:t>
      </w:r>
      <w:r w:rsidR="00BC48DA" w:rsidRPr="00065182">
        <w:t>“</w:t>
      </w:r>
      <w:hyperlink r:id="rId22" w:history="1">
        <w:r w:rsidRPr="00065182">
          <w:rPr>
            <w:rStyle w:val="Hyperlink"/>
            <w:color w:val="auto"/>
          </w:rPr>
          <w:t>Cambodia: UN expert condemns conviction of three environmental rights defenders, urges their release</w:t>
        </w:r>
      </w:hyperlink>
      <w:r w:rsidR="00681E10" w:rsidRPr="00065182">
        <w:rPr>
          <w:rStyle w:val="Hyperlink"/>
          <w:color w:val="auto"/>
        </w:rPr>
        <w:t>”</w:t>
      </w:r>
      <w:r w:rsidRPr="00065182">
        <w:t>, 7 May 2021.</w:t>
      </w:r>
    </w:p>
  </w:footnote>
  <w:footnote w:id="39">
    <w:p w14:paraId="731F00AB" w14:textId="392AB8E0"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r>
      <w:r w:rsidRPr="00065182">
        <w:rPr>
          <w:rStyle w:val="Hyperlink"/>
          <w:color w:val="auto"/>
        </w:rPr>
        <w:t xml:space="preserve">Resolution </w:t>
      </w:r>
      <w:r w:rsidRPr="00065182">
        <w:t xml:space="preserve">42/37, para. 11. See also </w:t>
      </w:r>
      <w:r w:rsidR="00BC48DA" w:rsidRPr="00065182">
        <w:t>“</w:t>
      </w:r>
      <w:r w:rsidRPr="00065182">
        <w:t>2019–2023 joint monitoring indicators on legal and judicial reform: 2019–2020 progress update</w:t>
      </w:r>
      <w:r w:rsidR="00BC48DA" w:rsidRPr="00065182">
        <w:t>”</w:t>
      </w:r>
      <w:r w:rsidRPr="00065182">
        <w:t>, 17 March 2021.</w:t>
      </w:r>
    </w:p>
  </w:footnote>
  <w:footnote w:id="40">
    <w:p w14:paraId="0769965D"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According to official information shared by the General Department of Prisons, the prison population stood at 18,577 in December 2015. </w:t>
      </w:r>
    </w:p>
  </w:footnote>
  <w:footnote w:id="41">
    <w:p w14:paraId="78BA132C"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Information received from the General Department of Prisons, May 2021.</w:t>
      </w:r>
    </w:p>
  </w:footnote>
  <w:footnote w:id="42">
    <w:p w14:paraId="157E7154" w14:textId="77777777" w:rsidR="00657C1B" w:rsidRPr="00065182" w:rsidRDefault="00657C1B" w:rsidP="00B97D31">
      <w:pPr>
        <w:pStyle w:val="FootnoteText"/>
        <w:rPr>
          <w:lang w:val="es-ES"/>
        </w:rPr>
      </w:pPr>
      <w:r w:rsidRPr="00065182">
        <w:tab/>
      </w:r>
      <w:r w:rsidRPr="00065182">
        <w:rPr>
          <w:rStyle w:val="FootnoteReference"/>
        </w:rPr>
        <w:footnoteRef/>
      </w:r>
      <w:r w:rsidRPr="00065182">
        <w:rPr>
          <w:lang w:val="es-ES"/>
        </w:rPr>
        <w:t xml:space="preserve"> </w:t>
      </w:r>
      <w:r w:rsidRPr="00065182">
        <w:rPr>
          <w:lang w:val="es-ES"/>
        </w:rPr>
        <w:tab/>
        <w:t>A/HRC/47/40, para. 57.</w:t>
      </w:r>
    </w:p>
  </w:footnote>
  <w:footnote w:id="43">
    <w:p w14:paraId="2ECE5E30" w14:textId="77777777" w:rsidR="00657C1B" w:rsidRPr="00065182" w:rsidRDefault="00657C1B" w:rsidP="00B97D31">
      <w:pPr>
        <w:pStyle w:val="FootnoteText"/>
        <w:rPr>
          <w:lang w:val="en-US"/>
        </w:rPr>
      </w:pPr>
      <w:r w:rsidRPr="00065182">
        <w:rPr>
          <w:lang w:val="es-ES"/>
        </w:rPr>
        <w:tab/>
      </w:r>
      <w:r w:rsidRPr="00065182">
        <w:rPr>
          <w:rStyle w:val="FootnoteReference"/>
        </w:rPr>
        <w:footnoteRef/>
      </w:r>
      <w:r w:rsidRPr="00065182">
        <w:rPr>
          <w:lang w:val="es-ES"/>
        </w:rPr>
        <w:t xml:space="preserve"> </w:t>
      </w:r>
      <w:r w:rsidRPr="00065182">
        <w:rPr>
          <w:lang w:val="es-ES"/>
        </w:rPr>
        <w:tab/>
        <w:t xml:space="preserve">Ibid., para. </w:t>
      </w:r>
      <w:r w:rsidRPr="00065182">
        <w:rPr>
          <w:lang w:val="en-US"/>
        </w:rPr>
        <w:t>61.</w:t>
      </w:r>
    </w:p>
  </w:footnote>
  <w:footnote w:id="44">
    <w:p w14:paraId="3E001388" w14:textId="77777777" w:rsidR="00657C1B" w:rsidRPr="00065182" w:rsidRDefault="00657C1B" w:rsidP="00B97D31">
      <w:pPr>
        <w:pStyle w:val="FootnoteText"/>
        <w:rPr>
          <w:lang w:val="en-US"/>
        </w:rPr>
      </w:pPr>
      <w:r w:rsidRPr="00065182">
        <w:rPr>
          <w:lang w:val="en-US"/>
        </w:rPr>
        <w:tab/>
      </w:r>
      <w:r w:rsidRPr="00065182">
        <w:rPr>
          <w:rStyle w:val="FootnoteReference"/>
        </w:rPr>
        <w:footnoteRef/>
      </w:r>
      <w:r w:rsidRPr="00065182">
        <w:rPr>
          <w:lang w:val="en-US"/>
        </w:rPr>
        <w:t xml:space="preserve"> </w:t>
      </w:r>
      <w:r w:rsidRPr="00065182">
        <w:rPr>
          <w:lang w:val="en-US"/>
        </w:rPr>
        <w:tab/>
      </w:r>
      <w:hyperlink r:id="rId23" w:history="1">
        <w:r w:rsidRPr="00065182">
          <w:rPr>
            <w:rStyle w:val="Hyperlink"/>
            <w:color w:val="auto"/>
            <w:lang w:val="en-US"/>
          </w:rPr>
          <w:t>A/HRC/45/51</w:t>
        </w:r>
      </w:hyperlink>
      <w:r w:rsidRPr="00065182">
        <w:rPr>
          <w:lang w:val="en-US"/>
        </w:rPr>
        <w:t xml:space="preserve">, para. 93 (g). </w:t>
      </w:r>
    </w:p>
  </w:footnote>
  <w:footnote w:id="45">
    <w:p w14:paraId="23FA15CF" w14:textId="77777777" w:rsidR="00657C1B" w:rsidRPr="00065182" w:rsidRDefault="00657C1B" w:rsidP="00B97D31">
      <w:pPr>
        <w:pStyle w:val="FootnoteText"/>
        <w:rPr>
          <w:lang w:val="en-US"/>
        </w:rPr>
      </w:pPr>
      <w:r w:rsidRPr="00065182">
        <w:rPr>
          <w:lang w:val="en-US"/>
        </w:rPr>
        <w:tab/>
      </w:r>
      <w:r w:rsidRPr="00065182">
        <w:rPr>
          <w:rStyle w:val="FootnoteReference"/>
        </w:rPr>
        <w:footnoteRef/>
      </w:r>
      <w:r w:rsidRPr="00065182">
        <w:rPr>
          <w:lang w:val="en-US"/>
        </w:rPr>
        <w:tab/>
        <w:t xml:space="preserve">See communication </w:t>
      </w:r>
      <w:hyperlink r:id="rId24" w:history="1">
        <w:r w:rsidRPr="00065182">
          <w:rPr>
            <w:rStyle w:val="Hyperlink"/>
            <w:color w:val="auto"/>
            <w:lang w:val="en-US"/>
          </w:rPr>
          <w:t>KHM 9/2020</w:t>
        </w:r>
      </w:hyperlink>
      <w:r w:rsidRPr="00065182">
        <w:rPr>
          <w:lang w:val="en-US"/>
        </w:rPr>
        <w:t>.</w:t>
      </w:r>
    </w:p>
  </w:footnote>
  <w:footnote w:id="46">
    <w:p w14:paraId="4C237207" w14:textId="77777777" w:rsidR="00657C1B" w:rsidRPr="00065182" w:rsidRDefault="00657C1B" w:rsidP="00B97D31">
      <w:pPr>
        <w:pStyle w:val="FootnoteText"/>
      </w:pPr>
      <w:r w:rsidRPr="00065182">
        <w:rPr>
          <w:lang w:val="en-US"/>
        </w:rPr>
        <w:tab/>
      </w:r>
      <w:r w:rsidRPr="00065182">
        <w:rPr>
          <w:rStyle w:val="FootnoteReference"/>
        </w:rPr>
        <w:footnoteRef/>
      </w:r>
      <w:r w:rsidRPr="00065182">
        <w:tab/>
      </w:r>
      <w:hyperlink r:id="rId25" w:history="1">
        <w:r w:rsidRPr="00065182">
          <w:t>A/HRC/45/56,</w:t>
        </w:r>
      </w:hyperlink>
      <w:r w:rsidRPr="00065182">
        <w:t xml:space="preserve"> para. 78 (i).</w:t>
      </w:r>
    </w:p>
  </w:footnote>
  <w:footnote w:id="47">
    <w:p w14:paraId="06DA497E" w14:textId="44953921"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Alessandra Danovaro and Danaé Laot, </w:t>
      </w:r>
      <w:r w:rsidR="00BC48DA" w:rsidRPr="00065182">
        <w:t>“</w:t>
      </w:r>
      <w:r w:rsidRPr="00065182">
        <w:t>Integrated COVID-19 response for poor urban settings in Phnom Penh: baseline survey report</w:t>
      </w:r>
      <w:r w:rsidR="00BC48DA" w:rsidRPr="00065182">
        <w:t>”</w:t>
      </w:r>
      <w:r w:rsidRPr="00065182">
        <w:t xml:space="preserve"> (2021), p. 35. </w:t>
      </w:r>
    </w:p>
  </w:footnote>
  <w:footnote w:id="48">
    <w:p w14:paraId="7F421D2B"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Statement dated 4 May 2021 by the Labour Advisory Committee of the Ministry of Labour and Vocational Training. </w:t>
      </w:r>
    </w:p>
  </w:footnote>
  <w:footnote w:id="49">
    <w:p w14:paraId="2665F5E1" w14:textId="0A4389EB"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t xml:space="preserve">Alessandra Danovaro and Danaé Laot, </w:t>
      </w:r>
      <w:r w:rsidR="00BC48DA" w:rsidRPr="00065182">
        <w:t>“</w:t>
      </w:r>
      <w:r w:rsidRPr="00065182">
        <w:t>Integrated COVID-19 response for poor urban settings in Phnom Penh: baseline survey report</w:t>
      </w:r>
      <w:r w:rsidR="00BC48DA" w:rsidRPr="00065182">
        <w:t>”</w:t>
      </w:r>
      <w:r w:rsidRPr="00065182">
        <w:t xml:space="preserve"> (2021), p. 36.</w:t>
      </w:r>
    </w:p>
  </w:footnote>
  <w:footnote w:id="50">
    <w:p w14:paraId="30968AF0" w14:textId="45F9AACD" w:rsidR="00657C1B" w:rsidRPr="00065182" w:rsidRDefault="00657C1B" w:rsidP="00B97D31">
      <w:pPr>
        <w:pStyle w:val="FootnoteText"/>
        <w:rPr>
          <w:lang w:val="en-US"/>
        </w:rPr>
      </w:pPr>
      <w:r w:rsidRPr="00065182">
        <w:tab/>
      </w:r>
      <w:r w:rsidRPr="00065182">
        <w:rPr>
          <w:rStyle w:val="FootnoteReference"/>
        </w:rPr>
        <w:footnoteRef/>
      </w:r>
      <w:r w:rsidRPr="00065182">
        <w:tab/>
      </w:r>
      <w:r w:rsidRPr="00065182">
        <w:rPr>
          <w:lang w:val="en-US"/>
        </w:rPr>
        <w:t>Microfinance Index of Market Outreach and Saturation</w:t>
      </w:r>
      <w:r w:rsidRPr="00065182">
        <w:rPr>
          <w:i/>
          <w:iCs/>
        </w:rPr>
        <w:t xml:space="preserve">, </w:t>
      </w:r>
      <w:r w:rsidR="00BC48DA" w:rsidRPr="00065182">
        <w:t>“</w:t>
      </w:r>
      <w:r w:rsidRPr="00065182">
        <w:t xml:space="preserve">Cambodia: </w:t>
      </w:r>
      <w:r w:rsidRPr="00065182">
        <w:rPr>
          <w:lang w:val="en-US"/>
        </w:rPr>
        <w:t>March 2020</w:t>
      </w:r>
      <w:r w:rsidR="00BC48DA" w:rsidRPr="00065182">
        <w:rPr>
          <w:lang w:val="en-US"/>
        </w:rPr>
        <w:t>”</w:t>
      </w:r>
      <w:r w:rsidRPr="00065182">
        <w:rPr>
          <w:lang w:val="en-US"/>
        </w:rPr>
        <w:t>.</w:t>
      </w:r>
    </w:p>
  </w:footnote>
  <w:footnote w:id="51">
    <w:p w14:paraId="1A5CD6A2" w14:textId="77777777" w:rsidR="00657C1B" w:rsidRPr="00065182" w:rsidRDefault="00657C1B" w:rsidP="00B97D31">
      <w:pPr>
        <w:pStyle w:val="FootnoteText"/>
        <w:rPr>
          <w:u w:val="single"/>
        </w:rPr>
      </w:pPr>
      <w:r w:rsidRPr="00065182">
        <w:tab/>
      </w:r>
      <w:r w:rsidRPr="00065182">
        <w:rPr>
          <w:rStyle w:val="FootnoteReference"/>
        </w:rPr>
        <w:footnoteRef/>
      </w:r>
      <w:r w:rsidRPr="00065182">
        <w:t xml:space="preserve"> </w:t>
      </w:r>
      <w:r w:rsidRPr="00065182">
        <w:tab/>
      </w:r>
      <w:r w:rsidRPr="00065182">
        <w:rPr>
          <w:lang w:val="en-US"/>
        </w:rPr>
        <w:t>See https://cambodia.un.org/en/127454-information-note-3-social-assistance-un-cambodias-covid-19-response.</w:t>
      </w:r>
    </w:p>
  </w:footnote>
  <w:footnote w:id="52">
    <w:p w14:paraId="76A2B63A" w14:textId="5DEFD7CC"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r>
      <w:r w:rsidRPr="00065182">
        <w:rPr>
          <w:lang w:val="en-US"/>
        </w:rPr>
        <w:t xml:space="preserve">See www.adb.org/sites/default/files/linked-documents/54195-001-sd-03.pdf. </w:t>
      </w:r>
    </w:p>
  </w:footnote>
  <w:footnote w:id="53">
    <w:p w14:paraId="5B35C3CF"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Resolution 42/37.</w:t>
      </w:r>
    </w:p>
  </w:footnote>
  <w:footnote w:id="54">
    <w:p w14:paraId="38A5B60A" w14:textId="7315EA28" w:rsidR="00657C1B" w:rsidRPr="00065182" w:rsidRDefault="00657C1B" w:rsidP="00B97D31">
      <w:pPr>
        <w:pStyle w:val="FootnoteText"/>
      </w:pPr>
      <w:r w:rsidRPr="00065182">
        <w:tab/>
      </w:r>
      <w:r w:rsidRPr="00065182">
        <w:rPr>
          <w:rStyle w:val="FootnoteReference"/>
        </w:rPr>
        <w:footnoteRef/>
      </w:r>
      <w:r w:rsidRPr="00065182">
        <w:tab/>
        <w:t xml:space="preserve">Letter dated 5 February 2021 from the Mondulkiri </w:t>
      </w:r>
      <w:r w:rsidR="00E376F9" w:rsidRPr="00065182">
        <w:t>Provincial</w:t>
      </w:r>
      <w:r w:rsidRPr="00065182">
        <w:t xml:space="preserve"> Administration addressed to the Minister of the Interior (in Khmer only).</w:t>
      </w:r>
    </w:p>
  </w:footnote>
  <w:footnote w:id="55">
    <w:p w14:paraId="48456F4E" w14:textId="77777777" w:rsidR="00657C1B" w:rsidRPr="00065182" w:rsidRDefault="00657C1B" w:rsidP="00B97D31">
      <w:pPr>
        <w:pStyle w:val="FootnoteText"/>
        <w:rPr>
          <w:kern w:val="36"/>
          <w:szCs w:val="18"/>
          <w:lang w:eastAsia="en-GB" w:bidi="km-KH"/>
        </w:rPr>
      </w:pPr>
      <w:r w:rsidRPr="00065182">
        <w:rPr>
          <w:sz w:val="20"/>
        </w:rPr>
        <w:tab/>
      </w:r>
      <w:r w:rsidRPr="00065182">
        <w:rPr>
          <w:rStyle w:val="FootnoteReference"/>
        </w:rPr>
        <w:footnoteRef/>
      </w:r>
      <w:r w:rsidRPr="00065182">
        <w:rPr>
          <w:sz w:val="20"/>
        </w:rPr>
        <w:tab/>
      </w:r>
      <w:hyperlink r:id="rId26" w:history="1">
        <w:r w:rsidRPr="00065182">
          <w:rPr>
            <w:rStyle w:val="Hyperlink"/>
            <w:color w:val="auto"/>
            <w:szCs w:val="18"/>
          </w:rPr>
          <w:t>Sub-decrees No. 44</w:t>
        </w:r>
      </w:hyperlink>
      <w:r w:rsidRPr="00065182">
        <w:rPr>
          <w:szCs w:val="18"/>
        </w:rPr>
        <w:t xml:space="preserve"> of 27 March 2020,</w:t>
      </w:r>
      <w:r w:rsidRPr="00065182">
        <w:rPr>
          <w:kern w:val="36"/>
          <w:szCs w:val="18"/>
          <w:lang w:eastAsia="en-GB" w:bidi="km-KH"/>
        </w:rPr>
        <w:t xml:space="preserve"> </w:t>
      </w:r>
      <w:hyperlink r:id="rId27" w:history="1">
        <w:r w:rsidRPr="00065182">
          <w:rPr>
            <w:rStyle w:val="Hyperlink"/>
            <w:color w:val="auto"/>
            <w:kern w:val="36"/>
            <w:szCs w:val="18"/>
            <w:lang w:eastAsia="en-GB" w:bidi="km-KH"/>
          </w:rPr>
          <w:t>No. 78</w:t>
        </w:r>
      </w:hyperlink>
      <w:r w:rsidRPr="00065182">
        <w:rPr>
          <w:kern w:val="36"/>
          <w:szCs w:val="18"/>
          <w:lang w:eastAsia="en-GB" w:bidi="km-KH"/>
        </w:rPr>
        <w:t xml:space="preserve"> of 28 May 2020, </w:t>
      </w:r>
      <w:hyperlink r:id="rId28" w:history="1">
        <w:r w:rsidRPr="00065182">
          <w:rPr>
            <w:rStyle w:val="Hyperlink"/>
            <w:color w:val="auto"/>
            <w:kern w:val="36"/>
            <w:szCs w:val="18"/>
            <w:lang w:eastAsia="en-GB" w:bidi="km-KH"/>
          </w:rPr>
          <w:t>No. 97</w:t>
        </w:r>
      </w:hyperlink>
      <w:r w:rsidRPr="00065182">
        <w:rPr>
          <w:kern w:val="36"/>
          <w:szCs w:val="18"/>
          <w:lang w:eastAsia="en-GB" w:bidi="km-KH"/>
        </w:rPr>
        <w:t xml:space="preserve"> of 10 July 2020 and </w:t>
      </w:r>
      <w:hyperlink r:id="rId29" w:history="1">
        <w:r w:rsidRPr="00065182">
          <w:rPr>
            <w:rStyle w:val="Hyperlink"/>
            <w:color w:val="auto"/>
            <w:kern w:val="36"/>
            <w:szCs w:val="18"/>
            <w:lang w:eastAsia="en-GB" w:bidi="km-KH"/>
          </w:rPr>
          <w:t>No.109</w:t>
        </w:r>
      </w:hyperlink>
      <w:r w:rsidRPr="00065182">
        <w:rPr>
          <w:kern w:val="36"/>
          <w:szCs w:val="18"/>
          <w:lang w:eastAsia="en-GB" w:bidi="km-KH"/>
        </w:rPr>
        <w:t xml:space="preserve"> and 17 July 2020 (in Khmer only).</w:t>
      </w:r>
    </w:p>
  </w:footnote>
  <w:footnote w:id="56">
    <w:p w14:paraId="2ACBDCBA" w14:textId="77777777"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r>
      <w:hyperlink r:id="rId30" w:history="1">
        <w:r w:rsidRPr="00065182">
          <w:rPr>
            <w:rStyle w:val="Hyperlink"/>
            <w:color w:val="auto"/>
          </w:rPr>
          <w:t>Sub-decree No. 186</w:t>
        </w:r>
      </w:hyperlink>
      <w:r w:rsidRPr="00065182">
        <w:t xml:space="preserve">, 12 November 2020. </w:t>
      </w:r>
    </w:p>
  </w:footnote>
  <w:footnote w:id="57">
    <w:p w14:paraId="69DF99CB" w14:textId="09CEFFFD"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Sahamakum Teang Tnaut, </w:t>
      </w:r>
      <w:r w:rsidR="00BC48DA" w:rsidRPr="00065182">
        <w:t>“</w:t>
      </w:r>
      <w:hyperlink r:id="rId31" w:history="1">
        <w:r w:rsidRPr="00065182">
          <w:rPr>
            <w:rStyle w:val="Hyperlink"/>
            <w:color w:val="auto"/>
          </w:rPr>
          <w:t>The last lakes</w:t>
        </w:r>
        <w:r w:rsidR="00BC48DA" w:rsidRPr="00065182">
          <w:rPr>
            <w:rStyle w:val="Hyperlink"/>
            <w:color w:val="auto"/>
          </w:rPr>
          <w:t>”</w:t>
        </w:r>
        <w:r w:rsidRPr="00065182">
          <w:rPr>
            <w:rStyle w:val="Hyperlink"/>
            <w:color w:val="auto"/>
          </w:rPr>
          <w:t>,</w:t>
        </w:r>
        <w:r w:rsidRPr="00065182">
          <w:rPr>
            <w:rStyle w:val="Hyperlink"/>
            <w:i/>
            <w:iCs/>
            <w:color w:val="auto"/>
          </w:rPr>
          <w:t xml:space="preserve"> Facts &amp; Figures</w:t>
        </w:r>
        <w:r w:rsidRPr="00065182">
          <w:rPr>
            <w:rStyle w:val="Hyperlink"/>
            <w:color w:val="auto"/>
          </w:rPr>
          <w:t>, No. 40</w:t>
        </w:r>
      </w:hyperlink>
      <w:r w:rsidRPr="00065182">
        <w:t>, December 2019, p. 1. Available at https://teangtnaut.org/wp-content/uploads/2019/12/STT-Facts-and-Figures-40-Last-lakes-_ENG_Final.pdf.</w:t>
      </w:r>
    </w:p>
  </w:footnote>
  <w:footnote w:id="58">
    <w:p w14:paraId="421BF2DD" w14:textId="77777777"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t>Cambodian League for the Promotion and Defense of Human Rights</w:t>
      </w:r>
      <w:r w:rsidRPr="00065182">
        <w:rPr>
          <w:lang w:val="en-US"/>
        </w:rPr>
        <w:t xml:space="preserve">, Cambodian Youth Network, Equitable Cambodia and </w:t>
      </w:r>
      <w:r w:rsidRPr="00065182">
        <w:t xml:space="preserve">Sahmakum Teang Tnaut, </w:t>
      </w:r>
      <w:hyperlink r:id="rId32" w:history="1">
        <w:r w:rsidRPr="00065182">
          <w:rPr>
            <w:rStyle w:val="Hyperlink"/>
            <w:i/>
            <w:iCs/>
            <w:color w:val="auto"/>
            <w:lang w:val="en-US"/>
          </w:rPr>
          <w:t>Smoke on the Water: A Social and Human Rights Impact Assessment of the Destruction of the Tompoun/Cheung Ek Wetlands</w:t>
        </w:r>
      </w:hyperlink>
      <w:r w:rsidRPr="00065182">
        <w:rPr>
          <w:lang w:val="en-US"/>
        </w:rPr>
        <w:t xml:space="preserve">, July 2020. </w:t>
      </w:r>
    </w:p>
  </w:footnote>
  <w:footnote w:id="59">
    <w:p w14:paraId="4540D443"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See communication </w:t>
      </w:r>
      <w:hyperlink r:id="rId33" w:history="1">
        <w:r w:rsidRPr="00065182">
          <w:rPr>
            <w:rStyle w:val="Hyperlink"/>
            <w:color w:val="auto"/>
          </w:rPr>
          <w:t>KHM 11/2020</w:t>
        </w:r>
      </w:hyperlink>
      <w:r w:rsidRPr="00065182">
        <w:t>.</w:t>
      </w:r>
    </w:p>
  </w:footnote>
  <w:footnote w:id="60">
    <w:p w14:paraId="631BEF38" w14:textId="77777777"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t xml:space="preserve">See press statement dated 23 September 2020, available at </w:t>
      </w:r>
      <w:hyperlink r:id="rId34" w:history="1">
        <w:r w:rsidRPr="00065182">
          <w:rPr>
            <w:rStyle w:val="Hyperlink"/>
            <w:color w:val="auto"/>
          </w:rPr>
          <w:t>https://siemreap.gov.kh/detail/9076</w:t>
        </w:r>
      </w:hyperlink>
      <w:r w:rsidRPr="00065182">
        <w:t xml:space="preserve"> (in Khmer only).</w:t>
      </w:r>
    </w:p>
  </w:footnote>
  <w:footnote w:id="61">
    <w:p w14:paraId="41B5323A" w14:textId="77777777"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t>OHCHR interviews with NGOs and land rights activists, 1 October 2020.</w:t>
      </w:r>
    </w:p>
  </w:footnote>
  <w:footnote w:id="62">
    <w:p w14:paraId="5F54B0B6"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r>
      <w:hyperlink r:id="rId35" w:history="1">
        <w:r w:rsidRPr="00065182">
          <w:rPr>
            <w:rStyle w:val="Hyperlink"/>
            <w:color w:val="auto"/>
          </w:rPr>
          <w:t>Sub-decree No. 83</w:t>
        </w:r>
      </w:hyperlink>
      <w:r w:rsidRPr="00065182">
        <w:t xml:space="preserve"> of 9 June 2009. </w:t>
      </w:r>
    </w:p>
  </w:footnote>
  <w:footnote w:id="63">
    <w:p w14:paraId="4F0C278F"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Information provided orally to OHCHR by the Ministry of the Interior, 7 May 2021. </w:t>
      </w:r>
    </w:p>
  </w:footnote>
  <w:footnote w:id="64">
    <w:p w14:paraId="205672F1" w14:textId="77777777" w:rsidR="00657C1B" w:rsidRPr="00065182" w:rsidRDefault="00657C1B" w:rsidP="00B97D31">
      <w:pPr>
        <w:pStyle w:val="FootnoteText"/>
      </w:pPr>
      <w:r w:rsidRPr="00065182">
        <w:tab/>
      </w:r>
      <w:r w:rsidRPr="00065182">
        <w:rPr>
          <w:rStyle w:val="FootnoteReference"/>
        </w:rPr>
        <w:footnoteRef/>
      </w:r>
      <w:r w:rsidRPr="00065182">
        <w:tab/>
        <w:t xml:space="preserve">Report of the </w:t>
      </w:r>
      <w:hyperlink r:id="rId36" w:history="1">
        <w:r w:rsidRPr="00065182">
          <w:rPr>
            <w:rStyle w:val="Hyperlink"/>
            <w:color w:val="auto"/>
          </w:rPr>
          <w:t>Ministry of Land Management, Urban Planning and Construction</w:t>
        </w:r>
      </w:hyperlink>
      <w:r w:rsidRPr="00065182">
        <w:t xml:space="preserve">, February 2021, available at </w:t>
      </w:r>
      <w:hyperlink r:id="rId37" w:history="1">
        <w:r w:rsidRPr="00065182">
          <w:rPr>
            <w:rStyle w:val="Hyperlink"/>
            <w:color w:val="auto"/>
          </w:rPr>
          <w:t>www.mlmupc.gov.kh/?page=document&amp;menu1=214&amp;menu2=292&amp;ref_id=24&amp;ctype=article&amp;id=292&amp;lg=kh</w:t>
        </w:r>
      </w:hyperlink>
      <w:r w:rsidRPr="00065182">
        <w:t xml:space="preserve"> (in Khmer only). </w:t>
      </w:r>
    </w:p>
    <w:p w14:paraId="2F8440CC" w14:textId="77777777" w:rsidR="00657C1B" w:rsidRPr="00065182" w:rsidRDefault="00657C1B" w:rsidP="00B97D31">
      <w:pPr>
        <w:pStyle w:val="FootnoteText"/>
      </w:pPr>
    </w:p>
  </w:footnote>
  <w:footnote w:id="65">
    <w:p w14:paraId="7FB6A341" w14:textId="77777777" w:rsidR="00657C1B" w:rsidRPr="00065182" w:rsidRDefault="00657C1B" w:rsidP="00B97D31">
      <w:pPr>
        <w:pStyle w:val="FootnoteText"/>
        <w:rPr>
          <w:lang w:val="es-ES"/>
        </w:rPr>
      </w:pPr>
      <w:r w:rsidRPr="00065182">
        <w:tab/>
      </w:r>
      <w:r w:rsidRPr="00065182">
        <w:rPr>
          <w:rStyle w:val="FootnoteReference"/>
        </w:rPr>
        <w:footnoteRef/>
      </w:r>
      <w:r w:rsidRPr="00065182">
        <w:rPr>
          <w:lang w:val="es-ES"/>
        </w:rPr>
        <w:tab/>
      </w:r>
      <w:hyperlink r:id="rId38" w:history="1">
        <w:r w:rsidRPr="00065182">
          <w:rPr>
            <w:rStyle w:val="Hyperlink"/>
            <w:color w:val="auto"/>
            <w:lang w:val="es-ES"/>
          </w:rPr>
          <w:t>A/HRC/37/64</w:t>
        </w:r>
      </w:hyperlink>
      <w:r w:rsidRPr="00065182">
        <w:rPr>
          <w:lang w:val="es-ES"/>
        </w:rPr>
        <w:t>, para. 31.</w:t>
      </w:r>
    </w:p>
  </w:footnote>
  <w:footnote w:id="66">
    <w:p w14:paraId="1CA1E9F4" w14:textId="77777777" w:rsidR="00657C1B" w:rsidRPr="00065182" w:rsidRDefault="00657C1B" w:rsidP="00B97D31">
      <w:pPr>
        <w:pStyle w:val="FootnoteText"/>
        <w:rPr>
          <w:lang w:val="es-ES"/>
        </w:rPr>
      </w:pPr>
      <w:r w:rsidRPr="00065182">
        <w:rPr>
          <w:lang w:val="es-ES"/>
        </w:rPr>
        <w:tab/>
      </w:r>
      <w:r w:rsidRPr="00065182">
        <w:rPr>
          <w:rStyle w:val="FootnoteReference"/>
        </w:rPr>
        <w:footnoteRef/>
      </w:r>
      <w:r w:rsidRPr="00065182">
        <w:rPr>
          <w:lang w:val="es-ES"/>
        </w:rPr>
        <w:t xml:space="preserve"> </w:t>
      </w:r>
      <w:r w:rsidRPr="00065182">
        <w:rPr>
          <w:lang w:val="es-ES"/>
        </w:rPr>
        <w:tab/>
      </w:r>
      <w:hyperlink r:id="rId39" w:history="1">
        <w:r w:rsidRPr="00065182">
          <w:rPr>
            <w:rStyle w:val="Hyperlink"/>
            <w:color w:val="auto"/>
            <w:lang w:val="es-ES"/>
          </w:rPr>
          <w:t>A/56/230</w:t>
        </w:r>
      </w:hyperlink>
      <w:r w:rsidRPr="00065182">
        <w:rPr>
          <w:lang w:val="es-ES"/>
        </w:rPr>
        <w:t>, para. 29.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96DEF" w14:textId="77777777" w:rsidR="00B52172" w:rsidRDefault="00B52172" w:rsidP="00B52172">
    <w:pPr>
      <w:pStyle w:val="Header"/>
    </w:pPr>
    <w:r>
      <w:t>A/HRC/48/49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FB94" w14:textId="77777777" w:rsidR="00B52172" w:rsidRDefault="00B52172" w:rsidP="00B52172">
    <w:pPr>
      <w:pStyle w:val="Header"/>
      <w:jc w:val="right"/>
    </w:pPr>
    <w:r>
      <w:t>A/HRC/48/49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96539"/>
    <w:multiLevelType w:val="hybridMultilevel"/>
    <w:tmpl w:val="5D644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694C80"/>
    <w:multiLevelType w:val="hybridMultilevel"/>
    <w:tmpl w:val="E2AED9E8"/>
    <w:lvl w:ilvl="0" w:tplc="757C968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0E333B"/>
    <w:multiLevelType w:val="hybridMultilevel"/>
    <w:tmpl w:val="144E3E00"/>
    <w:lvl w:ilvl="0" w:tplc="1E02A636">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9970FD"/>
    <w:multiLevelType w:val="hybridMultilevel"/>
    <w:tmpl w:val="00D8D56E"/>
    <w:lvl w:ilvl="0" w:tplc="1D6AAFD4">
      <w:start w:val="1"/>
      <w:numFmt w:val="lowerLetter"/>
      <w:lvlText w:val="%1."/>
      <w:lvlJc w:val="left"/>
      <w:pPr>
        <w:ind w:left="1211" w:hanging="360"/>
      </w:pPr>
      <w:rPr>
        <w:rFonts w:hint="default"/>
        <w:sz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0D954887"/>
    <w:multiLevelType w:val="hybridMultilevel"/>
    <w:tmpl w:val="5A48E46A"/>
    <w:lvl w:ilvl="0" w:tplc="E9621AEC">
      <w:start w:val="1"/>
      <w:numFmt w:val="decimal"/>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748482B"/>
    <w:multiLevelType w:val="hybridMultilevel"/>
    <w:tmpl w:val="93C8E5B6"/>
    <w:lvl w:ilvl="0" w:tplc="92DA3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5B7FB4"/>
    <w:multiLevelType w:val="hybridMultilevel"/>
    <w:tmpl w:val="E3ACFF62"/>
    <w:lvl w:ilvl="0" w:tplc="EF4CF0A2">
      <w:start w:val="1"/>
      <w:numFmt w:val="lowerLetter"/>
      <w:lvlText w:val="(%1)"/>
      <w:lvlJc w:val="left"/>
      <w:pPr>
        <w:ind w:left="2580" w:hanging="360"/>
      </w:pPr>
      <w:rPr>
        <w:rFonts w:ascii="Times New Roman" w:eastAsiaTheme="minorHAnsi" w:hAnsi="Times New Roman" w:cs="Times New Roman" w:hint="default"/>
        <w:b/>
        <w:bCs w:val="0"/>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2">
    <w:nsid w:val="21091963"/>
    <w:multiLevelType w:val="hybridMultilevel"/>
    <w:tmpl w:val="BB2C26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677656"/>
    <w:multiLevelType w:val="hybridMultilevel"/>
    <w:tmpl w:val="42B8FA30"/>
    <w:lvl w:ilvl="0" w:tplc="98CEB31C">
      <w:start w:val="1"/>
      <w:numFmt w:val="lowerLetter"/>
      <w:lvlText w:val="(%1)"/>
      <w:lvlJc w:val="left"/>
      <w:pPr>
        <w:ind w:left="1440" w:hanging="360"/>
      </w:pPr>
      <w:rPr>
        <w:rFonts w:ascii="Times New Roman" w:eastAsiaTheme="minorHAnsi" w:hAnsi="Times New Roman" w:cs="Times New Roman" w:hint="default"/>
        <w:b w:val="0"/>
        <w:bCs w:val="0"/>
      </w:rPr>
    </w:lvl>
    <w:lvl w:ilvl="1" w:tplc="133AEB9E">
      <w:numFmt w:val="bullet"/>
      <w:lvlText w:val="-"/>
      <w:lvlJc w:val="left"/>
      <w:pPr>
        <w:ind w:left="2160" w:hanging="360"/>
      </w:pPr>
      <w:rPr>
        <w:rFonts w:ascii="Times New Roman" w:eastAsiaTheme="minorHAns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9724C6"/>
    <w:multiLevelType w:val="hybridMultilevel"/>
    <w:tmpl w:val="E5EC5318"/>
    <w:lvl w:ilvl="0" w:tplc="CD165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00620"/>
    <w:multiLevelType w:val="hybridMultilevel"/>
    <w:tmpl w:val="04A2F712"/>
    <w:lvl w:ilvl="0" w:tplc="303254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651753"/>
    <w:multiLevelType w:val="hybridMultilevel"/>
    <w:tmpl w:val="2F66BAAE"/>
    <w:lvl w:ilvl="0" w:tplc="24A0558E">
      <w:start w:val="1"/>
      <w:numFmt w:val="upperRoman"/>
      <w:lvlText w:val="%1."/>
      <w:lvlJc w:val="left"/>
      <w:pPr>
        <w:ind w:left="1080" w:hanging="720"/>
      </w:pPr>
      <w:rPr>
        <w:rFonts w:hint="default"/>
        <w:b/>
        <w:bCs/>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85C61"/>
    <w:multiLevelType w:val="hybridMultilevel"/>
    <w:tmpl w:val="CFB28E1E"/>
    <w:lvl w:ilvl="0" w:tplc="F6C8FAA2">
      <w:start w:val="1"/>
      <w:numFmt w:val="lowerLetter"/>
      <w:lvlText w:val="%1."/>
      <w:lvlJc w:val="left"/>
      <w:pPr>
        <w:ind w:left="1706" w:hanging="855"/>
      </w:pPr>
      <w:rPr>
        <w:rFonts w:hint="default"/>
        <w:sz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nsid w:val="2E941B14"/>
    <w:multiLevelType w:val="hybridMultilevel"/>
    <w:tmpl w:val="ED7A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E90320"/>
    <w:multiLevelType w:val="hybridMultilevel"/>
    <w:tmpl w:val="306887A2"/>
    <w:lvl w:ilvl="0" w:tplc="C68A576E">
      <w:start w:val="1"/>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B265AE"/>
    <w:multiLevelType w:val="hybridMultilevel"/>
    <w:tmpl w:val="F5229A74"/>
    <w:lvl w:ilvl="0" w:tplc="BD5E6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1C1FE4"/>
    <w:multiLevelType w:val="hybridMultilevel"/>
    <w:tmpl w:val="439E7292"/>
    <w:lvl w:ilvl="0" w:tplc="0316D126">
      <w:start w:val="1"/>
      <w:numFmt w:val="upperLetter"/>
      <w:lvlText w:val="%1."/>
      <w:lvlJc w:val="left"/>
      <w:pPr>
        <w:ind w:left="360"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23">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0B5152"/>
    <w:multiLevelType w:val="hybridMultilevel"/>
    <w:tmpl w:val="E828EF5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6034427"/>
    <w:multiLevelType w:val="hybridMultilevel"/>
    <w:tmpl w:val="49DE24D8"/>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DB45F79"/>
    <w:multiLevelType w:val="hybridMultilevel"/>
    <w:tmpl w:val="24CE4E18"/>
    <w:lvl w:ilvl="0" w:tplc="5F3277DE">
      <w:start w:val="7"/>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7246E4"/>
    <w:multiLevelType w:val="hybridMultilevel"/>
    <w:tmpl w:val="D24E9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9A7C52"/>
    <w:multiLevelType w:val="hybridMultilevel"/>
    <w:tmpl w:val="63EE170C"/>
    <w:lvl w:ilvl="0" w:tplc="86DE8822">
      <w:start w:val="1"/>
      <w:numFmt w:val="decimal"/>
      <w:lvlText w:val="%1."/>
      <w:lvlJc w:val="left"/>
      <w:pPr>
        <w:ind w:left="144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B5E1FC1"/>
    <w:multiLevelType w:val="hybridMultilevel"/>
    <w:tmpl w:val="E828EF5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FBB7116"/>
    <w:multiLevelType w:val="hybridMultilevel"/>
    <w:tmpl w:val="963E2CA0"/>
    <w:lvl w:ilvl="0" w:tplc="7DE05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0"/>
  </w:num>
  <w:num w:numId="3">
    <w:abstractNumId w:val="0"/>
  </w:num>
  <w:num w:numId="4">
    <w:abstractNumId w:val="23"/>
  </w:num>
  <w:num w:numId="5">
    <w:abstractNumId w:val="24"/>
  </w:num>
  <w:num w:numId="6">
    <w:abstractNumId w:val="33"/>
  </w:num>
  <w:num w:numId="7">
    <w:abstractNumId w:val="8"/>
  </w:num>
  <w:num w:numId="8">
    <w:abstractNumId w:val="2"/>
  </w:num>
  <w:num w:numId="9">
    <w:abstractNumId w:val="28"/>
  </w:num>
  <w:num w:numId="10">
    <w:abstractNumId w:val="2"/>
  </w:num>
  <w:num w:numId="11">
    <w:abstractNumId w:val="28"/>
  </w:num>
  <w:num w:numId="12">
    <w:abstractNumId w:val="29"/>
  </w:num>
  <w:num w:numId="13">
    <w:abstractNumId w:val="7"/>
  </w:num>
  <w:num w:numId="14">
    <w:abstractNumId w:val="6"/>
  </w:num>
  <w:num w:numId="15">
    <w:abstractNumId w:val="1"/>
  </w:num>
  <w:num w:numId="16">
    <w:abstractNumId w:val="13"/>
  </w:num>
  <w:num w:numId="17">
    <w:abstractNumId w:val="32"/>
  </w:num>
  <w:num w:numId="18">
    <w:abstractNumId w:val="16"/>
  </w:num>
  <w:num w:numId="19">
    <w:abstractNumId w:val="34"/>
  </w:num>
  <w:num w:numId="20">
    <w:abstractNumId w:val="26"/>
  </w:num>
  <w:num w:numId="21">
    <w:abstractNumId w:val="22"/>
  </w:num>
  <w:num w:numId="22">
    <w:abstractNumId w:val="12"/>
  </w:num>
  <w:num w:numId="23">
    <w:abstractNumId w:val="4"/>
  </w:num>
  <w:num w:numId="24">
    <w:abstractNumId w:val="3"/>
  </w:num>
  <w:num w:numId="25">
    <w:abstractNumId w:val="11"/>
  </w:num>
  <w:num w:numId="26">
    <w:abstractNumId w:val="20"/>
  </w:num>
  <w:num w:numId="27">
    <w:abstractNumId w:val="14"/>
  </w:num>
  <w:num w:numId="28">
    <w:abstractNumId w:val="15"/>
  </w:num>
  <w:num w:numId="29">
    <w:abstractNumId w:val="27"/>
  </w:num>
  <w:num w:numId="30">
    <w:abstractNumId w:val="31"/>
  </w:num>
  <w:num w:numId="31">
    <w:abstractNumId w:val="17"/>
  </w:num>
  <w:num w:numId="32">
    <w:abstractNumId w:val="5"/>
  </w:num>
  <w:num w:numId="33">
    <w:abstractNumId w:val="21"/>
  </w:num>
  <w:num w:numId="34">
    <w:abstractNumId w:val="30"/>
  </w:num>
  <w:num w:numId="35">
    <w:abstractNumId w:val="35"/>
  </w:num>
  <w:num w:numId="36">
    <w:abstractNumId w:val="9"/>
  </w:num>
  <w:num w:numId="37">
    <w:abstractNumId w:val="18"/>
  </w:num>
  <w:num w:numId="38">
    <w:abstractNumId w:val="19"/>
  </w:num>
  <w:num w:numId="39">
    <w:abstractNumId w:val="10"/>
  </w:num>
  <w:num w:numId="40">
    <w:abstractNumId w:val="0"/>
  </w:num>
  <w:num w:numId="41">
    <w:abstractNumId w:val="2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8A522A"/>
    <w:rsid w:val="00046E92"/>
    <w:rsid w:val="00063C90"/>
    <w:rsid w:val="00065182"/>
    <w:rsid w:val="00072607"/>
    <w:rsid w:val="000E1839"/>
    <w:rsid w:val="00101B98"/>
    <w:rsid w:val="0016788C"/>
    <w:rsid w:val="002158A1"/>
    <w:rsid w:val="00227F79"/>
    <w:rsid w:val="00247E2C"/>
    <w:rsid w:val="00251841"/>
    <w:rsid w:val="00264004"/>
    <w:rsid w:val="002A32CB"/>
    <w:rsid w:val="002B319E"/>
    <w:rsid w:val="002D6C53"/>
    <w:rsid w:val="002F5595"/>
    <w:rsid w:val="00334F6A"/>
    <w:rsid w:val="00342AC8"/>
    <w:rsid w:val="0034367A"/>
    <w:rsid w:val="003A2B92"/>
    <w:rsid w:val="003B4550"/>
    <w:rsid w:val="0040017C"/>
    <w:rsid w:val="00461253"/>
    <w:rsid w:val="00486E21"/>
    <w:rsid w:val="004A2814"/>
    <w:rsid w:val="004C0622"/>
    <w:rsid w:val="004D10F9"/>
    <w:rsid w:val="005042C2"/>
    <w:rsid w:val="005C4F37"/>
    <w:rsid w:val="005E716E"/>
    <w:rsid w:val="00657C1B"/>
    <w:rsid w:val="00661076"/>
    <w:rsid w:val="00671529"/>
    <w:rsid w:val="00681E10"/>
    <w:rsid w:val="0070489D"/>
    <w:rsid w:val="0072285C"/>
    <w:rsid w:val="007268F9"/>
    <w:rsid w:val="007C52B0"/>
    <w:rsid w:val="00861B4E"/>
    <w:rsid w:val="00870835"/>
    <w:rsid w:val="00882DAA"/>
    <w:rsid w:val="008A522A"/>
    <w:rsid w:val="008E4722"/>
    <w:rsid w:val="009411B4"/>
    <w:rsid w:val="00962A56"/>
    <w:rsid w:val="009A1A32"/>
    <w:rsid w:val="009D0139"/>
    <w:rsid w:val="009D717D"/>
    <w:rsid w:val="009F5CDC"/>
    <w:rsid w:val="00A43B6A"/>
    <w:rsid w:val="00A658C6"/>
    <w:rsid w:val="00A71A4C"/>
    <w:rsid w:val="00A775CF"/>
    <w:rsid w:val="00AA191B"/>
    <w:rsid w:val="00B06045"/>
    <w:rsid w:val="00B52172"/>
    <w:rsid w:val="00B52EF4"/>
    <w:rsid w:val="00B531B6"/>
    <w:rsid w:val="00B61DFF"/>
    <w:rsid w:val="00B97D31"/>
    <w:rsid w:val="00BC41C8"/>
    <w:rsid w:val="00BC48DA"/>
    <w:rsid w:val="00C03015"/>
    <w:rsid w:val="00C0358D"/>
    <w:rsid w:val="00C30661"/>
    <w:rsid w:val="00C35A27"/>
    <w:rsid w:val="00C47B2E"/>
    <w:rsid w:val="00C51F15"/>
    <w:rsid w:val="00CA1B04"/>
    <w:rsid w:val="00D5722E"/>
    <w:rsid w:val="00E02C2B"/>
    <w:rsid w:val="00E376F9"/>
    <w:rsid w:val="00E427A5"/>
    <w:rsid w:val="00E52109"/>
    <w:rsid w:val="00E75317"/>
    <w:rsid w:val="00EC2011"/>
    <w:rsid w:val="00ED6C48"/>
    <w:rsid w:val="00F17BE4"/>
    <w:rsid w:val="00F30038"/>
    <w:rsid w:val="00F53ED2"/>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A18A3"/>
  <w15:docId w15:val="{F7224A42-BA69-46B4-84AC-108AF5C0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3ED2"/>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53ED2"/>
    <w:pPr>
      <w:spacing w:after="0"/>
      <w:ind w:right="0"/>
      <w:jc w:val="left"/>
      <w:outlineLvl w:val="0"/>
    </w:pPr>
  </w:style>
  <w:style w:type="paragraph" w:styleId="Heading2">
    <w:name w:val="heading 2"/>
    <w:basedOn w:val="Normal"/>
    <w:next w:val="Normal"/>
    <w:link w:val="Heading2Char"/>
    <w:semiHidden/>
    <w:rsid w:val="00F53ED2"/>
    <w:pPr>
      <w:outlineLvl w:val="1"/>
    </w:pPr>
  </w:style>
  <w:style w:type="paragraph" w:styleId="Heading3">
    <w:name w:val="heading 3"/>
    <w:basedOn w:val="Normal"/>
    <w:next w:val="Normal"/>
    <w:link w:val="Heading3Char"/>
    <w:semiHidden/>
    <w:rsid w:val="00F53ED2"/>
    <w:pPr>
      <w:outlineLvl w:val="2"/>
    </w:pPr>
  </w:style>
  <w:style w:type="paragraph" w:styleId="Heading4">
    <w:name w:val="heading 4"/>
    <w:basedOn w:val="Normal"/>
    <w:next w:val="Normal"/>
    <w:link w:val="Heading4Char"/>
    <w:semiHidden/>
    <w:rsid w:val="00F53ED2"/>
    <w:pPr>
      <w:outlineLvl w:val="3"/>
    </w:pPr>
  </w:style>
  <w:style w:type="paragraph" w:styleId="Heading5">
    <w:name w:val="heading 5"/>
    <w:basedOn w:val="Normal"/>
    <w:next w:val="Normal"/>
    <w:link w:val="Heading5Char"/>
    <w:semiHidden/>
    <w:rsid w:val="00F53ED2"/>
    <w:pPr>
      <w:outlineLvl w:val="4"/>
    </w:pPr>
  </w:style>
  <w:style w:type="paragraph" w:styleId="Heading6">
    <w:name w:val="heading 6"/>
    <w:basedOn w:val="Normal"/>
    <w:next w:val="Normal"/>
    <w:link w:val="Heading6Char"/>
    <w:semiHidden/>
    <w:rsid w:val="00F53ED2"/>
    <w:pPr>
      <w:outlineLvl w:val="5"/>
    </w:pPr>
  </w:style>
  <w:style w:type="paragraph" w:styleId="Heading7">
    <w:name w:val="heading 7"/>
    <w:basedOn w:val="Normal"/>
    <w:next w:val="Normal"/>
    <w:link w:val="Heading7Char"/>
    <w:semiHidden/>
    <w:rsid w:val="00F53ED2"/>
    <w:pPr>
      <w:outlineLvl w:val="6"/>
    </w:pPr>
  </w:style>
  <w:style w:type="paragraph" w:styleId="Heading8">
    <w:name w:val="heading 8"/>
    <w:basedOn w:val="Normal"/>
    <w:next w:val="Normal"/>
    <w:link w:val="Heading8Char"/>
    <w:semiHidden/>
    <w:rsid w:val="00F53ED2"/>
    <w:pPr>
      <w:outlineLvl w:val="7"/>
    </w:pPr>
  </w:style>
  <w:style w:type="paragraph" w:styleId="Heading9">
    <w:name w:val="heading 9"/>
    <w:basedOn w:val="Normal"/>
    <w:next w:val="Normal"/>
    <w:link w:val="Heading9Char"/>
    <w:semiHidden/>
    <w:rsid w:val="00F53ED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53ED2"/>
    <w:pPr>
      <w:pBdr>
        <w:bottom w:val="single" w:sz="4" w:space="4" w:color="auto"/>
      </w:pBdr>
    </w:pPr>
    <w:rPr>
      <w:b/>
      <w:sz w:val="18"/>
    </w:rPr>
  </w:style>
  <w:style w:type="character" w:customStyle="1" w:styleId="HeaderChar">
    <w:name w:val="Header Char"/>
    <w:aliases w:val="6_G Char"/>
    <w:basedOn w:val="DefaultParagraphFont"/>
    <w:link w:val="Header"/>
    <w:rsid w:val="00F53ED2"/>
    <w:rPr>
      <w:rFonts w:ascii="Times New Roman" w:hAnsi="Times New Roman" w:cs="Times New Roman"/>
      <w:b/>
      <w:sz w:val="18"/>
      <w:szCs w:val="20"/>
    </w:rPr>
  </w:style>
  <w:style w:type="paragraph" w:styleId="Footer">
    <w:name w:val="footer"/>
    <w:aliases w:val="3_G"/>
    <w:basedOn w:val="Normal"/>
    <w:link w:val="FooterChar"/>
    <w:rsid w:val="00F53ED2"/>
    <w:rPr>
      <w:sz w:val="16"/>
    </w:rPr>
  </w:style>
  <w:style w:type="character" w:customStyle="1" w:styleId="FooterChar">
    <w:name w:val="Footer Char"/>
    <w:aliases w:val="3_G Char"/>
    <w:basedOn w:val="DefaultParagraphFont"/>
    <w:link w:val="Footer"/>
    <w:rsid w:val="00F53ED2"/>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F53ED2"/>
    <w:pPr>
      <w:tabs>
        <w:tab w:val="left" w:pos="1701"/>
        <w:tab w:val="left" w:pos="2268"/>
      </w:tabs>
      <w:spacing w:after="120" w:line="240" w:lineRule="atLeast"/>
      <w:ind w:left="1134" w:right="1134"/>
      <w:jc w:val="both"/>
    </w:pPr>
  </w:style>
  <w:style w:type="paragraph" w:customStyle="1" w:styleId="SLG">
    <w:name w:val="__S_L_G"/>
    <w:basedOn w:val="Normal"/>
    <w:next w:val="Normal"/>
    <w:rsid w:val="00F53ED2"/>
    <w:pPr>
      <w:keepNext/>
      <w:keepLines/>
      <w:spacing w:before="240" w:after="240" w:line="580" w:lineRule="exact"/>
      <w:ind w:left="1134" w:right="1134"/>
    </w:pPr>
    <w:rPr>
      <w:b/>
      <w:sz w:val="56"/>
    </w:rPr>
  </w:style>
  <w:style w:type="paragraph" w:customStyle="1" w:styleId="SMG">
    <w:name w:val="__S_M_G"/>
    <w:basedOn w:val="Normal"/>
    <w:next w:val="Normal"/>
    <w:rsid w:val="00F53ED2"/>
    <w:pPr>
      <w:keepNext/>
      <w:keepLines/>
      <w:spacing w:before="240" w:after="240" w:line="420" w:lineRule="exact"/>
      <w:ind w:left="1134" w:right="1134"/>
    </w:pPr>
    <w:rPr>
      <w:b/>
      <w:sz w:val="40"/>
    </w:rPr>
  </w:style>
  <w:style w:type="paragraph" w:customStyle="1" w:styleId="SSG">
    <w:name w:val="__S_S_G"/>
    <w:basedOn w:val="Normal"/>
    <w:next w:val="Normal"/>
    <w:rsid w:val="00F53ED2"/>
    <w:pPr>
      <w:keepNext/>
      <w:keepLines/>
      <w:spacing w:before="240" w:after="240" w:line="300" w:lineRule="exact"/>
      <w:ind w:left="1134" w:right="1134"/>
    </w:pPr>
    <w:rPr>
      <w:b/>
      <w:sz w:val="28"/>
    </w:rPr>
  </w:style>
  <w:style w:type="paragraph" w:customStyle="1" w:styleId="XLargeG">
    <w:name w:val="__XLarge_G"/>
    <w:basedOn w:val="Normal"/>
    <w:next w:val="Normal"/>
    <w:rsid w:val="00F53ED2"/>
    <w:pPr>
      <w:keepNext/>
      <w:keepLines/>
      <w:spacing w:before="240" w:after="240" w:line="420" w:lineRule="exact"/>
      <w:ind w:left="1134" w:right="1134"/>
    </w:pPr>
    <w:rPr>
      <w:b/>
      <w:sz w:val="40"/>
    </w:rPr>
  </w:style>
  <w:style w:type="paragraph" w:customStyle="1" w:styleId="Bullet1G">
    <w:name w:val="_Bullet 1_G"/>
    <w:basedOn w:val="Normal"/>
    <w:qFormat/>
    <w:rsid w:val="00F53ED2"/>
    <w:pPr>
      <w:numPr>
        <w:numId w:val="38"/>
      </w:numPr>
      <w:spacing w:after="120"/>
      <w:ind w:right="1134"/>
      <w:jc w:val="both"/>
    </w:pPr>
  </w:style>
  <w:style w:type="paragraph" w:customStyle="1" w:styleId="Bullet2G">
    <w:name w:val="_Bullet 2_G"/>
    <w:basedOn w:val="Normal"/>
    <w:qFormat/>
    <w:rsid w:val="00F53ED2"/>
    <w:pPr>
      <w:numPr>
        <w:numId w:val="39"/>
      </w:numPr>
      <w:spacing w:after="120"/>
      <w:ind w:right="1134"/>
      <w:jc w:val="both"/>
    </w:pPr>
  </w:style>
  <w:style w:type="paragraph" w:customStyle="1" w:styleId="ParaNoG">
    <w:name w:val="_ParaNo._G"/>
    <w:basedOn w:val="SingleTxtG"/>
    <w:rsid w:val="00F53ED2"/>
    <w:pPr>
      <w:numPr>
        <w:numId w:val="40"/>
      </w:numPr>
    </w:pPr>
  </w:style>
  <w:style w:type="numbering" w:styleId="111111">
    <w:name w:val="Outline List 2"/>
    <w:basedOn w:val="NoList"/>
    <w:semiHidden/>
    <w:rsid w:val="00F53ED2"/>
    <w:pPr>
      <w:numPr>
        <w:numId w:val="41"/>
      </w:numPr>
    </w:pPr>
  </w:style>
  <w:style w:type="numbering" w:styleId="1ai">
    <w:name w:val="Outline List 1"/>
    <w:basedOn w:val="NoList"/>
    <w:semiHidden/>
    <w:rsid w:val="00F53ED2"/>
    <w:pPr>
      <w:numPr>
        <w:numId w:val="6"/>
      </w:numPr>
    </w:pPr>
  </w:style>
  <w:style w:type="character" w:styleId="EndnoteReference">
    <w:name w:val="endnote reference"/>
    <w:aliases w:val="1_G"/>
    <w:rsid w:val="00F53ED2"/>
    <w:rPr>
      <w:rFonts w:ascii="Times New Roman" w:hAnsi="Times New Roman"/>
      <w:sz w:val="18"/>
      <w:vertAlign w:val="superscript"/>
    </w:rPr>
  </w:style>
  <w:style w:type="paragraph" w:styleId="BalloonText">
    <w:name w:val="Balloon Text"/>
    <w:basedOn w:val="Normal"/>
    <w:link w:val="BalloonTextChar"/>
    <w:uiPriority w:val="99"/>
    <w:semiHidden/>
    <w:unhideWhenUsed/>
    <w:rsid w:val="00F53ED2"/>
    <w:rPr>
      <w:rFonts w:ascii="Tahoma" w:hAnsi="Tahoma" w:cs="Tahoma"/>
      <w:sz w:val="16"/>
      <w:szCs w:val="16"/>
    </w:rPr>
  </w:style>
  <w:style w:type="character" w:customStyle="1" w:styleId="BalloonTextChar">
    <w:name w:val="Balloon Text Char"/>
    <w:basedOn w:val="DefaultParagraphFont"/>
    <w:link w:val="BalloonText"/>
    <w:uiPriority w:val="99"/>
    <w:semiHidden/>
    <w:rsid w:val="00F53ED2"/>
    <w:rPr>
      <w:rFonts w:ascii="Tahoma" w:hAnsi="Tahoma" w:cs="Tahoma"/>
      <w:sz w:val="16"/>
      <w:szCs w:val="16"/>
    </w:rPr>
  </w:style>
  <w:style w:type="paragraph" w:styleId="EndnoteText">
    <w:name w:val="endnote text"/>
    <w:aliases w:val="2_G"/>
    <w:basedOn w:val="FootnoteText"/>
    <w:link w:val="EndnoteTextChar"/>
    <w:rsid w:val="00F53ED2"/>
  </w:style>
  <w:style w:type="character" w:customStyle="1" w:styleId="EndnoteTextChar">
    <w:name w:val="Endnote Text Char"/>
    <w:aliases w:val="2_G Char"/>
    <w:basedOn w:val="DefaultParagraphFont"/>
    <w:link w:val="EndnoteText"/>
    <w:rsid w:val="00F53ED2"/>
    <w:rPr>
      <w:rFonts w:ascii="Times New Roman" w:hAnsi="Times New Roman" w:cs="Times New Roman"/>
      <w:sz w:val="18"/>
      <w:szCs w:val="20"/>
    </w:rPr>
  </w:style>
  <w:style w:type="paragraph" w:styleId="FootnoteText">
    <w:name w:val="footnote text"/>
    <w:aliases w:val="5_G"/>
    <w:basedOn w:val="Normal"/>
    <w:link w:val="FootnoteTextChar"/>
    <w:rsid w:val="00F53ED2"/>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F53ED2"/>
    <w:rPr>
      <w:rFonts w:ascii="Times New Roman" w:hAnsi="Times New Roman" w:cs="Times New Roman"/>
      <w:sz w:val="20"/>
      <w:szCs w:val="20"/>
    </w:rPr>
  </w:style>
  <w:style w:type="character" w:customStyle="1" w:styleId="Heading2Char">
    <w:name w:val="Heading 2 Char"/>
    <w:basedOn w:val="DefaultParagraphFont"/>
    <w:link w:val="Heading2"/>
    <w:semiHidden/>
    <w:rsid w:val="00F53ED2"/>
    <w:rPr>
      <w:rFonts w:ascii="Times New Roman" w:hAnsi="Times New Roman" w:cs="Times New Roman"/>
      <w:sz w:val="20"/>
      <w:szCs w:val="20"/>
    </w:rPr>
  </w:style>
  <w:style w:type="character" w:customStyle="1" w:styleId="Heading3Char">
    <w:name w:val="Heading 3 Char"/>
    <w:basedOn w:val="DefaultParagraphFont"/>
    <w:link w:val="Heading3"/>
    <w:semiHidden/>
    <w:rsid w:val="00F53ED2"/>
    <w:rPr>
      <w:rFonts w:ascii="Times New Roman" w:hAnsi="Times New Roman" w:cs="Times New Roman"/>
      <w:sz w:val="20"/>
      <w:szCs w:val="20"/>
    </w:rPr>
  </w:style>
  <w:style w:type="character" w:customStyle="1" w:styleId="Heading4Char">
    <w:name w:val="Heading 4 Char"/>
    <w:basedOn w:val="DefaultParagraphFont"/>
    <w:link w:val="Heading4"/>
    <w:semiHidden/>
    <w:rsid w:val="00F53ED2"/>
    <w:rPr>
      <w:rFonts w:ascii="Times New Roman" w:hAnsi="Times New Roman" w:cs="Times New Roman"/>
      <w:sz w:val="20"/>
      <w:szCs w:val="20"/>
    </w:rPr>
  </w:style>
  <w:style w:type="character" w:customStyle="1" w:styleId="Heading5Char">
    <w:name w:val="Heading 5 Char"/>
    <w:basedOn w:val="DefaultParagraphFont"/>
    <w:link w:val="Heading5"/>
    <w:semiHidden/>
    <w:rsid w:val="00F53ED2"/>
    <w:rPr>
      <w:rFonts w:ascii="Times New Roman" w:hAnsi="Times New Roman" w:cs="Times New Roman"/>
      <w:sz w:val="20"/>
      <w:szCs w:val="20"/>
    </w:rPr>
  </w:style>
  <w:style w:type="character" w:customStyle="1" w:styleId="Heading6Char">
    <w:name w:val="Heading 6 Char"/>
    <w:basedOn w:val="DefaultParagraphFont"/>
    <w:link w:val="Heading6"/>
    <w:semiHidden/>
    <w:rsid w:val="00F53ED2"/>
    <w:rPr>
      <w:rFonts w:ascii="Times New Roman" w:hAnsi="Times New Roman" w:cs="Times New Roman"/>
      <w:sz w:val="20"/>
      <w:szCs w:val="20"/>
    </w:rPr>
  </w:style>
  <w:style w:type="character" w:customStyle="1" w:styleId="Heading7Char">
    <w:name w:val="Heading 7 Char"/>
    <w:basedOn w:val="DefaultParagraphFont"/>
    <w:link w:val="Heading7"/>
    <w:semiHidden/>
    <w:rsid w:val="00F53ED2"/>
    <w:rPr>
      <w:rFonts w:ascii="Times New Roman" w:hAnsi="Times New Roman" w:cs="Times New Roman"/>
      <w:sz w:val="20"/>
      <w:szCs w:val="20"/>
    </w:rPr>
  </w:style>
  <w:style w:type="character" w:customStyle="1" w:styleId="Heading8Char">
    <w:name w:val="Heading 8 Char"/>
    <w:basedOn w:val="DefaultParagraphFont"/>
    <w:link w:val="Heading8"/>
    <w:semiHidden/>
    <w:rsid w:val="00F53ED2"/>
    <w:rPr>
      <w:rFonts w:ascii="Times New Roman" w:hAnsi="Times New Roman" w:cs="Times New Roman"/>
      <w:sz w:val="20"/>
      <w:szCs w:val="20"/>
    </w:rPr>
  </w:style>
  <w:style w:type="character" w:customStyle="1" w:styleId="Heading9Char">
    <w:name w:val="Heading 9 Char"/>
    <w:basedOn w:val="DefaultParagraphFont"/>
    <w:link w:val="Heading9"/>
    <w:semiHidden/>
    <w:rsid w:val="00F53ED2"/>
    <w:rPr>
      <w:rFonts w:ascii="Times New Roman" w:hAnsi="Times New Roman" w:cs="Times New Roman"/>
      <w:sz w:val="20"/>
      <w:szCs w:val="20"/>
    </w:rPr>
  </w:style>
  <w:style w:type="character" w:styleId="PageNumber">
    <w:name w:val="page number"/>
    <w:aliases w:val="7_G"/>
    <w:rsid w:val="00F53ED2"/>
    <w:rPr>
      <w:rFonts w:ascii="Times New Roman" w:hAnsi="Times New Roman"/>
      <w:b/>
      <w:sz w:val="18"/>
    </w:rPr>
  </w:style>
  <w:style w:type="character" w:customStyle="1" w:styleId="FootnoteTextChar">
    <w:name w:val="Footnote Text Char"/>
    <w:aliases w:val="5_G Char"/>
    <w:basedOn w:val="DefaultParagraphFont"/>
    <w:link w:val="FootnoteText"/>
    <w:rsid w:val="00F53ED2"/>
    <w:rPr>
      <w:rFonts w:ascii="Times New Roman" w:hAnsi="Times New Roman" w:cs="Times New Roman"/>
      <w:sz w:val="18"/>
      <w:szCs w:val="20"/>
    </w:rPr>
  </w:style>
  <w:style w:type="character" w:styleId="FootnoteReference">
    <w:name w:val="footnote reference"/>
    <w:aliases w:val="4_G"/>
    <w:rsid w:val="00F53ED2"/>
    <w:rPr>
      <w:rFonts w:ascii="Times New Roman" w:hAnsi="Times New Roman"/>
      <w:sz w:val="18"/>
      <w:vertAlign w:val="superscript"/>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F53ED2"/>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har">
    <w:name w:val="_ Single Txt_G Char"/>
    <w:link w:val="SingleTxtG"/>
    <w:rsid w:val="00657C1B"/>
    <w:rPr>
      <w:rFonts w:ascii="Times New Roman" w:hAnsi="Times New Roman" w:cs="Times New Roman"/>
      <w:sz w:val="20"/>
      <w:szCs w:val="20"/>
    </w:rPr>
  </w:style>
  <w:style w:type="paragraph" w:styleId="ListParagraph">
    <w:name w:val="List Paragraph"/>
    <w:basedOn w:val="Normal"/>
    <w:uiPriority w:val="34"/>
    <w:qFormat/>
    <w:rsid w:val="00657C1B"/>
    <w:pPr>
      <w:ind w:left="720"/>
      <w:contextualSpacing/>
    </w:pPr>
    <w:rPr>
      <w:rFonts w:eastAsia="Times New Roman"/>
    </w:rPr>
  </w:style>
  <w:style w:type="paragraph" w:styleId="Revision">
    <w:name w:val="Revision"/>
    <w:hidden/>
    <w:uiPriority w:val="99"/>
    <w:semiHidden/>
    <w:rsid w:val="00657C1B"/>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notes.xml.rels><?xml version="1.0" encoding="UTF-8" standalone="yes"?>
<Relationships xmlns="http://schemas.openxmlformats.org/package/2006/relationships"><Relationship Id="rId20" Type="http://schemas.openxmlformats.org/officeDocument/2006/relationships/hyperlink" Target="https://spcommreports.ohchr.org/TMResultsBase/DownLoadPublicCommunicationFile?gId=26370" TargetMode="External"/><Relationship Id="rId21" Type="http://schemas.openxmlformats.org/officeDocument/2006/relationships/hyperlink" Target="https://spcommreports.ohchr.org/TMResultsBase/DownLoadPublicCommunicationFile?gId=25225" TargetMode="External"/><Relationship Id="rId22" Type="http://schemas.openxmlformats.org/officeDocument/2006/relationships/hyperlink" Target="https://www.ohchr.org/EN/NewsEvents/Pages/DisplayNews.aspx?NewsID=27070&amp;LangID=E" TargetMode="External"/><Relationship Id="rId23" Type="http://schemas.openxmlformats.org/officeDocument/2006/relationships/hyperlink" Target="https://undocs.org/A/HRC/45/51" TargetMode="External"/><Relationship Id="rId24" Type="http://schemas.openxmlformats.org/officeDocument/2006/relationships/hyperlink" Target="https://spcommreports.ohchr.org/TMResultsBase/DownLoadPublicCommunicationFile?gId=25752" TargetMode="External"/><Relationship Id="rId25" Type="http://schemas.openxmlformats.org/officeDocument/2006/relationships/hyperlink" Target="https://cambodia.ohchr.org/sites/default/files/Ohchr-report/Annual%20Report%20of%20OHCHR%202020%20%28EN%29.pdf" TargetMode="External"/><Relationship Id="rId26" Type="http://schemas.openxmlformats.org/officeDocument/2006/relationships/hyperlink" Target="https://data.opendevelopmentmekong.net/laws_record/sub-decree-no-44-on-the-ceding-of-24-66-hectares-of-land-located-in-preah-sihanouk-city-and-50-64-h" TargetMode="External"/><Relationship Id="rId27" Type="http://schemas.openxmlformats.org/officeDocument/2006/relationships/hyperlink" Target="https://data.thailand.opendevelopmentmekong.net/en/laws_record/sub-decree-no-78-on-the-clearing-of-21-hectares-35-acres-52-centi-acres-of-land-in-village-3-sangka" TargetMode="External"/><Relationship Id="rId28" Type="http://schemas.openxmlformats.org/officeDocument/2006/relationships/hyperlink" Target="https://data.opendevelopmentcambodia.net/laws_record/sub-decree-on-the-conduct-and-organization-of-the-securities-and-exchange-commission-of-cambodia" TargetMode="External"/><Relationship Id="rId29" Type="http://schemas.openxmlformats.org/officeDocument/2006/relationships/hyperlink" Target="https://data.opendevelopmentcambodia.net/laws_record/sub-decree-no-109-on-cutting-donating-and-reserving-11928897-hectares-of-elc-in-ratanak-kiri-provin" TargetMode="External"/><Relationship Id="rId1" Type="http://schemas.openxmlformats.org/officeDocument/2006/relationships/hyperlink" Target="https://www.ohchr.org/Documents/AboutUs/Evaluation/Evaluation_Cambodia_Country_Programme_2017-2020_August2020.pdf" TargetMode="External"/><Relationship Id="rId2" Type="http://schemas.openxmlformats.org/officeDocument/2006/relationships/hyperlink" Target="https://reliefweb.int/sites/reliefweb.int/files/resources/rapid_assessment_lockdown_report_final_03052021.pdf" TargetMode="External"/><Relationship Id="rId3" Type="http://schemas.openxmlformats.org/officeDocument/2006/relationships/hyperlink" Target="https://cambodia.ohchr.org/sites/default/files/Ohchr-report/Annual%20Report%20of%20OHCHR%202020%20%28EN%29.pdf" TargetMode="External"/><Relationship Id="rId4" Type="http://schemas.openxmlformats.org/officeDocument/2006/relationships/hyperlink" Target="https://undocs.org/en/A/HRC/RES/42/37" TargetMode="External"/><Relationship Id="rId5" Type="http://schemas.openxmlformats.org/officeDocument/2006/relationships/hyperlink" Target="https://cambodia.ohchr.org/en/news/long-prison-terms-former-opposition-leaders-appalling-say-un-experts." TargetMode="External"/><Relationship Id="rId30" Type="http://schemas.openxmlformats.org/officeDocument/2006/relationships/hyperlink" Target="https://data.opendevelopmentcambodia.net/laws_record/sub-decree-no-186" TargetMode="External"/><Relationship Id="rId31" Type="http://schemas.openxmlformats.org/officeDocument/2006/relationships/hyperlink" Target="https://teangtnaut.org/wp-content/uploads/2019/12/STT-Facts-and-Figures-40-Last-lakes-_ENG_Final.pdf" TargetMode="External"/><Relationship Id="rId32" Type="http://schemas.openxmlformats.org/officeDocument/2006/relationships/hyperlink" Target="https://www.licadho-cambodia.org/reports/files/231Smoke%20on%20the%20Water_Eng_Final..pdf" TargetMode="External"/><Relationship Id="rId9" Type="http://schemas.openxmlformats.org/officeDocument/2006/relationships/hyperlink" Target="https://spcommreports.ohchr.org/TMResultsBase/DownLoadPublicCommunicationFile?gId=25647" TargetMode="External"/><Relationship Id="rId6" Type="http://schemas.openxmlformats.org/officeDocument/2006/relationships/hyperlink" Target="https://undocs.org/en/A/HRC/RES/42/37" TargetMode="External"/><Relationship Id="rId7" Type="http://schemas.openxmlformats.org/officeDocument/2006/relationships/hyperlink" Target="https://spcommreports.ohchr.org/TMResultsBase/DownLoadPublicCommunicationFile?gId=25350" TargetMode="External"/><Relationship Id="rId8" Type="http://schemas.openxmlformats.org/officeDocument/2006/relationships/hyperlink" Target="https://spcommreports.ohchr.org/TMResultsBase/DownLoadPublicCommunicationFile?gId=25433" TargetMode="External"/><Relationship Id="rId33" Type="http://schemas.openxmlformats.org/officeDocument/2006/relationships/hyperlink" Target="https://spcommreports.ohchr.org/TMResultsBase/DownLoadPublicCommunicationFile?gId=25774" TargetMode="External"/><Relationship Id="rId34" Type="http://schemas.openxmlformats.org/officeDocument/2006/relationships/hyperlink" Target="https://siemreap.gov.kh/detail/9076" TargetMode="External"/><Relationship Id="rId35" Type="http://schemas.openxmlformats.org/officeDocument/2006/relationships/hyperlink" Target="https://data.opendevelopmentmekong.net/en/laws_record/sub-decree-no-83-on-procedure-of-indigenous-communal-land-registration" TargetMode="External"/><Relationship Id="rId36" Type="http://schemas.openxmlformats.org/officeDocument/2006/relationships/hyperlink" Target="http://www.mlmupc.gov.kh/?page=document&amp;menu1=214&amp;menu2=292&amp;ref_id=24&amp;ctype=article&amp;id=292&amp;lg=kh" TargetMode="External"/><Relationship Id="rId10" Type="http://schemas.openxmlformats.org/officeDocument/2006/relationships/hyperlink" Target="https://www.business-humanrights.org/en/latest-news/cambodia-garment-workers-protest-unpaid-wages-as-covid-19-disrupts-supply-chains/" TargetMode="External"/><Relationship Id="rId11" Type="http://schemas.openxmlformats.org/officeDocument/2006/relationships/hyperlink" Target="https://spcommreports.ohchr.org/TMResultsBase/DownLoadPublicCommunicationFile?gId=25497" TargetMode="External"/><Relationship Id="rId12" Type="http://schemas.openxmlformats.org/officeDocument/2006/relationships/hyperlink" Target="https://spcommreports.ohchr.org/TMResultsBase/DownLoadPublicCommunicationFile?gId=25670" TargetMode="External"/><Relationship Id="rId13" Type="http://schemas.openxmlformats.org/officeDocument/2006/relationships/hyperlink" Target="https://cambodia.ohchr.org/sites/default/files/Ohchr-report/Annual%20Report%20of%20OHCHR%202020%20%28EN%29.pdf" TargetMode="External"/><Relationship Id="rId14" Type="http://schemas.openxmlformats.org/officeDocument/2006/relationships/hyperlink" Target="https://spcommreports.ohchr.org/TMResultsBase/DownLoadPublicCommunicationFile?gId=25670" TargetMode="External"/><Relationship Id="rId15" Type="http://schemas.openxmlformats.org/officeDocument/2006/relationships/hyperlink" Target="https://spcommreports.ohchr.org/TMResultsBase/DownLoadPublicCommunicationFile?gId=25296" TargetMode="External"/><Relationship Id="rId16" Type="http://schemas.openxmlformats.org/officeDocument/2006/relationships/hyperlink" Target="https://undocs.org/A/HRC/WGAD/2019/3" TargetMode="External"/><Relationship Id="rId17" Type="http://schemas.openxmlformats.org/officeDocument/2006/relationships/hyperlink" Target="https://undocs.org/en/A/HRC/RES/42/37" TargetMode="External"/><Relationship Id="rId18" Type="http://schemas.openxmlformats.org/officeDocument/2006/relationships/hyperlink" Target="https://cambodia.ohchr.org/sites/default/files/Ohchr-report/A-HRC-27-43_en.pdf" TargetMode="External"/><Relationship Id="rId19" Type="http://schemas.openxmlformats.org/officeDocument/2006/relationships/hyperlink" Target="https://spcommreports.ohchr.org/TMResultsBase/DownLoadPublicCommunicationFile?gId=26266" TargetMode="External"/><Relationship Id="rId37" Type="http://schemas.openxmlformats.org/officeDocument/2006/relationships/hyperlink" Target="http://www.mlmupc.gov.kh/?page=document&amp;menu1=214&amp;menu2=292&amp;ref_id=24&amp;ctype=article&amp;id=292&amp;lg=kh" TargetMode="External"/><Relationship Id="rId38" Type="http://schemas.openxmlformats.org/officeDocument/2006/relationships/hyperlink" Target="https://cambodia.ohchr.org/sites/default/files/Ohchr-report/G1802262.pdf" TargetMode="External"/><Relationship Id="rId39" Type="http://schemas.openxmlformats.org/officeDocument/2006/relationships/hyperlink" Target="https://cambodia.ohchr.org/sites/default/files/Ohchr-report/A_HRC_CMB31072001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7FE6-3E12-43BD-9D49-E93F17704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B8C84-99BB-40A8-801D-852837FFB5AB}">
  <ds:schemaRefs>
    <ds:schemaRef ds:uri="http://schemas.microsoft.com/sharepoint/v3/contenttype/forms"/>
  </ds:schemaRefs>
</ds:datastoreItem>
</file>

<file path=customXml/itemProps3.xml><?xml version="1.0" encoding="utf-8"?>
<ds:datastoreItem xmlns:ds="http://schemas.openxmlformats.org/officeDocument/2006/customXml" ds:itemID="{503C18C8-2001-4D68-B447-A6E2F1EF7F8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4D4D11F-FF95-094B-B68C-2CF3F391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Compatibility\COVERPAGES\A.dotm</Template>
  <TotalTime>1</TotalTime>
  <Pages>15</Pages>
  <Words>7785</Words>
  <Characters>44377</Characters>
  <Application>Microsoft Macintosh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A/HRC/48/49</vt:lpstr>
    </vt:vector>
  </TitlesOfParts>
  <Company>DCM</Company>
  <LinksUpToDate>false</LinksUpToDate>
  <CharactersWithSpaces>52058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achievements of the Office of the United Nations High Commissioner for Human Rights in assisting the Government and people of Cambodia in the promotion and protection of human rights – Report of the Secretary-General </dc:title>
  <dc:subject>2109176</dc:subject>
  <dc:creator>AVT</dc:creator>
  <cp:keywords/>
  <dc:description/>
  <cp:lastModifiedBy>Piseth Duch</cp:lastModifiedBy>
  <cp:revision>2</cp:revision>
  <dcterms:created xsi:type="dcterms:W3CDTF">2021-10-18T06:12:00Z</dcterms:created>
  <dcterms:modified xsi:type="dcterms:W3CDTF">2021-10-18T06:12:00Z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