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F1616" w:rsidRPr="00D75FF1" w14:paraId="67F5A2E1" w14:textId="77777777">
        <w:trPr>
          <w:cantSplit/>
          <w:trHeight w:hRule="exact" w:val="851"/>
        </w:trPr>
        <w:tc>
          <w:tcPr>
            <w:tcW w:w="1276" w:type="dxa"/>
            <w:tcBorders>
              <w:bottom w:val="single" w:sz="4" w:space="0" w:color="auto"/>
            </w:tcBorders>
            <w:vAlign w:val="bottom"/>
          </w:tcPr>
          <w:p w14:paraId="19626BB9" w14:textId="77777777" w:rsidR="006A4374" w:rsidRDefault="006A4374">
            <w:pPr>
              <w:spacing w:after="80"/>
            </w:pPr>
          </w:p>
        </w:tc>
        <w:tc>
          <w:tcPr>
            <w:tcW w:w="2268" w:type="dxa"/>
            <w:tcBorders>
              <w:bottom w:val="single" w:sz="4" w:space="0" w:color="auto"/>
            </w:tcBorders>
            <w:vAlign w:val="bottom"/>
          </w:tcPr>
          <w:p w14:paraId="6FCB654E" w14:textId="77777777" w:rsidR="006A4374" w:rsidRPr="00D75FF1" w:rsidRDefault="006A4374">
            <w:pPr>
              <w:spacing w:after="80" w:line="300" w:lineRule="exact"/>
              <w:rPr>
                <w:b/>
                <w:sz w:val="24"/>
                <w:szCs w:val="24"/>
              </w:rPr>
            </w:pPr>
          </w:p>
        </w:tc>
        <w:tc>
          <w:tcPr>
            <w:tcW w:w="6095" w:type="dxa"/>
            <w:gridSpan w:val="2"/>
            <w:tcBorders>
              <w:bottom w:val="single" w:sz="4" w:space="0" w:color="auto"/>
            </w:tcBorders>
            <w:vAlign w:val="bottom"/>
          </w:tcPr>
          <w:p w14:paraId="68FA5E04" w14:textId="69AF3D91" w:rsidR="006A4374" w:rsidRPr="00D75FF1" w:rsidRDefault="003C2539">
            <w:pPr>
              <w:suppressAutoHyphens w:val="0"/>
              <w:spacing w:after="20"/>
              <w:jc w:val="right"/>
            </w:pPr>
            <w:r w:rsidRPr="00D75FF1">
              <w:rPr>
                <w:sz w:val="40"/>
              </w:rPr>
              <w:t>E</w:t>
            </w:r>
            <w:r w:rsidRPr="00D75FF1">
              <w:t>/C.12/KHM/CO/2</w:t>
            </w:r>
          </w:p>
        </w:tc>
      </w:tr>
      <w:tr w:rsidR="00CF1616" w:rsidRPr="00D75FF1" w14:paraId="73EA2E7E" w14:textId="77777777">
        <w:trPr>
          <w:cantSplit/>
          <w:trHeight w:hRule="exact" w:val="2835"/>
        </w:trPr>
        <w:tc>
          <w:tcPr>
            <w:tcW w:w="1276" w:type="dxa"/>
            <w:tcBorders>
              <w:top w:val="single" w:sz="4" w:space="0" w:color="auto"/>
              <w:bottom w:val="single" w:sz="12" w:space="0" w:color="auto"/>
            </w:tcBorders>
          </w:tcPr>
          <w:p w14:paraId="5576935D" w14:textId="77777777" w:rsidR="006A4374" w:rsidRPr="00D75FF1" w:rsidRDefault="006A4374">
            <w:pPr>
              <w:spacing w:before="120"/>
              <w:jc w:val="center"/>
            </w:pPr>
          </w:p>
        </w:tc>
        <w:tc>
          <w:tcPr>
            <w:tcW w:w="5528" w:type="dxa"/>
            <w:gridSpan w:val="2"/>
            <w:tcBorders>
              <w:top w:val="single" w:sz="4" w:space="0" w:color="auto"/>
              <w:bottom w:val="single" w:sz="12" w:space="0" w:color="auto"/>
            </w:tcBorders>
          </w:tcPr>
          <w:p w14:paraId="032DE224" w14:textId="77777777" w:rsidR="00651E0D" w:rsidRDefault="00651E0D" w:rsidP="00651E0D">
            <w:pPr>
              <w:spacing w:before="120" w:line="420" w:lineRule="exact"/>
              <w:rPr>
                <w:b/>
                <w:sz w:val="34"/>
                <w:szCs w:val="34"/>
              </w:rPr>
            </w:pPr>
            <w:r>
              <w:rPr>
                <w:b/>
                <w:sz w:val="34"/>
                <w:szCs w:val="34"/>
              </w:rPr>
              <w:t>Advance Unedited Version</w:t>
            </w:r>
          </w:p>
          <w:p w14:paraId="410039C4" w14:textId="77777777" w:rsidR="006A4374" w:rsidRPr="00D75FF1" w:rsidRDefault="006A4374" w:rsidP="009218CA">
            <w:pPr>
              <w:spacing w:before="120" w:line="420" w:lineRule="exact"/>
            </w:pPr>
          </w:p>
        </w:tc>
        <w:tc>
          <w:tcPr>
            <w:tcW w:w="2835" w:type="dxa"/>
            <w:tcBorders>
              <w:top w:val="single" w:sz="4" w:space="0" w:color="auto"/>
              <w:bottom w:val="single" w:sz="12" w:space="0" w:color="auto"/>
            </w:tcBorders>
          </w:tcPr>
          <w:p w14:paraId="40B4EC05" w14:textId="02D9D8A5" w:rsidR="006A4374" w:rsidRPr="00D75FF1" w:rsidRDefault="003C2539">
            <w:pPr>
              <w:suppressAutoHyphens w:val="0"/>
              <w:spacing w:before="240" w:line="240" w:lineRule="exact"/>
            </w:pPr>
            <w:r w:rsidRPr="00D75FF1">
              <w:t xml:space="preserve">Distr.: </w:t>
            </w:r>
            <w:r w:rsidR="00C94043">
              <w:t>General</w:t>
            </w:r>
          </w:p>
          <w:p w14:paraId="77CF5128" w14:textId="4CF8A68E" w:rsidR="006A4374" w:rsidRPr="00D75FF1" w:rsidRDefault="006B7BA3">
            <w:pPr>
              <w:suppressAutoHyphens w:val="0"/>
            </w:pPr>
            <w:r>
              <w:t>3</w:t>
            </w:r>
            <w:r w:rsidR="003A3F57">
              <w:t xml:space="preserve"> </w:t>
            </w:r>
            <w:r>
              <w:t>March</w:t>
            </w:r>
            <w:r w:rsidR="003A3F57">
              <w:t xml:space="preserve"> 2023</w:t>
            </w:r>
          </w:p>
          <w:p w14:paraId="67696776" w14:textId="77777777" w:rsidR="006A4374" w:rsidRPr="00D75FF1" w:rsidRDefault="006A4374">
            <w:pPr>
              <w:suppressAutoHyphens w:val="0"/>
            </w:pPr>
          </w:p>
          <w:p w14:paraId="5BC01B75" w14:textId="3CC289F0" w:rsidR="006A4374" w:rsidRPr="00D75FF1" w:rsidRDefault="003C2539">
            <w:pPr>
              <w:suppressAutoHyphens w:val="0"/>
            </w:pPr>
            <w:r w:rsidRPr="00D75FF1">
              <w:t>Original: English</w:t>
            </w:r>
          </w:p>
        </w:tc>
      </w:tr>
    </w:tbl>
    <w:p w14:paraId="7A06938D" w14:textId="77777777" w:rsidR="006A4374" w:rsidRPr="00D75FF1" w:rsidRDefault="003C2539">
      <w:pPr>
        <w:spacing w:before="120"/>
        <w:rPr>
          <w:b/>
          <w:sz w:val="24"/>
        </w:rPr>
      </w:pPr>
      <w:r w:rsidRPr="00D75FF1">
        <w:rPr>
          <w:b/>
          <w:sz w:val="24"/>
        </w:rPr>
        <w:t>Committee on Economic, Social and Cultural Rights</w:t>
      </w:r>
    </w:p>
    <w:p w14:paraId="46B9242C" w14:textId="2B13769B" w:rsidR="006A4374" w:rsidRPr="00D75FF1" w:rsidRDefault="003C2539" w:rsidP="009A23E8">
      <w:pPr>
        <w:pStyle w:val="HMG"/>
      </w:pPr>
      <w:r w:rsidRPr="00D75FF1">
        <w:tab/>
      </w:r>
      <w:r w:rsidRPr="00D75FF1">
        <w:tab/>
      </w:r>
      <w:bookmarkStart w:id="0" w:name="_GoBack"/>
      <w:r w:rsidRPr="00D75FF1">
        <w:t>Concluding observations on the second periodic report of Cambodia</w:t>
      </w:r>
      <w:bookmarkEnd w:id="0"/>
      <w:r w:rsidR="006B7BA3" w:rsidRPr="00460E0E">
        <w:rPr>
          <w:rStyle w:val="FootnoteReference"/>
          <w:b w:val="0"/>
          <w:bCs/>
          <w:sz w:val="20"/>
        </w:rPr>
        <w:footnoteReference w:customMarkFollows="1" w:id="2"/>
        <w:t>*</w:t>
      </w:r>
    </w:p>
    <w:p w14:paraId="682A335B" w14:textId="77777777" w:rsidR="00DC46C2" w:rsidRPr="00D75FF1" w:rsidRDefault="00DC46C2" w:rsidP="00EB4DCD">
      <w:pPr>
        <w:pStyle w:val="SingleTxtG"/>
        <w:numPr>
          <w:ilvl w:val="0"/>
          <w:numId w:val="28"/>
        </w:numPr>
        <w:tabs>
          <w:tab w:val="clear" w:pos="1701"/>
          <w:tab w:val="clear" w:pos="2268"/>
          <w:tab w:val="clear" w:pos="2835"/>
        </w:tabs>
        <w:ind w:left="1134" w:firstLine="0"/>
        <w:rPr>
          <w:bCs/>
        </w:rPr>
      </w:pPr>
      <w:bookmarkStart w:id="1" w:name="_Hlk122025014"/>
      <w:r w:rsidRPr="00D75FF1">
        <w:rPr>
          <w:bCs/>
        </w:rPr>
        <w:t xml:space="preserve">The Committee considered the </w:t>
      </w:r>
      <w:r w:rsidR="00030659" w:rsidRPr="00D75FF1">
        <w:rPr>
          <w:bCs/>
        </w:rPr>
        <w:t>second</w:t>
      </w:r>
      <w:r w:rsidRPr="00D75FF1">
        <w:rPr>
          <w:bCs/>
        </w:rPr>
        <w:t xml:space="preserve"> periodic report of </w:t>
      </w:r>
      <w:r w:rsidR="00030659" w:rsidRPr="00D75FF1">
        <w:rPr>
          <w:bCs/>
        </w:rPr>
        <w:t>Cambodia</w:t>
      </w:r>
      <w:r w:rsidRPr="00D75FF1">
        <w:rPr>
          <w:rStyle w:val="FootnoteReference"/>
          <w:bCs/>
          <w:sz w:val="20"/>
        </w:rPr>
        <w:footnoteReference w:id="3"/>
      </w:r>
      <w:r w:rsidRPr="00D75FF1">
        <w:rPr>
          <w:bCs/>
        </w:rPr>
        <w:t xml:space="preserve"> at its </w:t>
      </w:r>
      <w:r w:rsidR="00A97B4D" w:rsidRPr="00D75FF1">
        <w:rPr>
          <w:bCs/>
        </w:rPr>
        <w:t>13</w:t>
      </w:r>
      <w:r w:rsidR="00A97B4D" w:rsidRPr="00801A25">
        <w:rPr>
          <w:bCs/>
          <w:vertAlign w:val="superscript"/>
        </w:rPr>
        <w:t>th</w:t>
      </w:r>
      <w:r w:rsidR="00801A25">
        <w:rPr>
          <w:bCs/>
        </w:rPr>
        <w:t xml:space="preserve"> </w:t>
      </w:r>
      <w:r w:rsidRPr="00D75FF1">
        <w:rPr>
          <w:bCs/>
        </w:rPr>
        <w:t xml:space="preserve">and </w:t>
      </w:r>
      <w:r w:rsidR="00A97B4D" w:rsidRPr="00D75FF1">
        <w:rPr>
          <w:bCs/>
        </w:rPr>
        <w:t>1</w:t>
      </w:r>
      <w:r w:rsidR="007E01C7" w:rsidRPr="00D75FF1">
        <w:rPr>
          <w:bCs/>
        </w:rPr>
        <w:t>5</w:t>
      </w:r>
      <w:r w:rsidR="00A97B4D" w:rsidRPr="00801A25">
        <w:rPr>
          <w:bCs/>
          <w:vertAlign w:val="superscript"/>
        </w:rPr>
        <w:t>th</w:t>
      </w:r>
      <w:r w:rsidR="00801A25">
        <w:rPr>
          <w:bCs/>
        </w:rPr>
        <w:t xml:space="preserve"> </w:t>
      </w:r>
      <w:r w:rsidRPr="00D75FF1">
        <w:rPr>
          <w:bCs/>
        </w:rPr>
        <w:t>meetings</w:t>
      </w:r>
      <w:r w:rsidRPr="00D75FF1">
        <w:rPr>
          <w:rStyle w:val="FootnoteReference"/>
          <w:bCs/>
          <w:sz w:val="20"/>
        </w:rPr>
        <w:footnoteReference w:id="4"/>
      </w:r>
      <w:r w:rsidRPr="00D75FF1">
        <w:rPr>
          <w:bCs/>
        </w:rPr>
        <w:t xml:space="preserve"> held on </w:t>
      </w:r>
      <w:bookmarkStart w:id="5" w:name="_Hlk122024849"/>
      <w:r w:rsidR="00A97B4D" w:rsidRPr="00D75FF1">
        <w:rPr>
          <w:bCs/>
        </w:rPr>
        <w:t>21</w:t>
      </w:r>
      <w:r w:rsidRPr="00D75FF1">
        <w:rPr>
          <w:bCs/>
        </w:rPr>
        <w:t xml:space="preserve"> and </w:t>
      </w:r>
      <w:r w:rsidR="00A97B4D" w:rsidRPr="00D75FF1">
        <w:rPr>
          <w:bCs/>
        </w:rPr>
        <w:t>22</w:t>
      </w:r>
      <w:r w:rsidRPr="00D75FF1">
        <w:rPr>
          <w:bCs/>
        </w:rPr>
        <w:t xml:space="preserve"> </w:t>
      </w:r>
      <w:bookmarkStart w:id="6" w:name="_Hlk122024628"/>
      <w:bookmarkStart w:id="7" w:name="_Hlk122025812"/>
      <w:r w:rsidR="00A97B4D" w:rsidRPr="00D75FF1">
        <w:rPr>
          <w:bCs/>
        </w:rPr>
        <w:t>February 2023</w:t>
      </w:r>
      <w:bookmarkEnd w:id="6"/>
      <w:r w:rsidRPr="00D75FF1">
        <w:rPr>
          <w:bCs/>
        </w:rPr>
        <w:t xml:space="preserve">, and adopted the present concluding observations at its </w:t>
      </w:r>
      <w:r w:rsidR="00A97B4D" w:rsidRPr="00D75FF1">
        <w:rPr>
          <w:bCs/>
        </w:rPr>
        <w:t>30</w:t>
      </w:r>
      <w:r w:rsidR="00A97B4D" w:rsidRPr="00801A25">
        <w:rPr>
          <w:bCs/>
          <w:vertAlign w:val="superscript"/>
        </w:rPr>
        <w:t>th</w:t>
      </w:r>
      <w:r w:rsidRPr="00D75FF1">
        <w:rPr>
          <w:bCs/>
        </w:rPr>
        <w:t xml:space="preserve"> m</w:t>
      </w:r>
      <w:r w:rsidR="00BE6C50" w:rsidRPr="00D75FF1">
        <w:rPr>
          <w:bCs/>
        </w:rPr>
        <w:t>ee</w:t>
      </w:r>
      <w:r w:rsidRPr="00D75FF1">
        <w:rPr>
          <w:bCs/>
        </w:rPr>
        <w:t>t</w:t>
      </w:r>
      <w:r w:rsidR="00BE6C50" w:rsidRPr="00D75FF1">
        <w:rPr>
          <w:bCs/>
        </w:rPr>
        <w:t>in</w:t>
      </w:r>
      <w:r w:rsidRPr="00D75FF1">
        <w:rPr>
          <w:bCs/>
        </w:rPr>
        <w:t xml:space="preserve">g, held on </w:t>
      </w:r>
      <w:r w:rsidR="00A97B4D" w:rsidRPr="00D75FF1">
        <w:rPr>
          <w:bCs/>
        </w:rPr>
        <w:t>3 March 2023</w:t>
      </w:r>
      <w:bookmarkEnd w:id="5"/>
      <w:bookmarkEnd w:id="7"/>
      <w:r w:rsidRPr="00D75FF1">
        <w:rPr>
          <w:bCs/>
        </w:rPr>
        <w:t xml:space="preserve">. </w:t>
      </w:r>
    </w:p>
    <w:bookmarkEnd w:id="1"/>
    <w:p w14:paraId="360112BC" w14:textId="77777777" w:rsidR="00DC46C2" w:rsidRPr="00D75FF1" w:rsidRDefault="00DC46C2" w:rsidP="009A23E8">
      <w:pPr>
        <w:pStyle w:val="H1G"/>
      </w:pPr>
      <w:r w:rsidRPr="00D75FF1">
        <w:tab/>
        <w:t>A.</w:t>
      </w:r>
      <w:r w:rsidRPr="00D75FF1">
        <w:tab/>
        <w:t>Introduction</w:t>
      </w:r>
    </w:p>
    <w:p w14:paraId="6238869E" w14:textId="0D14089E" w:rsidR="00DC46C2" w:rsidRPr="00D75FF1" w:rsidRDefault="00DC46C2" w:rsidP="007232B8">
      <w:pPr>
        <w:pStyle w:val="SingleTxtG"/>
        <w:numPr>
          <w:ilvl w:val="0"/>
          <w:numId w:val="28"/>
        </w:numPr>
        <w:tabs>
          <w:tab w:val="clear" w:pos="1701"/>
          <w:tab w:val="clear" w:pos="2268"/>
          <w:tab w:val="clear" w:pos="2835"/>
        </w:tabs>
        <w:ind w:left="1134" w:firstLine="0"/>
        <w:rPr>
          <w:bCs/>
        </w:rPr>
      </w:pPr>
      <w:r w:rsidRPr="00D75FF1">
        <w:rPr>
          <w:bCs/>
        </w:rPr>
        <w:t xml:space="preserve">The Committee welcomes the submission by the State party of the </w:t>
      </w:r>
      <w:r w:rsidR="00BE6C50" w:rsidRPr="00D75FF1">
        <w:rPr>
          <w:bCs/>
        </w:rPr>
        <w:t xml:space="preserve">second </w:t>
      </w:r>
      <w:r w:rsidRPr="00D75FF1">
        <w:rPr>
          <w:bCs/>
        </w:rPr>
        <w:t>periodic report</w:t>
      </w:r>
      <w:r w:rsidR="000341D8">
        <w:rPr>
          <w:bCs/>
        </w:rPr>
        <w:t xml:space="preserve">. The Committee also welcomes </w:t>
      </w:r>
      <w:r w:rsidRPr="00D75FF1">
        <w:rPr>
          <w:bCs/>
        </w:rPr>
        <w:t>the supplementary information provided in the replies to the list of issues</w:t>
      </w:r>
      <w:r w:rsidR="00C94043">
        <w:rPr>
          <w:bCs/>
        </w:rPr>
        <w:t>.</w:t>
      </w:r>
      <w:r w:rsidRPr="00D75FF1">
        <w:rPr>
          <w:rStyle w:val="FootnoteReference"/>
          <w:bCs/>
        </w:rPr>
        <w:footnoteReference w:id="5"/>
      </w:r>
      <w:r w:rsidRPr="00D75FF1">
        <w:rPr>
          <w:bCs/>
        </w:rPr>
        <w:t xml:space="preserve"> The Committee appreciates the constructive dialogue </w:t>
      </w:r>
      <w:r w:rsidRPr="00D75FF1">
        <w:rPr>
          <w:iCs/>
        </w:rPr>
        <w:t>that it held with the State party’s delegation.</w:t>
      </w:r>
    </w:p>
    <w:p w14:paraId="2D9150D0" w14:textId="77777777" w:rsidR="00DC46C2" w:rsidRPr="00D75FF1" w:rsidRDefault="00DC46C2" w:rsidP="009A23E8">
      <w:pPr>
        <w:pStyle w:val="H1G"/>
      </w:pPr>
      <w:r w:rsidRPr="00D75FF1">
        <w:tab/>
        <w:t>B.</w:t>
      </w:r>
      <w:r w:rsidRPr="00D75FF1">
        <w:tab/>
        <w:t>Positive aspects</w:t>
      </w:r>
    </w:p>
    <w:p w14:paraId="3AD6073E" w14:textId="77777777" w:rsidR="00BE6C50" w:rsidRPr="00D75FF1" w:rsidRDefault="0090553A" w:rsidP="007232B8">
      <w:pPr>
        <w:pStyle w:val="SingleTxtG"/>
        <w:numPr>
          <w:ilvl w:val="0"/>
          <w:numId w:val="28"/>
        </w:numPr>
        <w:tabs>
          <w:tab w:val="clear" w:pos="1701"/>
          <w:tab w:val="clear" w:pos="2268"/>
          <w:tab w:val="clear" w:pos="2835"/>
        </w:tabs>
        <w:ind w:left="1134" w:firstLine="0"/>
      </w:pPr>
      <w:r>
        <w:t xml:space="preserve">The Committee welcomes the progress made by the State party in the promotion and protection of economic, social and cultural rights, particularly by expanding its </w:t>
      </w:r>
      <w:r w:rsidR="00D55C05" w:rsidRPr="00D75FF1">
        <w:t>social security</w:t>
      </w:r>
      <w:r>
        <w:t xml:space="preserve"> system, through the adoption of the Law on Social S</w:t>
      </w:r>
      <w:r w:rsidR="000341D8">
        <w:t>ecurity and the National Social Protection Policy Framework (2016-2025</w:t>
      </w:r>
      <w:r w:rsidR="00CB4838">
        <w:t>)</w:t>
      </w:r>
      <w:r w:rsidR="000341D8">
        <w:t>. The Committee also notes with satisfaction the improvements made i</w:t>
      </w:r>
      <w:r w:rsidR="00CB4838">
        <w:t xml:space="preserve">n decreasing the poverty rates and </w:t>
      </w:r>
      <w:r w:rsidR="00DB64CD">
        <w:t xml:space="preserve">to a certain degree on </w:t>
      </w:r>
      <w:r w:rsidR="000341D8">
        <w:t>food insecurity</w:t>
      </w:r>
      <w:r w:rsidR="003A3F57">
        <w:t>, and the measures mentioned in the present concluding observations</w:t>
      </w:r>
      <w:r w:rsidR="00CB4838">
        <w:t xml:space="preserve">. </w:t>
      </w:r>
    </w:p>
    <w:p w14:paraId="3FE09A88" w14:textId="77777777" w:rsidR="00DC46C2" w:rsidRPr="00D75FF1" w:rsidRDefault="00DC46C2" w:rsidP="009A23E8">
      <w:pPr>
        <w:pStyle w:val="H1G"/>
      </w:pPr>
      <w:r w:rsidRPr="00D75FF1">
        <w:tab/>
        <w:t>C.</w:t>
      </w:r>
      <w:r w:rsidRPr="00D75FF1">
        <w:tab/>
        <w:t xml:space="preserve">Principal subjects of concern and recommendations </w:t>
      </w:r>
    </w:p>
    <w:p w14:paraId="26953869" w14:textId="77777777" w:rsidR="00DC46C2" w:rsidRPr="00D75FF1" w:rsidRDefault="00DC46C2" w:rsidP="00DC46C2">
      <w:pPr>
        <w:pStyle w:val="H23G"/>
        <w:tabs>
          <w:tab w:val="clear" w:pos="851"/>
        </w:tabs>
        <w:ind w:left="2268"/>
      </w:pPr>
      <w:r w:rsidRPr="00D75FF1">
        <w:t>Domestic application of the Covenant</w:t>
      </w:r>
    </w:p>
    <w:p w14:paraId="45A1E84A" w14:textId="77777777" w:rsidR="00176149" w:rsidRPr="00D75FF1" w:rsidRDefault="007D3924" w:rsidP="007232B8">
      <w:pPr>
        <w:pStyle w:val="SingleTxtG"/>
        <w:numPr>
          <w:ilvl w:val="0"/>
          <w:numId w:val="28"/>
        </w:numPr>
        <w:tabs>
          <w:tab w:val="clear" w:pos="1701"/>
          <w:tab w:val="clear" w:pos="2268"/>
          <w:tab w:val="clear" w:pos="2835"/>
        </w:tabs>
        <w:ind w:left="1134" w:firstLine="0"/>
      </w:pPr>
      <w:r w:rsidRPr="00D75FF1">
        <w:t>T</w:t>
      </w:r>
      <w:r w:rsidR="00F0770A" w:rsidRPr="00D75FF1">
        <w:t>he Committee</w:t>
      </w:r>
      <w:r w:rsidRPr="00D75FF1">
        <w:t xml:space="preserve"> notes with concern that</w:t>
      </w:r>
      <w:r w:rsidR="00F40D3F" w:rsidRPr="00D75FF1">
        <w:rPr>
          <w:rFonts w:ascii="TimesNewRomanPSMT" w:hAnsi="TimesNewRomanPSMT"/>
          <w:lang w:val="en-US"/>
        </w:rPr>
        <w:t>,</w:t>
      </w:r>
      <w:r w:rsidRPr="00D75FF1">
        <w:rPr>
          <w:rFonts w:ascii="TimesNewRomanPSMT" w:hAnsi="TimesNewRomanPSMT"/>
          <w:lang w:val="en-US"/>
        </w:rPr>
        <w:t xml:space="preserve"> despite the recognition and respect </w:t>
      </w:r>
      <w:r w:rsidR="003A3F57">
        <w:rPr>
          <w:rFonts w:ascii="TimesNewRomanPSMT" w:hAnsi="TimesNewRomanPSMT"/>
          <w:lang w:val="en-US"/>
        </w:rPr>
        <w:t>for</w:t>
      </w:r>
      <w:r w:rsidR="003A3F57" w:rsidRPr="00D75FF1">
        <w:rPr>
          <w:rFonts w:ascii="TimesNewRomanPSMT" w:hAnsi="TimesNewRomanPSMT"/>
          <w:lang w:val="en-US"/>
        </w:rPr>
        <w:t xml:space="preserve"> </w:t>
      </w:r>
      <w:r w:rsidRPr="00D75FF1">
        <w:rPr>
          <w:rFonts w:ascii="TimesNewRomanPSMT" w:hAnsi="TimesNewRomanPSMT"/>
          <w:lang w:val="en-US"/>
        </w:rPr>
        <w:t>human rights provided in Article 31 of the Constitution,</w:t>
      </w:r>
      <w:r w:rsidR="00F40D3F" w:rsidRPr="00D75FF1">
        <w:rPr>
          <w:rFonts w:ascii="TimesNewRomanPSMT" w:hAnsi="TimesNewRomanPSMT"/>
          <w:lang w:val="en-US"/>
        </w:rPr>
        <w:t xml:space="preserve"> </w:t>
      </w:r>
      <w:r w:rsidR="00BA20FD" w:rsidRPr="00D75FF1">
        <w:rPr>
          <w:rFonts w:ascii="TimesNewRomanPSMT" w:hAnsi="TimesNewRomanPSMT"/>
          <w:lang w:val="en-US"/>
        </w:rPr>
        <w:t>in practice</w:t>
      </w:r>
      <w:r w:rsidR="00F40D3F" w:rsidRPr="00D75FF1">
        <w:rPr>
          <w:rFonts w:ascii="TimesNewRomanPSMT" w:hAnsi="TimesNewRomanPSMT"/>
          <w:lang w:val="en-US"/>
        </w:rPr>
        <w:t>,</w:t>
      </w:r>
      <w:r w:rsidR="00F0770A" w:rsidRPr="00D75FF1">
        <w:rPr>
          <w:rFonts w:ascii="TimesNewRomanPSMT" w:hAnsi="TimesNewRomanPSMT"/>
          <w:lang w:val="en-US"/>
        </w:rPr>
        <w:t xml:space="preserve"> the provisions of the Covenant cannot be</w:t>
      </w:r>
      <w:r w:rsidR="00BA20FD" w:rsidRPr="00D75FF1">
        <w:rPr>
          <w:rFonts w:ascii="TimesNewRomanPSMT" w:hAnsi="TimesNewRomanPSMT"/>
          <w:lang w:val="en-US"/>
        </w:rPr>
        <w:t xml:space="preserve"> invoked before or directly applied by domestic courts, tribunals or administrative authorities</w:t>
      </w:r>
      <w:r w:rsidRPr="00D75FF1">
        <w:rPr>
          <w:rFonts w:ascii="TimesNewRomanPSMT" w:hAnsi="TimesNewRomanPSMT"/>
          <w:lang w:val="en-US"/>
        </w:rPr>
        <w:t xml:space="preserve"> in the State party</w:t>
      </w:r>
      <w:r w:rsidR="00C32455" w:rsidRPr="00D75FF1">
        <w:t xml:space="preserve">. </w:t>
      </w:r>
      <w:r w:rsidRPr="00D75FF1">
        <w:t xml:space="preserve">The Committee is also concerned that the domestic legislation does not provide adequate legal remedies for violations of economic, social and cultural rights. </w:t>
      </w:r>
    </w:p>
    <w:p w14:paraId="6F59380B" w14:textId="77777777" w:rsidR="00DC46C2" w:rsidRPr="00D75FF1" w:rsidRDefault="002414F5" w:rsidP="007232B8">
      <w:pPr>
        <w:pStyle w:val="SingleTxtG"/>
        <w:numPr>
          <w:ilvl w:val="0"/>
          <w:numId w:val="28"/>
        </w:numPr>
        <w:tabs>
          <w:tab w:val="clear" w:pos="1701"/>
          <w:tab w:val="clear" w:pos="2268"/>
          <w:tab w:val="clear" w:pos="2835"/>
        </w:tabs>
        <w:ind w:left="1134" w:firstLine="0"/>
      </w:pPr>
      <w:r w:rsidRPr="00D75FF1">
        <w:rPr>
          <w:b/>
          <w:bCs/>
        </w:rPr>
        <w:t>The Committee re</w:t>
      </w:r>
      <w:r w:rsidR="007D3924" w:rsidRPr="00D75FF1">
        <w:rPr>
          <w:b/>
          <w:bCs/>
        </w:rPr>
        <w:t>calls its previous recommendation</w:t>
      </w:r>
      <w:r w:rsidR="00A44D91" w:rsidRPr="00D75FF1">
        <w:rPr>
          <w:rStyle w:val="FootnoteReference"/>
          <w:b/>
          <w:bCs/>
        </w:rPr>
        <w:footnoteReference w:id="6"/>
      </w:r>
      <w:r w:rsidR="007D3924" w:rsidRPr="00D75FF1">
        <w:rPr>
          <w:b/>
          <w:bCs/>
        </w:rPr>
        <w:t xml:space="preserve"> and re</w:t>
      </w:r>
      <w:r w:rsidRPr="00D75FF1">
        <w:rPr>
          <w:b/>
          <w:bCs/>
        </w:rPr>
        <w:t>commends that the State party</w:t>
      </w:r>
      <w:r w:rsidR="007D3924" w:rsidRPr="00D75FF1">
        <w:rPr>
          <w:b/>
          <w:bCs/>
        </w:rPr>
        <w:t xml:space="preserve"> takes all necessary measures</w:t>
      </w:r>
      <w:r w:rsidRPr="00D75FF1">
        <w:rPr>
          <w:b/>
          <w:bCs/>
        </w:rPr>
        <w:t xml:space="preserve"> </w:t>
      </w:r>
      <w:r w:rsidR="007D3924" w:rsidRPr="00D75FF1">
        <w:rPr>
          <w:b/>
          <w:bCs/>
        </w:rPr>
        <w:t xml:space="preserve">to ensure the direct </w:t>
      </w:r>
      <w:r w:rsidRPr="00D75FF1">
        <w:rPr>
          <w:b/>
          <w:bCs/>
        </w:rPr>
        <w:t xml:space="preserve">domestic applicability of </w:t>
      </w:r>
      <w:r w:rsidR="007D3924" w:rsidRPr="00D75FF1">
        <w:rPr>
          <w:b/>
          <w:bCs/>
        </w:rPr>
        <w:t xml:space="preserve">the provisions of </w:t>
      </w:r>
      <w:r w:rsidRPr="00D75FF1">
        <w:rPr>
          <w:b/>
          <w:bCs/>
        </w:rPr>
        <w:t>the Covenant</w:t>
      </w:r>
      <w:r w:rsidR="00A44D91" w:rsidRPr="00D75FF1">
        <w:rPr>
          <w:b/>
          <w:bCs/>
        </w:rPr>
        <w:t xml:space="preserve"> in its </w:t>
      </w:r>
      <w:r w:rsidR="007D3924" w:rsidRPr="00D75FF1">
        <w:rPr>
          <w:rFonts w:ascii="TimesNewRomanPS-BoldMT" w:hAnsi="TimesNewRomanPS-BoldMT"/>
          <w:b/>
          <w:lang w:val="en-US"/>
        </w:rPr>
        <w:t>domestic legal order</w:t>
      </w:r>
      <w:r w:rsidR="00036B25" w:rsidRPr="00D75FF1">
        <w:rPr>
          <w:rFonts w:ascii="TimesNewRomanPS-BoldMT" w:hAnsi="TimesNewRomanPS-BoldMT"/>
          <w:b/>
          <w:lang w:val="en-US"/>
        </w:rPr>
        <w:t xml:space="preserve"> and to</w:t>
      </w:r>
      <w:r w:rsidR="00A86B30" w:rsidRPr="00D75FF1">
        <w:rPr>
          <w:rFonts w:ascii="TimesNewRomanPS-BoldMT" w:hAnsi="TimesNewRomanPS-BoldMT"/>
          <w:b/>
          <w:lang w:val="en-US"/>
        </w:rPr>
        <w:t xml:space="preserve"> </w:t>
      </w:r>
      <w:r w:rsidR="00A86B30" w:rsidRPr="00D75FF1">
        <w:rPr>
          <w:rFonts w:ascii="TimesNewRomanPS-BoldMT" w:hAnsi="TimesNewRomanPS-BoldMT"/>
          <w:b/>
          <w:bCs/>
        </w:rPr>
        <w:t xml:space="preserve">ensure that victims of </w:t>
      </w:r>
      <w:r w:rsidR="00A86B30" w:rsidRPr="00D75FF1">
        <w:rPr>
          <w:rFonts w:ascii="TimesNewRomanPS-BoldMT" w:hAnsi="TimesNewRomanPS-BoldMT"/>
          <w:b/>
          <w:bCs/>
        </w:rPr>
        <w:lastRenderedPageBreak/>
        <w:t xml:space="preserve">violations of economic, social and cultural rights have full access to effective legal remedies. </w:t>
      </w:r>
      <w:r w:rsidR="00036B25" w:rsidRPr="00D75FF1">
        <w:rPr>
          <w:b/>
          <w:bCs/>
        </w:rPr>
        <w:t xml:space="preserve">The Committee recommends </w:t>
      </w:r>
      <w:r w:rsidR="003A3F57">
        <w:rPr>
          <w:b/>
          <w:bCs/>
        </w:rPr>
        <w:t xml:space="preserve">that </w:t>
      </w:r>
      <w:r w:rsidRPr="00D75FF1">
        <w:rPr>
          <w:b/>
          <w:bCs/>
        </w:rPr>
        <w:t xml:space="preserve">the State party enhance training for judges, lawyers and public officials on the provisions of the Covenant and their justiciability, and to effectively disseminate the knowledge of the Covenant among </w:t>
      </w:r>
      <w:r w:rsidR="006C28C7" w:rsidRPr="00D75FF1">
        <w:rPr>
          <w:b/>
          <w:bCs/>
        </w:rPr>
        <w:t>right holders</w:t>
      </w:r>
      <w:r w:rsidRPr="00D75FF1">
        <w:rPr>
          <w:b/>
          <w:bCs/>
        </w:rPr>
        <w:t xml:space="preserve">. In this </w:t>
      </w:r>
      <w:r w:rsidR="00CB4838">
        <w:rPr>
          <w:b/>
          <w:bCs/>
        </w:rPr>
        <w:t>regard</w:t>
      </w:r>
      <w:r w:rsidRPr="00D75FF1">
        <w:rPr>
          <w:b/>
          <w:bCs/>
        </w:rPr>
        <w:t>, the Committee draws the attention of the State party to its general comment No. 9 (1998) on the domestic application of the Covenant.</w:t>
      </w:r>
    </w:p>
    <w:p w14:paraId="4CC8040B" w14:textId="77777777" w:rsidR="00DC46C2" w:rsidRPr="00D75FF1" w:rsidRDefault="00DC46C2" w:rsidP="00DC46C2">
      <w:pPr>
        <w:pStyle w:val="H23G"/>
        <w:tabs>
          <w:tab w:val="clear" w:pos="851"/>
        </w:tabs>
        <w:ind w:left="2268"/>
      </w:pPr>
      <w:r w:rsidRPr="00D75FF1">
        <w:t>National human rights institution</w:t>
      </w:r>
    </w:p>
    <w:p w14:paraId="304FF230" w14:textId="77777777" w:rsidR="00DC46C2" w:rsidRPr="00D75FF1" w:rsidRDefault="00647F11" w:rsidP="007232B8">
      <w:pPr>
        <w:pStyle w:val="SingleTxtG"/>
        <w:numPr>
          <w:ilvl w:val="0"/>
          <w:numId w:val="28"/>
        </w:numPr>
        <w:tabs>
          <w:tab w:val="clear" w:pos="1701"/>
          <w:tab w:val="clear" w:pos="2268"/>
          <w:tab w:val="clear" w:pos="2835"/>
        </w:tabs>
        <w:ind w:left="1134" w:firstLine="0"/>
      </w:pPr>
      <w:r w:rsidRPr="00D75FF1">
        <w:t xml:space="preserve">While welcoming the information on the progress in the elaboration of a draft law to </w:t>
      </w:r>
      <w:r w:rsidR="00570C43" w:rsidRPr="00D75FF1">
        <w:rPr>
          <w:bCs/>
          <w:szCs w:val="22"/>
        </w:rPr>
        <w:t>establish a national human rights institution</w:t>
      </w:r>
      <w:r w:rsidRPr="00D75FF1">
        <w:rPr>
          <w:bCs/>
          <w:szCs w:val="22"/>
        </w:rPr>
        <w:t xml:space="preserve">, the Committee remains concerned about the </w:t>
      </w:r>
      <w:r w:rsidR="00EF300F">
        <w:rPr>
          <w:bCs/>
          <w:szCs w:val="22"/>
        </w:rPr>
        <w:t xml:space="preserve">lack of a genuine </w:t>
      </w:r>
      <w:r w:rsidRPr="00D75FF1">
        <w:rPr>
          <w:bCs/>
          <w:szCs w:val="22"/>
        </w:rPr>
        <w:t>process of consultation</w:t>
      </w:r>
      <w:r w:rsidR="00EF300F">
        <w:rPr>
          <w:bCs/>
          <w:szCs w:val="22"/>
        </w:rPr>
        <w:t>, as</w:t>
      </w:r>
      <w:r w:rsidRPr="00D75FF1">
        <w:rPr>
          <w:bCs/>
          <w:szCs w:val="22"/>
        </w:rPr>
        <w:t xml:space="preserve"> expressed </w:t>
      </w:r>
      <w:r w:rsidR="00ED0F50">
        <w:rPr>
          <w:bCs/>
          <w:szCs w:val="22"/>
        </w:rPr>
        <w:t>by</w:t>
      </w:r>
      <w:r w:rsidR="00ED0F50" w:rsidRPr="00D75FF1">
        <w:rPr>
          <w:bCs/>
          <w:szCs w:val="22"/>
        </w:rPr>
        <w:t xml:space="preserve"> </w:t>
      </w:r>
      <w:r w:rsidRPr="00D75FF1">
        <w:rPr>
          <w:bCs/>
          <w:szCs w:val="22"/>
        </w:rPr>
        <w:t xml:space="preserve">civil society organisations, which may </w:t>
      </w:r>
      <w:r w:rsidR="00EF300F">
        <w:rPr>
          <w:bCs/>
          <w:szCs w:val="22"/>
        </w:rPr>
        <w:t xml:space="preserve">further hinder </w:t>
      </w:r>
      <w:r w:rsidRPr="00D75FF1">
        <w:rPr>
          <w:bCs/>
          <w:szCs w:val="22"/>
        </w:rPr>
        <w:t>the advancemen</w:t>
      </w:r>
      <w:r w:rsidR="00F0713D" w:rsidRPr="00D75FF1">
        <w:rPr>
          <w:bCs/>
          <w:szCs w:val="22"/>
        </w:rPr>
        <w:t xml:space="preserve">t in the adoption of the law. </w:t>
      </w:r>
      <w:r w:rsidRPr="00D75FF1">
        <w:rPr>
          <w:bCs/>
          <w:szCs w:val="22"/>
        </w:rPr>
        <w:t xml:space="preserve">  </w:t>
      </w:r>
    </w:p>
    <w:p w14:paraId="060AED43" w14:textId="77777777" w:rsidR="006470B4" w:rsidRPr="00D75FF1" w:rsidRDefault="009040D2" w:rsidP="007232B8">
      <w:pPr>
        <w:pStyle w:val="SingleTxtG"/>
        <w:numPr>
          <w:ilvl w:val="0"/>
          <w:numId w:val="28"/>
        </w:numPr>
        <w:tabs>
          <w:tab w:val="clear" w:pos="1701"/>
          <w:tab w:val="clear" w:pos="2268"/>
          <w:tab w:val="clear" w:pos="2835"/>
        </w:tabs>
        <w:ind w:left="1134" w:firstLine="0"/>
        <w:rPr>
          <w:b/>
          <w:bCs/>
        </w:rPr>
      </w:pPr>
      <w:r>
        <w:rPr>
          <w:b/>
          <w:bCs/>
        </w:rPr>
        <w:t xml:space="preserve">The Committee urges </w:t>
      </w:r>
      <w:r w:rsidR="000B05A3" w:rsidRPr="00D75FF1">
        <w:rPr>
          <w:b/>
          <w:bCs/>
        </w:rPr>
        <w:t xml:space="preserve">the State party to </w:t>
      </w:r>
      <w:r w:rsidR="00706776">
        <w:rPr>
          <w:b/>
          <w:bCs/>
        </w:rPr>
        <w:t xml:space="preserve">pursue and ensure </w:t>
      </w:r>
      <w:r w:rsidR="000B05A3" w:rsidRPr="00D75FF1">
        <w:rPr>
          <w:b/>
          <w:bCs/>
        </w:rPr>
        <w:t xml:space="preserve">an open, transparent and </w:t>
      </w:r>
      <w:r w:rsidR="0029429D">
        <w:rPr>
          <w:b/>
          <w:bCs/>
        </w:rPr>
        <w:t>genuine</w:t>
      </w:r>
      <w:r w:rsidR="00E32A12">
        <w:rPr>
          <w:b/>
          <w:bCs/>
        </w:rPr>
        <w:t xml:space="preserve"> </w:t>
      </w:r>
      <w:r w:rsidR="000B05A3" w:rsidRPr="00D75FF1">
        <w:rPr>
          <w:b/>
          <w:bCs/>
        </w:rPr>
        <w:t>consultation process</w:t>
      </w:r>
      <w:r>
        <w:rPr>
          <w:b/>
          <w:bCs/>
        </w:rPr>
        <w:t xml:space="preserve">, with </w:t>
      </w:r>
      <w:r w:rsidRPr="00D75FF1">
        <w:rPr>
          <w:b/>
          <w:bCs/>
        </w:rPr>
        <w:t>the participation</w:t>
      </w:r>
      <w:r>
        <w:rPr>
          <w:b/>
          <w:bCs/>
        </w:rPr>
        <w:t xml:space="preserve"> </w:t>
      </w:r>
      <w:r w:rsidRPr="00D75FF1">
        <w:rPr>
          <w:b/>
          <w:bCs/>
        </w:rPr>
        <w:t>of a wide range of stakeholders, including civil society organisations</w:t>
      </w:r>
      <w:r>
        <w:rPr>
          <w:b/>
          <w:bCs/>
        </w:rPr>
        <w:t xml:space="preserve">, </w:t>
      </w:r>
      <w:r w:rsidR="000B05A3">
        <w:rPr>
          <w:b/>
          <w:bCs/>
        </w:rPr>
        <w:t xml:space="preserve">towards the adoption of </w:t>
      </w:r>
      <w:r w:rsidR="000B05A3" w:rsidRPr="00D75FF1">
        <w:rPr>
          <w:b/>
          <w:bCs/>
        </w:rPr>
        <w:t>the draft law</w:t>
      </w:r>
      <w:r>
        <w:rPr>
          <w:b/>
          <w:bCs/>
        </w:rPr>
        <w:t xml:space="preserve"> to establish a national human rights institution</w:t>
      </w:r>
      <w:r w:rsidR="005F7962">
        <w:rPr>
          <w:b/>
          <w:bCs/>
        </w:rPr>
        <w:t xml:space="preserve">. The Committee recommends that the State party </w:t>
      </w:r>
      <w:r w:rsidR="00421D2C">
        <w:rPr>
          <w:b/>
          <w:bCs/>
        </w:rPr>
        <w:t xml:space="preserve">takes the necessary measures to ensure </w:t>
      </w:r>
      <w:r w:rsidR="005F7962">
        <w:rPr>
          <w:b/>
          <w:bCs/>
        </w:rPr>
        <w:t>that the institution is</w:t>
      </w:r>
      <w:r w:rsidR="00421D2C">
        <w:rPr>
          <w:b/>
          <w:bCs/>
        </w:rPr>
        <w:t xml:space="preserve"> independent, has</w:t>
      </w:r>
      <w:r w:rsidRPr="00D75FF1">
        <w:rPr>
          <w:b/>
          <w:bCs/>
        </w:rPr>
        <w:t xml:space="preserve"> a broad mandate for the protection and promotion of human rights, including economic, social and cultural rights</w:t>
      </w:r>
      <w:r w:rsidR="005F7962">
        <w:rPr>
          <w:b/>
          <w:bCs/>
        </w:rPr>
        <w:t xml:space="preserve">, </w:t>
      </w:r>
      <w:r w:rsidR="00421D2C">
        <w:rPr>
          <w:b/>
          <w:bCs/>
        </w:rPr>
        <w:t xml:space="preserve"> is provided with </w:t>
      </w:r>
      <w:r w:rsidR="00421D2C" w:rsidRPr="00D75FF1">
        <w:rPr>
          <w:b/>
          <w:bCs/>
        </w:rPr>
        <w:t xml:space="preserve">sufficient human, technical and financial resources to enable it to fully exercise its mandate </w:t>
      </w:r>
      <w:r w:rsidRPr="00D75FF1">
        <w:rPr>
          <w:b/>
          <w:bCs/>
        </w:rPr>
        <w:t xml:space="preserve">and </w:t>
      </w:r>
      <w:r w:rsidR="00421D2C">
        <w:rPr>
          <w:b/>
          <w:bCs/>
        </w:rPr>
        <w:t>is</w:t>
      </w:r>
      <w:r w:rsidRPr="00D75FF1">
        <w:rPr>
          <w:b/>
          <w:bCs/>
        </w:rPr>
        <w:t xml:space="preserve"> full</w:t>
      </w:r>
      <w:r w:rsidR="00421D2C">
        <w:rPr>
          <w:b/>
          <w:bCs/>
        </w:rPr>
        <w:t>y</w:t>
      </w:r>
      <w:r w:rsidRPr="00D75FF1">
        <w:rPr>
          <w:b/>
          <w:bCs/>
        </w:rPr>
        <w:t xml:space="preserve"> complian</w:t>
      </w:r>
      <w:r w:rsidR="00421D2C">
        <w:rPr>
          <w:b/>
          <w:bCs/>
        </w:rPr>
        <w:t>t</w:t>
      </w:r>
      <w:r w:rsidRPr="00D75FF1">
        <w:rPr>
          <w:b/>
          <w:bCs/>
        </w:rPr>
        <w:t xml:space="preserve"> with the principles relating to the status of national institutions for the promotion and protection of human rights (the Paris Principles).</w:t>
      </w:r>
      <w:r>
        <w:rPr>
          <w:b/>
          <w:bCs/>
        </w:rPr>
        <w:t xml:space="preserve"> </w:t>
      </w:r>
    </w:p>
    <w:p w14:paraId="6C3CE44D" w14:textId="77777777" w:rsidR="006C28C7" w:rsidRPr="00D75FF1" w:rsidRDefault="006C28C7" w:rsidP="006470B4">
      <w:pPr>
        <w:pStyle w:val="H23G"/>
        <w:tabs>
          <w:tab w:val="clear" w:pos="851"/>
        </w:tabs>
        <w:ind w:left="2268"/>
      </w:pPr>
      <w:r w:rsidRPr="00D75FF1">
        <w:t xml:space="preserve">Human rights defenders </w:t>
      </w:r>
      <w:r w:rsidR="0012305B">
        <w:t>and space for civil society organisat</w:t>
      </w:r>
      <w:r w:rsidR="00727805">
        <w:t>i</w:t>
      </w:r>
      <w:r w:rsidR="0012305B">
        <w:t>ons</w:t>
      </w:r>
    </w:p>
    <w:p w14:paraId="770F4A51" w14:textId="77777777" w:rsidR="007D7549" w:rsidRPr="00D75FF1" w:rsidRDefault="00EE6628" w:rsidP="007232B8">
      <w:pPr>
        <w:pStyle w:val="SingleTxtG"/>
        <w:numPr>
          <w:ilvl w:val="0"/>
          <w:numId w:val="28"/>
        </w:numPr>
        <w:tabs>
          <w:tab w:val="clear" w:pos="1701"/>
          <w:tab w:val="clear" w:pos="2268"/>
          <w:tab w:val="clear" w:pos="2835"/>
        </w:tabs>
        <w:ind w:left="1134" w:firstLine="0"/>
      </w:pPr>
      <w:r w:rsidRPr="00D75FF1">
        <w:t xml:space="preserve">The Committee is </w:t>
      </w:r>
      <w:r w:rsidR="00C564DF">
        <w:t xml:space="preserve">deeply </w:t>
      </w:r>
      <w:r w:rsidRPr="00D75FF1">
        <w:t>concerned about reports of arrests, detention and trials without due process of human rights defenders working to defend eco</w:t>
      </w:r>
      <w:r w:rsidR="005D716C" w:rsidRPr="00D75FF1">
        <w:t>nomic, social and cultural rights. The Committ</w:t>
      </w:r>
      <w:r w:rsidR="007D7549" w:rsidRPr="00D75FF1">
        <w:t xml:space="preserve">ee also notes with concern that the Law on Associations and Non-Governmental Organisations has not yet been amended and contains legal provisions, which are </w:t>
      </w:r>
      <w:r w:rsidR="00C564DF">
        <w:t xml:space="preserve">reportedly </w:t>
      </w:r>
      <w:r w:rsidR="007D7549" w:rsidRPr="00D75FF1">
        <w:t>used by the State authorities to close or to deny the registration of civil society organizations working on economic, social and cultural rights.</w:t>
      </w:r>
    </w:p>
    <w:p w14:paraId="20A2F871" w14:textId="77777777" w:rsidR="00387F60" w:rsidRDefault="008611ED" w:rsidP="007232B8">
      <w:pPr>
        <w:pStyle w:val="SingleTxtG"/>
        <w:numPr>
          <w:ilvl w:val="0"/>
          <w:numId w:val="28"/>
        </w:numPr>
        <w:tabs>
          <w:tab w:val="clear" w:pos="1701"/>
          <w:tab w:val="clear" w:pos="2268"/>
          <w:tab w:val="clear" w:pos="2835"/>
        </w:tabs>
        <w:ind w:left="1134" w:firstLine="0"/>
        <w:rPr>
          <w:b/>
          <w:bCs/>
        </w:rPr>
      </w:pPr>
      <w:r w:rsidRPr="00D75FF1">
        <w:rPr>
          <w:b/>
          <w:bCs/>
        </w:rPr>
        <w:t>The Committee urges the State party to</w:t>
      </w:r>
      <w:r w:rsidR="00387F60">
        <w:rPr>
          <w:b/>
          <w:bCs/>
        </w:rPr>
        <w:t xml:space="preserve">: </w:t>
      </w:r>
    </w:p>
    <w:p w14:paraId="2721DA00" w14:textId="71B94FD3" w:rsidR="00387F60" w:rsidRDefault="00387F60" w:rsidP="00F00084">
      <w:pPr>
        <w:pStyle w:val="SingleTxtG"/>
        <w:ind w:firstLine="567"/>
      </w:pPr>
      <w:r>
        <w:rPr>
          <w:b/>
          <w:bCs/>
        </w:rPr>
        <w:t xml:space="preserve">(a) </w:t>
      </w:r>
      <w:r w:rsidR="00F00084">
        <w:rPr>
          <w:b/>
          <w:bCs/>
        </w:rPr>
        <w:tab/>
      </w:r>
      <w:r>
        <w:rPr>
          <w:b/>
          <w:bCs/>
        </w:rPr>
        <w:t>T</w:t>
      </w:r>
      <w:r w:rsidR="008611ED" w:rsidRPr="00D75FF1">
        <w:rPr>
          <w:b/>
          <w:bCs/>
        </w:rPr>
        <w:t xml:space="preserve">ake effective and timely measures to </w:t>
      </w:r>
      <w:r w:rsidR="00C564DF">
        <w:rPr>
          <w:b/>
          <w:bCs/>
        </w:rPr>
        <w:t xml:space="preserve">effectively </w:t>
      </w:r>
      <w:r w:rsidR="008611ED" w:rsidRPr="00D75FF1">
        <w:rPr>
          <w:b/>
          <w:bCs/>
        </w:rPr>
        <w:t>prevent acts of violence against human rights defenders</w:t>
      </w:r>
      <w:r w:rsidR="005F4DFB">
        <w:rPr>
          <w:b/>
          <w:bCs/>
        </w:rPr>
        <w:t xml:space="preserve"> </w:t>
      </w:r>
      <w:r w:rsidR="006D3E4E">
        <w:rPr>
          <w:b/>
          <w:bCs/>
        </w:rPr>
        <w:t xml:space="preserve">working </w:t>
      </w:r>
      <w:r w:rsidR="005F4DFB">
        <w:rPr>
          <w:b/>
          <w:bCs/>
        </w:rPr>
        <w:t>on</w:t>
      </w:r>
      <w:r w:rsidR="006D3E4E">
        <w:rPr>
          <w:b/>
          <w:bCs/>
        </w:rPr>
        <w:t xml:space="preserve"> economic, social and cultural rights</w:t>
      </w:r>
      <w:r w:rsidR="008611ED" w:rsidRPr="00D75FF1">
        <w:rPr>
          <w:b/>
          <w:bCs/>
        </w:rPr>
        <w:t xml:space="preserve"> </w:t>
      </w:r>
      <w:r w:rsidR="00727805">
        <w:rPr>
          <w:b/>
          <w:bCs/>
        </w:rPr>
        <w:t xml:space="preserve">but also </w:t>
      </w:r>
      <w:r w:rsidR="00652139">
        <w:rPr>
          <w:b/>
          <w:bCs/>
        </w:rPr>
        <w:t xml:space="preserve">other </w:t>
      </w:r>
      <w:r w:rsidR="00727805">
        <w:rPr>
          <w:b/>
          <w:bCs/>
        </w:rPr>
        <w:t xml:space="preserve">people </w:t>
      </w:r>
      <w:r w:rsidR="00652139">
        <w:rPr>
          <w:b/>
          <w:bCs/>
        </w:rPr>
        <w:t>active</w:t>
      </w:r>
      <w:r w:rsidR="00727805">
        <w:rPr>
          <w:b/>
          <w:bCs/>
        </w:rPr>
        <w:t xml:space="preserve"> in civil society organisation</w:t>
      </w:r>
      <w:r w:rsidR="00D768D9">
        <w:rPr>
          <w:b/>
          <w:bCs/>
        </w:rPr>
        <w:t>s</w:t>
      </w:r>
      <w:r w:rsidR="00727805">
        <w:rPr>
          <w:b/>
          <w:bCs/>
        </w:rPr>
        <w:t xml:space="preserve"> working on these rights</w:t>
      </w:r>
      <w:r w:rsidR="00652139">
        <w:rPr>
          <w:b/>
          <w:bCs/>
        </w:rPr>
        <w:t xml:space="preserve">. Moreover, it should take measures </w:t>
      </w:r>
      <w:r w:rsidR="006E2A28">
        <w:rPr>
          <w:b/>
          <w:bCs/>
        </w:rPr>
        <w:t>to</w:t>
      </w:r>
      <w:r w:rsidR="008611ED" w:rsidRPr="00D75FF1">
        <w:rPr>
          <w:b/>
          <w:bCs/>
        </w:rPr>
        <w:t xml:space="preserve"> protect their lives and personal safety, ensuring coordination between the national and local authorities</w:t>
      </w:r>
      <w:r w:rsidR="00E72A2B">
        <w:rPr>
          <w:b/>
          <w:bCs/>
        </w:rPr>
        <w:t>;</w:t>
      </w:r>
    </w:p>
    <w:p w14:paraId="58B4E866" w14:textId="258C262A" w:rsidR="00387F60" w:rsidRDefault="00387F60" w:rsidP="00F00084">
      <w:pPr>
        <w:pStyle w:val="SingleTxtG"/>
        <w:ind w:firstLine="567"/>
      </w:pPr>
      <w:r>
        <w:rPr>
          <w:b/>
          <w:bCs/>
        </w:rPr>
        <w:t xml:space="preserve">(b) </w:t>
      </w:r>
      <w:r w:rsidR="00F00084">
        <w:rPr>
          <w:b/>
          <w:bCs/>
        </w:rPr>
        <w:tab/>
      </w:r>
      <w:r>
        <w:rPr>
          <w:b/>
          <w:bCs/>
        </w:rPr>
        <w:t>C</w:t>
      </w:r>
      <w:r w:rsidR="008611ED" w:rsidRPr="00D75FF1">
        <w:rPr>
          <w:b/>
          <w:bCs/>
        </w:rPr>
        <w:t xml:space="preserve">onduct </w:t>
      </w:r>
      <w:r w:rsidR="00B21DD1">
        <w:rPr>
          <w:b/>
          <w:bCs/>
        </w:rPr>
        <w:t xml:space="preserve">prompt, </w:t>
      </w:r>
      <w:r w:rsidR="008611ED" w:rsidRPr="00D75FF1">
        <w:rPr>
          <w:b/>
          <w:bCs/>
        </w:rPr>
        <w:t>thorough, impartial and effective investigations into all reports of attacks on the lives, physical integrity or freedom of human rights defenders</w:t>
      </w:r>
      <w:r w:rsidR="005F4DFB">
        <w:rPr>
          <w:b/>
          <w:bCs/>
        </w:rPr>
        <w:t xml:space="preserve"> working on economic, social and cultural rights</w:t>
      </w:r>
      <w:r w:rsidR="008611ED" w:rsidRPr="00D75FF1">
        <w:rPr>
          <w:b/>
          <w:bCs/>
        </w:rPr>
        <w:t>, and into all acts of violence, thre</w:t>
      </w:r>
      <w:r>
        <w:rPr>
          <w:b/>
          <w:bCs/>
        </w:rPr>
        <w:t xml:space="preserve">ats, harassment, intimidation, </w:t>
      </w:r>
      <w:r w:rsidR="008611ED" w:rsidRPr="00D75FF1">
        <w:rPr>
          <w:b/>
          <w:bCs/>
        </w:rPr>
        <w:t>and defamation committed against them</w:t>
      </w:r>
      <w:r w:rsidR="00E72A2B">
        <w:rPr>
          <w:b/>
          <w:bCs/>
        </w:rPr>
        <w:t>;</w:t>
      </w:r>
      <w:r w:rsidR="008611ED" w:rsidRPr="00D75FF1">
        <w:t xml:space="preserve"> </w:t>
      </w:r>
    </w:p>
    <w:p w14:paraId="2F4465F3" w14:textId="77777777" w:rsidR="00387F60" w:rsidRPr="00421D2C" w:rsidRDefault="00387F60" w:rsidP="00F00084">
      <w:pPr>
        <w:pStyle w:val="SingleTxtG"/>
        <w:ind w:firstLine="567"/>
        <w:rPr>
          <w:b/>
        </w:rPr>
      </w:pPr>
      <w:r>
        <w:rPr>
          <w:b/>
        </w:rPr>
        <w:t xml:space="preserve">(c) </w:t>
      </w:r>
      <w:r w:rsidR="00F00084">
        <w:rPr>
          <w:b/>
        </w:rPr>
        <w:tab/>
      </w:r>
      <w:r>
        <w:rPr>
          <w:b/>
        </w:rPr>
        <w:t xml:space="preserve">Adopt the measures necessary to </w:t>
      </w:r>
      <w:r w:rsidR="000B05A3">
        <w:rPr>
          <w:b/>
        </w:rPr>
        <w:t xml:space="preserve">ensure that </w:t>
      </w:r>
      <w:r w:rsidR="009040D2">
        <w:rPr>
          <w:b/>
        </w:rPr>
        <w:t>human rights defenders</w:t>
      </w:r>
      <w:r w:rsidR="007F6F8C" w:rsidRPr="007F6F8C">
        <w:rPr>
          <w:b/>
        </w:rPr>
        <w:t xml:space="preserve"> </w:t>
      </w:r>
      <w:r w:rsidR="007F6F8C">
        <w:rPr>
          <w:b/>
        </w:rPr>
        <w:t>and civil society organisations</w:t>
      </w:r>
      <w:r w:rsidR="009040D2">
        <w:rPr>
          <w:b/>
        </w:rPr>
        <w:t xml:space="preserve"> </w:t>
      </w:r>
      <w:r w:rsidR="007F6F8C">
        <w:rPr>
          <w:b/>
        </w:rPr>
        <w:t xml:space="preserve">working on </w:t>
      </w:r>
      <w:r w:rsidR="009040D2">
        <w:rPr>
          <w:b/>
        </w:rPr>
        <w:t xml:space="preserve">economic, social and cultural rights are </w:t>
      </w:r>
      <w:r w:rsidR="00AB2C87">
        <w:rPr>
          <w:b/>
        </w:rPr>
        <w:t xml:space="preserve">not criminalized for </w:t>
      </w:r>
      <w:r w:rsidR="00421D2C">
        <w:rPr>
          <w:b/>
        </w:rPr>
        <w:t xml:space="preserve">carrying out </w:t>
      </w:r>
      <w:r w:rsidR="00AB2C87">
        <w:rPr>
          <w:b/>
        </w:rPr>
        <w:t>their</w:t>
      </w:r>
      <w:r w:rsidR="00421D2C">
        <w:rPr>
          <w:b/>
        </w:rPr>
        <w:t xml:space="preserve"> work;</w:t>
      </w:r>
    </w:p>
    <w:p w14:paraId="6E07ED65" w14:textId="77777777" w:rsidR="00387F60" w:rsidRPr="00F00084" w:rsidRDefault="00387F60" w:rsidP="00F00084">
      <w:pPr>
        <w:pStyle w:val="SingleTxtG"/>
        <w:ind w:firstLine="567"/>
        <w:rPr>
          <w:b/>
          <w:bCs/>
        </w:rPr>
      </w:pPr>
      <w:r w:rsidRPr="00F00084">
        <w:rPr>
          <w:b/>
          <w:bCs/>
        </w:rPr>
        <w:t xml:space="preserve">(d) </w:t>
      </w:r>
      <w:r w:rsidR="00F00084" w:rsidRPr="00F00084">
        <w:rPr>
          <w:b/>
          <w:bCs/>
        </w:rPr>
        <w:tab/>
      </w:r>
      <w:r w:rsidRPr="00F00084">
        <w:rPr>
          <w:b/>
          <w:bCs/>
        </w:rPr>
        <w:t>C</w:t>
      </w:r>
      <w:r w:rsidR="008611ED" w:rsidRPr="00F00084">
        <w:rPr>
          <w:b/>
          <w:bCs/>
          <w:shd w:val="clear" w:color="auto" w:fill="FFFFFF"/>
        </w:rPr>
        <w:t xml:space="preserve">onduct a </w:t>
      </w:r>
      <w:r w:rsidR="0029429D">
        <w:rPr>
          <w:b/>
          <w:bCs/>
        </w:rPr>
        <w:t>genuine</w:t>
      </w:r>
      <w:r w:rsidR="008611ED" w:rsidRPr="00F00084">
        <w:rPr>
          <w:b/>
          <w:bCs/>
        </w:rPr>
        <w:t xml:space="preserve">, open and transparent consultation with civil society organisations and any other relevant stakeholders in the revision </w:t>
      </w:r>
      <w:r w:rsidR="008611ED" w:rsidRPr="00F00084">
        <w:rPr>
          <w:b/>
          <w:bCs/>
          <w:shd w:val="clear" w:color="auto" w:fill="FFFFFF"/>
        </w:rPr>
        <w:t xml:space="preserve">and amendment process of </w:t>
      </w:r>
      <w:r w:rsidR="008611ED" w:rsidRPr="00F00084">
        <w:rPr>
          <w:b/>
          <w:bCs/>
        </w:rPr>
        <w:t>the Law on Association and Non-Governmental Organisation</w:t>
      </w:r>
      <w:r w:rsidRPr="00F00084">
        <w:rPr>
          <w:b/>
          <w:bCs/>
        </w:rPr>
        <w:t xml:space="preserve">; </w:t>
      </w:r>
    </w:p>
    <w:p w14:paraId="412B3EE4" w14:textId="549B5084" w:rsidR="00EE6628" w:rsidRPr="00D75FF1" w:rsidRDefault="00387F60" w:rsidP="00F00084">
      <w:pPr>
        <w:pStyle w:val="SingleTxtG"/>
        <w:ind w:firstLine="567"/>
        <w:rPr>
          <w:b/>
        </w:rPr>
      </w:pPr>
      <w:r w:rsidRPr="00F00084">
        <w:rPr>
          <w:b/>
          <w:bCs/>
        </w:rPr>
        <w:t>(</w:t>
      </w:r>
      <w:proofErr w:type="spellStart"/>
      <w:r w:rsidRPr="00F00084">
        <w:rPr>
          <w:b/>
          <w:bCs/>
        </w:rPr>
        <w:t>e</w:t>
      </w:r>
      <w:proofErr w:type="spellEnd"/>
      <w:r w:rsidRPr="00F00084">
        <w:rPr>
          <w:b/>
          <w:bCs/>
        </w:rPr>
        <w:t xml:space="preserve">) </w:t>
      </w:r>
      <w:r w:rsidR="00F00084" w:rsidRPr="00F00084">
        <w:rPr>
          <w:b/>
          <w:bCs/>
        </w:rPr>
        <w:tab/>
      </w:r>
      <w:r w:rsidRPr="00F00084">
        <w:rPr>
          <w:b/>
          <w:bCs/>
        </w:rPr>
        <w:t>Take into account the Committee’s</w:t>
      </w:r>
      <w:r w:rsidR="001B3657" w:rsidRPr="00F00084">
        <w:rPr>
          <w:b/>
          <w:bCs/>
        </w:rPr>
        <w:t xml:space="preserve"> statement on human rights defenders and economic</w:t>
      </w:r>
      <w:r w:rsidR="001B3657" w:rsidRPr="00D75FF1">
        <w:rPr>
          <w:b/>
          <w:bCs/>
        </w:rPr>
        <w:t>, social and cultural rights</w:t>
      </w:r>
      <w:r w:rsidR="00C94043">
        <w:rPr>
          <w:b/>
          <w:bCs/>
        </w:rPr>
        <w:t>.</w:t>
      </w:r>
      <w:r w:rsidR="001B3657" w:rsidRPr="00D75FF1">
        <w:rPr>
          <w:rStyle w:val="FootnoteReference"/>
        </w:rPr>
        <w:footnoteReference w:id="7"/>
      </w:r>
    </w:p>
    <w:p w14:paraId="33188CC4" w14:textId="77777777" w:rsidR="00DC46C2" w:rsidRPr="00D75FF1" w:rsidRDefault="00DC46C2" w:rsidP="006470B4">
      <w:pPr>
        <w:pStyle w:val="H23G"/>
        <w:tabs>
          <w:tab w:val="clear" w:pos="851"/>
        </w:tabs>
        <w:ind w:left="2268"/>
      </w:pPr>
      <w:r w:rsidRPr="00D75FF1">
        <w:t>Business and economic, social and cultural rights</w:t>
      </w:r>
    </w:p>
    <w:p w14:paraId="4FDD102C" w14:textId="77777777" w:rsidR="00DC46C2" w:rsidRPr="00D75FF1" w:rsidRDefault="000C2F5E" w:rsidP="007232B8">
      <w:pPr>
        <w:pStyle w:val="SingleTxtG"/>
        <w:numPr>
          <w:ilvl w:val="0"/>
          <w:numId w:val="28"/>
        </w:numPr>
        <w:tabs>
          <w:tab w:val="clear" w:pos="1701"/>
          <w:tab w:val="clear" w:pos="2268"/>
          <w:tab w:val="clear" w:pos="2835"/>
        </w:tabs>
        <w:ind w:left="1134" w:firstLine="0"/>
        <w:rPr>
          <w:b/>
          <w:bCs/>
          <w:szCs w:val="22"/>
        </w:rPr>
      </w:pPr>
      <w:r w:rsidRPr="00D75FF1">
        <w:t xml:space="preserve">The Committee is concerned by reports regarding the negative impacts that </w:t>
      </w:r>
      <w:r w:rsidR="008C19ED" w:rsidRPr="00D75FF1">
        <w:t xml:space="preserve">business activities and </w:t>
      </w:r>
      <w:r w:rsidRPr="00D75FF1">
        <w:t>large development projects</w:t>
      </w:r>
      <w:r w:rsidR="008C19ED" w:rsidRPr="00D75FF1">
        <w:t xml:space="preserve">, including </w:t>
      </w:r>
      <w:r w:rsidR="00B21DD1">
        <w:t xml:space="preserve">in </w:t>
      </w:r>
      <w:r w:rsidR="008C19ED" w:rsidRPr="00D75FF1">
        <w:t>the Special Economic Zones</w:t>
      </w:r>
      <w:r w:rsidR="00B21DD1">
        <w:t>,</w:t>
      </w:r>
      <w:r w:rsidRPr="00D75FF1">
        <w:t xml:space="preserve"> have on </w:t>
      </w:r>
      <w:r w:rsidRPr="00D75FF1">
        <w:lastRenderedPageBreak/>
        <w:t>the enjoyment of economic, social and cultural rights</w:t>
      </w:r>
      <w:r w:rsidR="008C19ED" w:rsidRPr="00D75FF1">
        <w:t xml:space="preserve">, </w:t>
      </w:r>
      <w:r w:rsidRPr="00D75FF1">
        <w:t>in particular</w:t>
      </w:r>
      <w:r w:rsidR="008C19ED" w:rsidRPr="00D75FF1">
        <w:t xml:space="preserve"> on the access to land, the right to an </w:t>
      </w:r>
      <w:r w:rsidRPr="00D75FF1">
        <w:t>adequate standard of living</w:t>
      </w:r>
      <w:r w:rsidR="008C19ED" w:rsidRPr="00D75FF1">
        <w:t xml:space="preserve">, labour rights and the right to health. The Committee is also concerned that while it is mandatory to carry out environmental impact assessments before </w:t>
      </w:r>
      <w:r w:rsidR="00D40AEE">
        <w:t xml:space="preserve">realizing investments and </w:t>
      </w:r>
      <w:r w:rsidR="008C19ED" w:rsidRPr="00D75FF1">
        <w:t>implementing developmen</w:t>
      </w:r>
      <w:r w:rsidR="00387F60">
        <w:t>t projects, such assessments may</w:t>
      </w:r>
      <w:r w:rsidR="008C19ED" w:rsidRPr="00D75FF1">
        <w:t xml:space="preserve"> not</w:t>
      </w:r>
      <w:r w:rsidR="00387F60">
        <w:t xml:space="preserve"> be</w:t>
      </w:r>
      <w:r w:rsidR="008C19ED" w:rsidRPr="00D75FF1">
        <w:t xml:space="preserve"> carried out in</w:t>
      </w:r>
      <w:r w:rsidR="002468A8" w:rsidRPr="00D75FF1">
        <w:t xml:space="preserve"> an independent manner </w:t>
      </w:r>
      <w:r w:rsidR="008C19ED" w:rsidRPr="00D75FF1">
        <w:t xml:space="preserve">and in consultation with the relevant affected communities or groups. </w:t>
      </w:r>
    </w:p>
    <w:p w14:paraId="6EC24112" w14:textId="77777777" w:rsidR="002468A8" w:rsidRPr="00D75FF1" w:rsidRDefault="00320DB0" w:rsidP="007232B8">
      <w:pPr>
        <w:pStyle w:val="SingleTxtG"/>
        <w:numPr>
          <w:ilvl w:val="0"/>
          <w:numId w:val="28"/>
        </w:numPr>
        <w:tabs>
          <w:tab w:val="clear" w:pos="1701"/>
          <w:tab w:val="clear" w:pos="2268"/>
          <w:tab w:val="clear" w:pos="2835"/>
        </w:tabs>
        <w:ind w:left="1134" w:firstLine="0"/>
        <w:rPr>
          <w:b/>
        </w:rPr>
      </w:pPr>
      <w:r w:rsidRPr="00D75FF1">
        <w:rPr>
          <w:b/>
        </w:rPr>
        <w:t>The Committee recommends that the State party:</w:t>
      </w:r>
    </w:p>
    <w:p w14:paraId="2D474E9E" w14:textId="77777777" w:rsidR="002468A8" w:rsidRPr="00D75FF1" w:rsidRDefault="00320DB0" w:rsidP="00F00084">
      <w:pPr>
        <w:pStyle w:val="SingleTxtG"/>
        <w:tabs>
          <w:tab w:val="clear" w:pos="1701"/>
          <w:tab w:val="clear" w:pos="2268"/>
          <w:tab w:val="clear" w:pos="2835"/>
        </w:tabs>
        <w:ind w:firstLine="567"/>
        <w:rPr>
          <w:b/>
        </w:rPr>
      </w:pPr>
      <w:r w:rsidRPr="00D75FF1">
        <w:rPr>
          <w:b/>
        </w:rPr>
        <w:t>(</w:t>
      </w:r>
      <w:proofErr w:type="spellStart"/>
      <w:r w:rsidRPr="00D75FF1">
        <w:rPr>
          <w:b/>
        </w:rPr>
        <w:t>a</w:t>
      </w:r>
      <w:proofErr w:type="spellEnd"/>
      <w:r w:rsidRPr="00D75FF1">
        <w:rPr>
          <w:b/>
        </w:rPr>
        <w:t xml:space="preserve">) </w:t>
      </w:r>
      <w:r w:rsidR="00F00084">
        <w:rPr>
          <w:b/>
        </w:rPr>
        <w:tab/>
      </w:r>
      <w:r w:rsidRPr="00D75FF1">
        <w:rPr>
          <w:b/>
        </w:rPr>
        <w:t>Accelerat</w:t>
      </w:r>
      <w:r w:rsidR="00387F60">
        <w:rPr>
          <w:b/>
        </w:rPr>
        <w:t>e its efforts towards the</w:t>
      </w:r>
      <w:r w:rsidRPr="00D75FF1">
        <w:rPr>
          <w:b/>
        </w:rPr>
        <w:t xml:space="preserve"> adoption of a national action plan on business and human rights while ensuring that both the formulation and implementation processes involve all interested parties, including representatives </w:t>
      </w:r>
      <w:r w:rsidR="00AB2C87" w:rsidRPr="00D75FF1">
        <w:rPr>
          <w:b/>
        </w:rPr>
        <w:t>of</w:t>
      </w:r>
      <w:r w:rsidR="00AB2C87">
        <w:rPr>
          <w:b/>
        </w:rPr>
        <w:t xml:space="preserve"> business</w:t>
      </w:r>
      <w:r w:rsidR="00D768D9">
        <w:rPr>
          <w:b/>
        </w:rPr>
        <w:t>es</w:t>
      </w:r>
      <w:r w:rsidRPr="00D75FF1">
        <w:rPr>
          <w:b/>
        </w:rPr>
        <w:t xml:space="preserve">, civil society organizations, </w:t>
      </w:r>
      <w:r w:rsidR="009742DD">
        <w:rPr>
          <w:b/>
        </w:rPr>
        <w:t>i</w:t>
      </w:r>
      <w:r w:rsidRPr="00D75FF1">
        <w:rPr>
          <w:b/>
        </w:rPr>
        <w:t xml:space="preserve">ndigenous </w:t>
      </w:r>
      <w:r w:rsidR="009742DD">
        <w:rPr>
          <w:b/>
        </w:rPr>
        <w:t>p</w:t>
      </w:r>
      <w:r w:rsidRPr="00D75FF1">
        <w:rPr>
          <w:b/>
        </w:rPr>
        <w:t>eoples, and the most affected communities;</w:t>
      </w:r>
    </w:p>
    <w:p w14:paraId="239FDFA3" w14:textId="77777777" w:rsidR="002468A8" w:rsidRPr="00D75FF1" w:rsidRDefault="00320DB0" w:rsidP="00F00084">
      <w:pPr>
        <w:pStyle w:val="SingleTxtG"/>
        <w:tabs>
          <w:tab w:val="clear" w:pos="1701"/>
          <w:tab w:val="clear" w:pos="2268"/>
          <w:tab w:val="clear" w:pos="2835"/>
        </w:tabs>
        <w:ind w:firstLine="567"/>
        <w:rPr>
          <w:b/>
        </w:rPr>
      </w:pPr>
      <w:r w:rsidRPr="00D75FF1">
        <w:rPr>
          <w:b/>
        </w:rPr>
        <w:t xml:space="preserve">(b) </w:t>
      </w:r>
      <w:r w:rsidR="00F00084">
        <w:rPr>
          <w:b/>
        </w:rPr>
        <w:tab/>
      </w:r>
      <w:r w:rsidRPr="00D75FF1">
        <w:rPr>
          <w:b/>
        </w:rPr>
        <w:t xml:space="preserve">Adopt appropriate legislative and administrative measures to ensure that </w:t>
      </w:r>
      <w:r w:rsidR="00AB2C87">
        <w:rPr>
          <w:b/>
        </w:rPr>
        <w:t xml:space="preserve">business entities operating in or domiciled in the State party </w:t>
      </w:r>
      <w:r w:rsidRPr="00D75FF1">
        <w:rPr>
          <w:b/>
        </w:rPr>
        <w:t>conduct human rights due diligence so as to</w:t>
      </w:r>
      <w:r w:rsidR="0029429D">
        <w:rPr>
          <w:b/>
        </w:rPr>
        <w:t xml:space="preserve"> prevent or mitigate </w:t>
      </w:r>
      <w:r w:rsidR="00C65E35">
        <w:rPr>
          <w:b/>
        </w:rPr>
        <w:t>th</w:t>
      </w:r>
      <w:r w:rsidR="0029429D">
        <w:rPr>
          <w:b/>
        </w:rPr>
        <w:t>e</w:t>
      </w:r>
      <w:r w:rsidR="00D768D9">
        <w:rPr>
          <w:b/>
        </w:rPr>
        <w:t>ir</w:t>
      </w:r>
      <w:r w:rsidR="0029429D">
        <w:rPr>
          <w:b/>
        </w:rPr>
        <w:t xml:space="preserve"> negative impacts on </w:t>
      </w:r>
      <w:r w:rsidRPr="00D75FF1">
        <w:rPr>
          <w:b/>
        </w:rPr>
        <w:t>the exercise of economic, social and cultural rights;</w:t>
      </w:r>
    </w:p>
    <w:p w14:paraId="47533AB2" w14:textId="77777777" w:rsidR="002468A8" w:rsidRPr="00D75FF1" w:rsidRDefault="00320DB0" w:rsidP="00F00084">
      <w:pPr>
        <w:pStyle w:val="SingleTxtG"/>
        <w:tabs>
          <w:tab w:val="clear" w:pos="1701"/>
          <w:tab w:val="clear" w:pos="2268"/>
          <w:tab w:val="clear" w:pos="2835"/>
        </w:tabs>
        <w:ind w:firstLine="567"/>
        <w:rPr>
          <w:b/>
        </w:rPr>
      </w:pPr>
      <w:r w:rsidRPr="00D75FF1">
        <w:rPr>
          <w:b/>
        </w:rPr>
        <w:t xml:space="preserve">(c) </w:t>
      </w:r>
      <w:r w:rsidR="00F00084">
        <w:rPr>
          <w:b/>
        </w:rPr>
        <w:tab/>
      </w:r>
      <w:r w:rsidRPr="00D75FF1">
        <w:rPr>
          <w:b/>
        </w:rPr>
        <w:t xml:space="preserve">Take all measures necessary to ensure </w:t>
      </w:r>
      <w:proofErr w:type="gramStart"/>
      <w:r w:rsidRPr="00D75FF1">
        <w:rPr>
          <w:b/>
        </w:rPr>
        <w:t xml:space="preserve">the </w:t>
      </w:r>
      <w:r w:rsidR="00F553E6">
        <w:rPr>
          <w:b/>
        </w:rPr>
        <w:t xml:space="preserve"> accountability</w:t>
      </w:r>
      <w:proofErr w:type="gramEnd"/>
      <w:r w:rsidR="00F553E6">
        <w:rPr>
          <w:b/>
        </w:rPr>
        <w:t xml:space="preserve">  </w:t>
      </w:r>
      <w:r w:rsidRPr="00D75FF1">
        <w:rPr>
          <w:b/>
        </w:rPr>
        <w:t xml:space="preserve">for violations of economic, social and cultural rights resulting from </w:t>
      </w:r>
      <w:r w:rsidR="002468A8" w:rsidRPr="00D75FF1">
        <w:rPr>
          <w:b/>
        </w:rPr>
        <w:t>business</w:t>
      </w:r>
      <w:r w:rsidRPr="00D75FF1">
        <w:rPr>
          <w:b/>
        </w:rPr>
        <w:t xml:space="preserve"> activities</w:t>
      </w:r>
      <w:r w:rsidR="002468A8" w:rsidRPr="00D75FF1">
        <w:rPr>
          <w:b/>
        </w:rPr>
        <w:t xml:space="preserve"> and development projects</w:t>
      </w:r>
      <w:r w:rsidR="00387F60">
        <w:rPr>
          <w:b/>
        </w:rPr>
        <w:t>, and</w:t>
      </w:r>
      <w:r w:rsidRPr="00D75FF1">
        <w:rPr>
          <w:b/>
        </w:rPr>
        <w:t xml:space="preserve"> ensure </w:t>
      </w:r>
      <w:r w:rsidR="00387F60">
        <w:rPr>
          <w:b/>
        </w:rPr>
        <w:t xml:space="preserve">that </w:t>
      </w:r>
      <w:r w:rsidRPr="00D75FF1">
        <w:rPr>
          <w:b/>
        </w:rPr>
        <w:t>appropriate re</w:t>
      </w:r>
      <w:r w:rsidR="00F553E6">
        <w:rPr>
          <w:b/>
        </w:rPr>
        <w:t>medies</w:t>
      </w:r>
      <w:r w:rsidRPr="00D75FF1">
        <w:rPr>
          <w:b/>
        </w:rPr>
        <w:t xml:space="preserve"> are provided to victims;</w:t>
      </w:r>
    </w:p>
    <w:p w14:paraId="5EFF8745" w14:textId="77777777" w:rsidR="002468A8" w:rsidRDefault="002468A8" w:rsidP="00F00084">
      <w:pPr>
        <w:pStyle w:val="SingleTxtG"/>
        <w:tabs>
          <w:tab w:val="clear" w:pos="1701"/>
          <w:tab w:val="clear" w:pos="2268"/>
          <w:tab w:val="clear" w:pos="2835"/>
        </w:tabs>
        <w:ind w:firstLine="567"/>
        <w:rPr>
          <w:b/>
        </w:rPr>
      </w:pPr>
      <w:r w:rsidRPr="00D75FF1">
        <w:rPr>
          <w:b/>
        </w:rPr>
        <w:t xml:space="preserve">(d) </w:t>
      </w:r>
      <w:r w:rsidR="00F00084">
        <w:rPr>
          <w:b/>
        </w:rPr>
        <w:tab/>
      </w:r>
      <w:r w:rsidR="00B21DD1">
        <w:rPr>
          <w:b/>
        </w:rPr>
        <w:t>S</w:t>
      </w:r>
      <w:r w:rsidR="00B21DD1" w:rsidRPr="00D75FF1">
        <w:rPr>
          <w:b/>
        </w:rPr>
        <w:t xml:space="preserve">ystematically </w:t>
      </w:r>
      <w:r w:rsidR="00B21DD1">
        <w:rPr>
          <w:b/>
        </w:rPr>
        <w:t>c</w:t>
      </w:r>
      <w:r w:rsidRPr="00D75FF1">
        <w:rPr>
          <w:b/>
        </w:rPr>
        <w:t xml:space="preserve">arry out </w:t>
      </w:r>
      <w:r w:rsidR="00401CD8" w:rsidRPr="00D75FF1">
        <w:rPr>
          <w:b/>
        </w:rPr>
        <w:t>consultations and</w:t>
      </w:r>
      <w:r w:rsidRPr="00D75FF1">
        <w:rPr>
          <w:b/>
        </w:rPr>
        <w:t xml:space="preserve"> independent human rights and </w:t>
      </w:r>
      <w:r w:rsidR="00B21DD1">
        <w:rPr>
          <w:b/>
        </w:rPr>
        <w:t>environmental</w:t>
      </w:r>
      <w:r w:rsidR="00B21DD1" w:rsidRPr="00D75FF1">
        <w:rPr>
          <w:b/>
        </w:rPr>
        <w:t xml:space="preserve"> </w:t>
      </w:r>
      <w:r w:rsidRPr="00D75FF1">
        <w:rPr>
          <w:b/>
        </w:rPr>
        <w:t xml:space="preserve">impact assessments </w:t>
      </w:r>
      <w:r w:rsidR="00401CD8" w:rsidRPr="00D75FF1">
        <w:rPr>
          <w:b/>
        </w:rPr>
        <w:t xml:space="preserve">in the context of </w:t>
      </w:r>
      <w:r w:rsidRPr="00D75FF1">
        <w:rPr>
          <w:b/>
        </w:rPr>
        <w:t xml:space="preserve">business activities and </w:t>
      </w:r>
      <w:r w:rsidR="00401CD8" w:rsidRPr="00D75FF1">
        <w:rPr>
          <w:b/>
        </w:rPr>
        <w:t>development projects;</w:t>
      </w:r>
      <w:r w:rsidRPr="00D75FF1">
        <w:rPr>
          <w:b/>
        </w:rPr>
        <w:t xml:space="preserve"> </w:t>
      </w:r>
    </w:p>
    <w:p w14:paraId="0BF53C49" w14:textId="77777777" w:rsidR="006E2A28" w:rsidRDefault="00E1364B" w:rsidP="00F00084">
      <w:pPr>
        <w:pStyle w:val="SingleTxtG"/>
        <w:tabs>
          <w:tab w:val="clear" w:pos="1701"/>
          <w:tab w:val="clear" w:pos="2268"/>
          <w:tab w:val="clear" w:pos="2835"/>
        </w:tabs>
        <w:ind w:firstLine="567"/>
        <w:rPr>
          <w:b/>
        </w:rPr>
      </w:pPr>
      <w:r>
        <w:rPr>
          <w:b/>
        </w:rPr>
        <w:t xml:space="preserve">(e) </w:t>
      </w:r>
      <w:r w:rsidR="00F00084">
        <w:rPr>
          <w:b/>
        </w:rPr>
        <w:tab/>
      </w:r>
      <w:r>
        <w:rPr>
          <w:b/>
        </w:rPr>
        <w:t>Provide in a transparent and comprehensive manner information concerning Special Economic Zones, including assessments of their impacts on land, local communities, workers’ rights and the environment as well as tax and investment benefits that they receive and the effectiveness of remedies that they provide in the case of rights violations;</w:t>
      </w:r>
    </w:p>
    <w:p w14:paraId="5A16644E" w14:textId="77777777" w:rsidR="00320DB0" w:rsidRPr="00D75FF1" w:rsidRDefault="00320DB0" w:rsidP="00F00084">
      <w:pPr>
        <w:pStyle w:val="SingleTxtG"/>
        <w:tabs>
          <w:tab w:val="clear" w:pos="1701"/>
          <w:tab w:val="clear" w:pos="2268"/>
          <w:tab w:val="clear" w:pos="2835"/>
        </w:tabs>
        <w:ind w:firstLine="567"/>
        <w:rPr>
          <w:b/>
        </w:rPr>
      </w:pPr>
      <w:r w:rsidRPr="00D75FF1">
        <w:rPr>
          <w:b/>
        </w:rPr>
        <w:t>(</w:t>
      </w:r>
      <w:r w:rsidR="006E2A28">
        <w:rPr>
          <w:b/>
        </w:rPr>
        <w:t>f</w:t>
      </w:r>
      <w:r w:rsidRPr="00D75FF1">
        <w:rPr>
          <w:b/>
        </w:rPr>
        <w:t xml:space="preserve">) </w:t>
      </w:r>
      <w:r w:rsidR="00F00084">
        <w:rPr>
          <w:b/>
        </w:rPr>
        <w:tab/>
      </w:r>
      <w:r w:rsidRPr="00D75FF1">
        <w:rPr>
          <w:b/>
        </w:rPr>
        <w:t>Take into account the Committee’s general comment No. 24 (2017) on State obligations under the Covenant in the context of business activities</w:t>
      </w:r>
      <w:r w:rsidR="00E1364B">
        <w:rPr>
          <w:b/>
        </w:rPr>
        <w:t>, especially the introduction of mandatory human rights due diligence</w:t>
      </w:r>
      <w:r w:rsidRPr="00D75FF1">
        <w:rPr>
          <w:b/>
        </w:rPr>
        <w:t>.</w:t>
      </w:r>
    </w:p>
    <w:p w14:paraId="2812EF7C" w14:textId="77777777" w:rsidR="00DC46C2" w:rsidRPr="00D75FF1" w:rsidRDefault="00DC46C2" w:rsidP="00DC46C2">
      <w:pPr>
        <w:pStyle w:val="H23G"/>
        <w:tabs>
          <w:tab w:val="clear" w:pos="851"/>
        </w:tabs>
        <w:ind w:left="2268"/>
      </w:pPr>
      <w:r w:rsidRPr="00D75FF1">
        <w:t xml:space="preserve">Climate change </w:t>
      </w:r>
    </w:p>
    <w:p w14:paraId="797A3824" w14:textId="77777777" w:rsidR="00DC46C2" w:rsidRPr="00D75FF1" w:rsidRDefault="00ED5494" w:rsidP="007232B8">
      <w:pPr>
        <w:pStyle w:val="SingleTxtG"/>
        <w:numPr>
          <w:ilvl w:val="0"/>
          <w:numId w:val="28"/>
        </w:numPr>
        <w:tabs>
          <w:tab w:val="clear" w:pos="1701"/>
          <w:tab w:val="clear" w:pos="2268"/>
          <w:tab w:val="clear" w:pos="2835"/>
        </w:tabs>
        <w:ind w:left="1134" w:firstLine="0"/>
      </w:pPr>
      <w:r w:rsidRPr="00D75FF1">
        <w:t xml:space="preserve">While welcoming </w:t>
      </w:r>
      <w:r w:rsidR="00DD4033" w:rsidRPr="00D75FF1">
        <w:t xml:space="preserve">the </w:t>
      </w:r>
      <w:r w:rsidRPr="00D75FF1">
        <w:t xml:space="preserve">climate change strategic plan (2014-2023) and the commitment </w:t>
      </w:r>
      <w:r w:rsidR="001D03F7">
        <w:t xml:space="preserve">by the State party </w:t>
      </w:r>
      <w:r w:rsidRPr="00D75FF1">
        <w:t xml:space="preserve">to reduce greenhouse gas emissions, the Committee remains concerned about the lack of adequate adaptation measures to </w:t>
      </w:r>
      <w:r w:rsidR="007C38A3" w:rsidRPr="00D75FF1">
        <w:t>address</w:t>
      </w:r>
      <w:r w:rsidR="000A3B65">
        <w:t xml:space="preserve"> the</w:t>
      </w:r>
      <w:r w:rsidR="007C38A3" w:rsidRPr="00D75FF1">
        <w:t xml:space="preserve"> impact </w:t>
      </w:r>
      <w:r w:rsidRPr="00D75FF1">
        <w:t>of climate change</w:t>
      </w:r>
      <w:r w:rsidR="007C38A3" w:rsidRPr="00D75FF1">
        <w:t xml:space="preserve"> on the population</w:t>
      </w:r>
      <w:r w:rsidRPr="00D75FF1">
        <w:t>. The Committee is also concerned</w:t>
      </w:r>
      <w:r w:rsidR="007C38A3" w:rsidRPr="00D75FF1">
        <w:t xml:space="preserve"> about the</w:t>
      </w:r>
      <w:r w:rsidR="001D03F7">
        <w:t xml:space="preserve"> increased </w:t>
      </w:r>
      <w:r w:rsidR="007C38A3" w:rsidRPr="00D75FF1">
        <w:t xml:space="preserve">deforestation </w:t>
      </w:r>
      <w:r w:rsidR="001D03F7">
        <w:t xml:space="preserve">in recent years and its </w:t>
      </w:r>
      <w:r w:rsidR="001D03F7" w:rsidRPr="00D75FF1">
        <w:t xml:space="preserve">effects </w:t>
      </w:r>
      <w:r w:rsidR="007C38A3" w:rsidRPr="00D75FF1">
        <w:t xml:space="preserve">on climate change, affecting the livelihood </w:t>
      </w:r>
      <w:r w:rsidR="000A3B65">
        <w:t xml:space="preserve">of indigenous peoples and other </w:t>
      </w:r>
      <w:r w:rsidR="000B4F77">
        <w:t xml:space="preserve">impacted </w:t>
      </w:r>
      <w:r w:rsidR="000A3B65">
        <w:t xml:space="preserve">communities </w:t>
      </w:r>
      <w:r w:rsidR="007C38A3" w:rsidRPr="00D75FF1">
        <w:t>and increasing the</w:t>
      </w:r>
      <w:r w:rsidR="000A3B65">
        <w:t>ir</w:t>
      </w:r>
      <w:r w:rsidR="007C38A3" w:rsidRPr="00D75FF1">
        <w:t xml:space="preserve"> vulnerability. </w:t>
      </w:r>
    </w:p>
    <w:p w14:paraId="60C8C3F3" w14:textId="77777777" w:rsidR="00EF682F" w:rsidRPr="00D75FF1" w:rsidRDefault="00EF682F" w:rsidP="007232B8">
      <w:pPr>
        <w:pStyle w:val="SingleTxtG"/>
        <w:numPr>
          <w:ilvl w:val="0"/>
          <w:numId w:val="28"/>
        </w:numPr>
        <w:tabs>
          <w:tab w:val="clear" w:pos="1701"/>
          <w:tab w:val="clear" w:pos="2268"/>
          <w:tab w:val="clear" w:pos="2835"/>
        </w:tabs>
        <w:ind w:left="1134" w:firstLine="0"/>
        <w:rPr>
          <w:b/>
        </w:rPr>
      </w:pPr>
      <w:r w:rsidRPr="00D75FF1">
        <w:rPr>
          <w:b/>
          <w:bCs/>
        </w:rPr>
        <w:t>The Committee recommends that the State party:</w:t>
      </w:r>
    </w:p>
    <w:p w14:paraId="11121952" w14:textId="77777777" w:rsidR="00EF682F" w:rsidRPr="00D75FF1" w:rsidRDefault="00EF682F" w:rsidP="00F00084">
      <w:pPr>
        <w:pStyle w:val="SingleTxtG"/>
        <w:ind w:firstLine="567"/>
        <w:rPr>
          <w:b/>
          <w:bCs/>
        </w:rPr>
      </w:pPr>
      <w:r w:rsidRPr="00D75FF1">
        <w:rPr>
          <w:b/>
          <w:bCs/>
        </w:rPr>
        <w:t xml:space="preserve">(a) Develop a </w:t>
      </w:r>
      <w:r w:rsidR="007C38A3" w:rsidRPr="00D75FF1">
        <w:rPr>
          <w:b/>
          <w:bCs/>
        </w:rPr>
        <w:t>new climate change strategic plan that includes adequate</w:t>
      </w:r>
      <w:r w:rsidRPr="00D75FF1">
        <w:rPr>
          <w:b/>
          <w:bCs/>
        </w:rPr>
        <w:t xml:space="preserve"> adaptation</w:t>
      </w:r>
      <w:r w:rsidR="007C38A3" w:rsidRPr="00D75FF1">
        <w:rPr>
          <w:b/>
          <w:bCs/>
        </w:rPr>
        <w:t xml:space="preserve"> and mitigation measures </w:t>
      </w:r>
      <w:r w:rsidRPr="00D75FF1">
        <w:rPr>
          <w:b/>
          <w:bCs/>
        </w:rPr>
        <w:t>focusing on the most significant effects of climate change;</w:t>
      </w:r>
    </w:p>
    <w:p w14:paraId="7E6222AC" w14:textId="77777777" w:rsidR="00E1364B" w:rsidRDefault="00EF682F" w:rsidP="00F00084">
      <w:pPr>
        <w:pStyle w:val="SingleTxtG"/>
        <w:ind w:firstLine="567"/>
        <w:rPr>
          <w:b/>
          <w:bCs/>
        </w:rPr>
      </w:pPr>
      <w:r w:rsidRPr="00D75FF1">
        <w:rPr>
          <w:b/>
          <w:bCs/>
        </w:rPr>
        <w:t>(b)</w:t>
      </w:r>
      <w:r w:rsidR="007C38A3" w:rsidRPr="00D75FF1">
        <w:rPr>
          <w:b/>
          <w:bCs/>
        </w:rPr>
        <w:t xml:space="preserve"> </w:t>
      </w:r>
      <w:r w:rsidR="00F00084">
        <w:rPr>
          <w:b/>
          <w:bCs/>
        </w:rPr>
        <w:tab/>
      </w:r>
      <w:r w:rsidR="007C38A3" w:rsidRPr="00D75FF1">
        <w:rPr>
          <w:b/>
          <w:bCs/>
        </w:rPr>
        <w:t xml:space="preserve">Ensure that natural resources, including forest resources, are used in accordance with a fair and equitable conservation policy </w:t>
      </w:r>
      <w:r w:rsidR="00906398">
        <w:rPr>
          <w:b/>
          <w:bCs/>
        </w:rPr>
        <w:t xml:space="preserve">developed </w:t>
      </w:r>
      <w:r w:rsidR="007C38A3" w:rsidRPr="00D75FF1">
        <w:rPr>
          <w:b/>
          <w:bCs/>
        </w:rPr>
        <w:t xml:space="preserve">in consultation with the communities concerned, </w:t>
      </w:r>
      <w:r w:rsidR="00906398">
        <w:rPr>
          <w:b/>
          <w:bCs/>
        </w:rPr>
        <w:t xml:space="preserve">such as </w:t>
      </w:r>
      <w:r w:rsidR="007C38A3" w:rsidRPr="00D75FF1">
        <w:rPr>
          <w:b/>
          <w:bCs/>
        </w:rPr>
        <w:t>indigenous peoples, civil society organizations and the authorities responsible for conservation</w:t>
      </w:r>
      <w:r w:rsidR="00E1364B">
        <w:rPr>
          <w:b/>
          <w:bCs/>
        </w:rPr>
        <w:t>;</w:t>
      </w:r>
    </w:p>
    <w:p w14:paraId="15D9100E" w14:textId="77777777" w:rsidR="00EF682F" w:rsidRPr="00D75FF1" w:rsidRDefault="00E1364B" w:rsidP="00F00084">
      <w:pPr>
        <w:pStyle w:val="SingleTxtG"/>
        <w:ind w:firstLine="567"/>
        <w:rPr>
          <w:b/>
          <w:bCs/>
        </w:rPr>
      </w:pPr>
      <w:r>
        <w:rPr>
          <w:b/>
          <w:bCs/>
        </w:rPr>
        <w:t>(c)</w:t>
      </w:r>
      <w:r w:rsidR="00F00084">
        <w:rPr>
          <w:b/>
          <w:bCs/>
        </w:rPr>
        <w:tab/>
      </w:r>
      <w:r w:rsidR="0029429D">
        <w:rPr>
          <w:b/>
          <w:bCs/>
        </w:rPr>
        <w:t xml:space="preserve">Stop </w:t>
      </w:r>
      <w:r w:rsidR="00906398">
        <w:rPr>
          <w:b/>
          <w:bCs/>
        </w:rPr>
        <w:t xml:space="preserve">the </w:t>
      </w:r>
      <w:r w:rsidR="00DB17D5">
        <w:rPr>
          <w:b/>
          <w:bCs/>
        </w:rPr>
        <w:t>practices of illegal logging</w:t>
      </w:r>
      <w:r w:rsidR="00906398">
        <w:rPr>
          <w:b/>
          <w:bCs/>
        </w:rPr>
        <w:t xml:space="preserve"> and </w:t>
      </w:r>
      <w:r w:rsidR="0029429D">
        <w:rPr>
          <w:b/>
          <w:bCs/>
        </w:rPr>
        <w:t xml:space="preserve">cease, to the extent possible, </w:t>
      </w:r>
      <w:r w:rsidR="00906398">
        <w:rPr>
          <w:b/>
          <w:bCs/>
        </w:rPr>
        <w:t xml:space="preserve">other </w:t>
      </w:r>
      <w:r w:rsidR="009A3BB0">
        <w:rPr>
          <w:b/>
          <w:bCs/>
        </w:rPr>
        <w:t>non-sustainable use of natural resources including forests</w:t>
      </w:r>
      <w:r>
        <w:rPr>
          <w:b/>
          <w:bCs/>
        </w:rPr>
        <w:t>;</w:t>
      </w:r>
    </w:p>
    <w:p w14:paraId="4349AE65" w14:textId="77777777" w:rsidR="00EF682F" w:rsidRPr="00D75FF1" w:rsidRDefault="00EF682F" w:rsidP="00F00084">
      <w:pPr>
        <w:pStyle w:val="SingleTxtG"/>
        <w:ind w:firstLine="567"/>
        <w:rPr>
          <w:b/>
          <w:bCs/>
        </w:rPr>
      </w:pPr>
      <w:r w:rsidRPr="00D75FF1">
        <w:rPr>
          <w:b/>
          <w:bCs/>
        </w:rPr>
        <w:t>(</w:t>
      </w:r>
      <w:r w:rsidR="00E1364B">
        <w:rPr>
          <w:b/>
          <w:bCs/>
        </w:rPr>
        <w:t>d</w:t>
      </w:r>
      <w:r w:rsidRPr="00D75FF1">
        <w:rPr>
          <w:b/>
          <w:bCs/>
        </w:rPr>
        <w:t>)</w:t>
      </w:r>
      <w:r w:rsidR="00F00084">
        <w:rPr>
          <w:b/>
          <w:bCs/>
        </w:rPr>
        <w:tab/>
      </w:r>
      <w:r w:rsidRPr="00D75FF1">
        <w:rPr>
          <w:b/>
          <w:bCs/>
        </w:rPr>
        <w:t xml:space="preserve">Ensure </w:t>
      </w:r>
      <w:r w:rsidR="001E0F78">
        <w:rPr>
          <w:b/>
          <w:bCs/>
        </w:rPr>
        <w:t>the development of a national ada</w:t>
      </w:r>
      <w:r w:rsidR="00E1364B">
        <w:rPr>
          <w:b/>
          <w:bCs/>
        </w:rPr>
        <w:t>p</w:t>
      </w:r>
      <w:r w:rsidR="001E0F78">
        <w:rPr>
          <w:b/>
          <w:bCs/>
        </w:rPr>
        <w:t>tion plan, t</w:t>
      </w:r>
      <w:r w:rsidR="00E1364B">
        <w:rPr>
          <w:b/>
          <w:bCs/>
        </w:rPr>
        <w:t xml:space="preserve">aking into account </w:t>
      </w:r>
      <w:r w:rsidR="001E0F78">
        <w:rPr>
          <w:b/>
          <w:bCs/>
        </w:rPr>
        <w:t>the adapt</w:t>
      </w:r>
      <w:r w:rsidR="00D768D9">
        <w:rPr>
          <w:b/>
          <w:bCs/>
        </w:rPr>
        <w:t>at</w:t>
      </w:r>
      <w:r w:rsidR="001E0F78">
        <w:rPr>
          <w:b/>
          <w:bCs/>
        </w:rPr>
        <w:t>ion needs of particular marginalized</w:t>
      </w:r>
      <w:r w:rsidR="00E1364B">
        <w:rPr>
          <w:b/>
          <w:bCs/>
        </w:rPr>
        <w:t xml:space="preserve"> and disadvantaged</w:t>
      </w:r>
      <w:r w:rsidR="001E0F78">
        <w:rPr>
          <w:b/>
          <w:bCs/>
        </w:rPr>
        <w:t xml:space="preserve"> group</w:t>
      </w:r>
      <w:r w:rsidR="00D768D9">
        <w:rPr>
          <w:b/>
          <w:bCs/>
        </w:rPr>
        <w:t>s,</w:t>
      </w:r>
      <w:r w:rsidR="00752A72">
        <w:rPr>
          <w:b/>
          <w:bCs/>
        </w:rPr>
        <w:t xml:space="preserve"> and that based on such a plan</w:t>
      </w:r>
      <w:r w:rsidR="00D768D9">
        <w:rPr>
          <w:b/>
          <w:bCs/>
        </w:rPr>
        <w:t>,</w:t>
      </w:r>
      <w:r w:rsidR="00752A72">
        <w:rPr>
          <w:b/>
          <w:bCs/>
        </w:rPr>
        <w:t xml:space="preserve"> </w:t>
      </w:r>
      <w:r w:rsidRPr="00D75FF1">
        <w:rPr>
          <w:b/>
          <w:bCs/>
        </w:rPr>
        <w:t>adaptation measures</w:t>
      </w:r>
      <w:r w:rsidR="000A3B65">
        <w:rPr>
          <w:b/>
          <w:bCs/>
        </w:rPr>
        <w:t xml:space="preserve"> for climate change</w:t>
      </w:r>
      <w:r w:rsidRPr="00D75FF1">
        <w:rPr>
          <w:b/>
          <w:bCs/>
        </w:rPr>
        <w:t xml:space="preserve"> respect economic, social and cultural rights</w:t>
      </w:r>
      <w:r w:rsidR="001E0F78">
        <w:rPr>
          <w:b/>
          <w:bCs/>
        </w:rPr>
        <w:t xml:space="preserve"> are </w:t>
      </w:r>
      <w:r w:rsidR="00752A72">
        <w:rPr>
          <w:b/>
          <w:bCs/>
        </w:rPr>
        <w:t>implemented</w:t>
      </w:r>
      <w:r w:rsidRPr="00D75FF1">
        <w:rPr>
          <w:b/>
          <w:bCs/>
        </w:rPr>
        <w:t>;</w:t>
      </w:r>
    </w:p>
    <w:p w14:paraId="7CB43334" w14:textId="656CBDDB" w:rsidR="00EF682F" w:rsidRPr="00D75FF1" w:rsidRDefault="00EF682F" w:rsidP="00F00084">
      <w:pPr>
        <w:pStyle w:val="SingleTxtG"/>
        <w:ind w:firstLine="567"/>
        <w:rPr>
          <w:b/>
          <w:bCs/>
        </w:rPr>
      </w:pPr>
      <w:r w:rsidRPr="00D75FF1">
        <w:rPr>
          <w:b/>
          <w:bCs/>
        </w:rPr>
        <w:lastRenderedPageBreak/>
        <w:t>(</w:t>
      </w:r>
      <w:proofErr w:type="spellStart"/>
      <w:r w:rsidR="000852AE">
        <w:rPr>
          <w:b/>
          <w:bCs/>
        </w:rPr>
        <w:t>e</w:t>
      </w:r>
      <w:proofErr w:type="spellEnd"/>
      <w:r w:rsidRPr="00D75FF1">
        <w:rPr>
          <w:b/>
          <w:bCs/>
        </w:rPr>
        <w:t>)</w:t>
      </w:r>
      <w:r w:rsidR="00F00084">
        <w:rPr>
          <w:b/>
          <w:bCs/>
        </w:rPr>
        <w:tab/>
      </w:r>
      <w:r w:rsidRPr="00D75FF1">
        <w:rPr>
          <w:b/>
          <w:bCs/>
        </w:rPr>
        <w:t>Take account of the Committee’s statement on climate change and the Covenant</w:t>
      </w:r>
      <w:r w:rsidR="00C94043">
        <w:rPr>
          <w:b/>
          <w:bCs/>
        </w:rPr>
        <w:t>,</w:t>
      </w:r>
      <w:r w:rsidR="00043F79">
        <w:rPr>
          <w:rStyle w:val="FootnoteReference"/>
          <w:b/>
          <w:bCs/>
        </w:rPr>
        <w:footnoteReference w:id="8"/>
      </w:r>
      <w:r w:rsidRPr="00D75FF1">
        <w:rPr>
          <w:b/>
          <w:bCs/>
        </w:rPr>
        <w:t xml:space="preserve"> adopted in October 2018.</w:t>
      </w:r>
    </w:p>
    <w:p w14:paraId="281D3BEA" w14:textId="77777777" w:rsidR="000F7E94" w:rsidRPr="00D75FF1" w:rsidRDefault="000F7E94" w:rsidP="00F00084">
      <w:pPr>
        <w:pStyle w:val="H23G"/>
        <w:ind w:firstLine="0"/>
      </w:pPr>
      <w:r w:rsidRPr="00D75FF1">
        <w:t>Right</w:t>
      </w:r>
      <w:r w:rsidR="00686A81">
        <w:t>s</w:t>
      </w:r>
      <w:r w:rsidRPr="00D75FF1">
        <w:t xml:space="preserve"> of </w:t>
      </w:r>
      <w:r w:rsidR="00D768D9">
        <w:t>i</w:t>
      </w:r>
      <w:r w:rsidR="00D768D9" w:rsidRPr="00D75FF1">
        <w:t xml:space="preserve">ndigenous </w:t>
      </w:r>
      <w:r w:rsidRPr="00D75FF1">
        <w:t xml:space="preserve">peoples </w:t>
      </w:r>
    </w:p>
    <w:p w14:paraId="04905AC0" w14:textId="77777777" w:rsidR="009D27C8" w:rsidRPr="00D75FF1" w:rsidRDefault="00080508" w:rsidP="007232B8">
      <w:pPr>
        <w:pStyle w:val="SingleTxtG"/>
        <w:numPr>
          <w:ilvl w:val="0"/>
          <w:numId w:val="28"/>
        </w:numPr>
        <w:tabs>
          <w:tab w:val="clear" w:pos="1701"/>
          <w:tab w:val="clear" w:pos="2268"/>
          <w:tab w:val="clear" w:pos="2835"/>
        </w:tabs>
        <w:ind w:left="1134" w:firstLine="0"/>
      </w:pPr>
      <w:r w:rsidRPr="00D75FF1">
        <w:t>The C</w:t>
      </w:r>
      <w:r w:rsidR="002C63C8" w:rsidRPr="00D75FF1">
        <w:t xml:space="preserve">ommittee is </w:t>
      </w:r>
      <w:r w:rsidR="00CB1237">
        <w:t xml:space="preserve">deeply </w:t>
      </w:r>
      <w:r w:rsidR="002C63C8" w:rsidRPr="00D75FF1">
        <w:t xml:space="preserve">concerned about </w:t>
      </w:r>
      <w:r w:rsidR="00140281" w:rsidRPr="00D75FF1">
        <w:t>reports of dispossession,</w:t>
      </w:r>
      <w:r w:rsidR="002C63C8" w:rsidRPr="00D75FF1">
        <w:t xml:space="preserve"> </w:t>
      </w:r>
      <w:r w:rsidR="00140281" w:rsidRPr="00D75FF1">
        <w:t xml:space="preserve">displacement </w:t>
      </w:r>
      <w:r w:rsidR="002C63C8" w:rsidRPr="00D75FF1">
        <w:t>and relocation of indigenous peoples from the</w:t>
      </w:r>
      <w:r w:rsidR="00140281" w:rsidRPr="00D75FF1">
        <w:t>ir land</w:t>
      </w:r>
      <w:r w:rsidR="00CB1237">
        <w:t xml:space="preserve"> and</w:t>
      </w:r>
      <w:r w:rsidR="00140281" w:rsidRPr="00D75FF1">
        <w:t xml:space="preserve"> </w:t>
      </w:r>
      <w:r w:rsidR="002C63C8" w:rsidRPr="00D75FF1">
        <w:t>territ</w:t>
      </w:r>
      <w:r w:rsidR="00140281" w:rsidRPr="00D75FF1">
        <w:t>ories</w:t>
      </w:r>
      <w:r w:rsidR="00CB1237">
        <w:t>,</w:t>
      </w:r>
      <w:r w:rsidR="00140281" w:rsidRPr="00D75FF1">
        <w:t xml:space="preserve"> </w:t>
      </w:r>
      <w:r w:rsidR="00CB1237">
        <w:t xml:space="preserve">including </w:t>
      </w:r>
      <w:r w:rsidR="00140281" w:rsidRPr="00D75FF1">
        <w:t>natural</w:t>
      </w:r>
      <w:r w:rsidR="006E2A28">
        <w:t>,</w:t>
      </w:r>
      <w:r w:rsidR="00140281" w:rsidRPr="00D75FF1">
        <w:t xml:space="preserve"> </w:t>
      </w:r>
      <w:r w:rsidR="00C86EE2">
        <w:t>protected areas</w:t>
      </w:r>
      <w:r w:rsidR="00140281" w:rsidRPr="00D75FF1">
        <w:t xml:space="preserve"> </w:t>
      </w:r>
      <w:r w:rsidR="002C63C8" w:rsidRPr="00D75FF1">
        <w:t xml:space="preserve">that they have traditionally occupied </w:t>
      </w:r>
      <w:r w:rsidR="007573C1">
        <w:t xml:space="preserve">often </w:t>
      </w:r>
      <w:r w:rsidR="002C63C8" w:rsidRPr="00D75FF1">
        <w:t xml:space="preserve">without respecting their right to be consulted with a view </w:t>
      </w:r>
      <w:r w:rsidR="00CB1237">
        <w:t>to</w:t>
      </w:r>
      <w:r w:rsidR="00CB1237" w:rsidRPr="00D75FF1">
        <w:t xml:space="preserve"> </w:t>
      </w:r>
      <w:r w:rsidR="002C63C8" w:rsidRPr="00D75FF1">
        <w:t>obtaining their f</w:t>
      </w:r>
      <w:r w:rsidR="00140281" w:rsidRPr="00D75FF1">
        <w:t>ree, prior and informed consent</w:t>
      </w:r>
      <w:r w:rsidR="009D27C8" w:rsidRPr="00D75FF1">
        <w:t>. The Committee is concerned about the</w:t>
      </w:r>
      <w:r w:rsidR="00140281" w:rsidRPr="00D75FF1">
        <w:t xml:space="preserve"> complex </w:t>
      </w:r>
      <w:r w:rsidR="000852AE">
        <w:t>and</w:t>
      </w:r>
      <w:r w:rsidR="00431A37">
        <w:t xml:space="preserve"> slow </w:t>
      </w:r>
      <w:r w:rsidR="00140281" w:rsidRPr="00D75FF1">
        <w:t>process for</w:t>
      </w:r>
      <w:r w:rsidR="00F40837" w:rsidRPr="00D75FF1">
        <w:t xml:space="preserve"> the registration and demarcation of</w:t>
      </w:r>
      <w:r w:rsidR="00140281" w:rsidRPr="00D75FF1">
        <w:t xml:space="preserve"> </w:t>
      </w:r>
      <w:r w:rsidR="00F40837" w:rsidRPr="00D75FF1">
        <w:t>indigenous peoples’ land and the lack</w:t>
      </w:r>
      <w:r w:rsidR="00DC24E9" w:rsidRPr="00D75FF1">
        <w:t xml:space="preserve"> of effective mechanisms for</w:t>
      </w:r>
      <w:r w:rsidR="00F40837" w:rsidRPr="00D75FF1">
        <w:t xml:space="preserve"> </w:t>
      </w:r>
      <w:r w:rsidR="000A3B65">
        <w:t xml:space="preserve">protecting their rights related to their lands, </w:t>
      </w:r>
      <w:r w:rsidR="00F40837" w:rsidRPr="00D75FF1">
        <w:t>territories and resources</w:t>
      </w:r>
      <w:r w:rsidR="009D27C8" w:rsidRPr="00D75FF1">
        <w:t xml:space="preserve"> </w:t>
      </w:r>
      <w:r w:rsidR="003B6CA4">
        <w:t xml:space="preserve">particularly when </w:t>
      </w:r>
      <w:r w:rsidR="00D768D9">
        <w:t xml:space="preserve">those have not been </w:t>
      </w:r>
      <w:r w:rsidR="00431A37">
        <w:t xml:space="preserve">registered in ongoing land </w:t>
      </w:r>
      <w:r w:rsidR="003B6CA4">
        <w:t>acquisition processes</w:t>
      </w:r>
      <w:r w:rsidR="006E2A28">
        <w:t xml:space="preserve"> </w:t>
      </w:r>
      <w:r w:rsidR="006E2A28" w:rsidRPr="00D75FF1">
        <w:t>(art. 1)</w:t>
      </w:r>
      <w:r w:rsidR="003B6CA4">
        <w:t>.</w:t>
      </w:r>
    </w:p>
    <w:p w14:paraId="30F629F4" w14:textId="77777777" w:rsidR="009D27C8" w:rsidRPr="00D75FF1" w:rsidRDefault="009D27C8" w:rsidP="007232B8">
      <w:pPr>
        <w:pStyle w:val="SingleTxtG"/>
        <w:numPr>
          <w:ilvl w:val="0"/>
          <w:numId w:val="28"/>
        </w:numPr>
        <w:tabs>
          <w:tab w:val="clear" w:pos="1701"/>
          <w:tab w:val="clear" w:pos="2268"/>
          <w:tab w:val="clear" w:pos="2835"/>
        </w:tabs>
        <w:ind w:left="1134" w:firstLine="0"/>
      </w:pPr>
      <w:r w:rsidRPr="00D75FF1">
        <w:rPr>
          <w:b/>
          <w:bCs/>
        </w:rPr>
        <w:t>The Committee recommends that the State party:</w:t>
      </w:r>
    </w:p>
    <w:p w14:paraId="6EB443F0" w14:textId="77777777" w:rsidR="00D84357" w:rsidRDefault="00D84357" w:rsidP="00B07F11">
      <w:pPr>
        <w:pStyle w:val="SingleTxtG"/>
        <w:numPr>
          <w:ilvl w:val="0"/>
          <w:numId w:val="30"/>
        </w:numPr>
        <w:tabs>
          <w:tab w:val="clear" w:pos="2268"/>
          <w:tab w:val="clear" w:pos="2835"/>
        </w:tabs>
        <w:ind w:left="1134" w:firstLine="564"/>
        <w:rPr>
          <w:b/>
        </w:rPr>
      </w:pPr>
      <w:r w:rsidRPr="00D75FF1">
        <w:rPr>
          <w:b/>
        </w:rPr>
        <w:t xml:space="preserve">Adopt an adequate legal framework that provides effective recognition and protection </w:t>
      </w:r>
      <w:r>
        <w:rPr>
          <w:b/>
        </w:rPr>
        <w:t>to</w:t>
      </w:r>
      <w:r w:rsidRPr="00D75FF1">
        <w:rPr>
          <w:b/>
          <w:bCs/>
        </w:rPr>
        <w:t xml:space="preserve"> the rights of indigenous peoples to possess, use, develop and control their lands, territories and resources, and ensure that </w:t>
      </w:r>
      <w:r w:rsidRPr="00D75FF1">
        <w:rPr>
          <w:b/>
        </w:rPr>
        <w:t>effective mechanisms with adequate human, technical and financial resources are in place to ensure the effective enfo</w:t>
      </w:r>
      <w:r>
        <w:rPr>
          <w:b/>
        </w:rPr>
        <w:t xml:space="preserve">rcement of such </w:t>
      </w:r>
      <w:r w:rsidR="00D768D9">
        <w:rPr>
          <w:b/>
        </w:rPr>
        <w:t xml:space="preserve">a </w:t>
      </w:r>
      <w:r>
        <w:rPr>
          <w:b/>
        </w:rPr>
        <w:t>legal framework;</w:t>
      </w:r>
      <w:r w:rsidRPr="00D75FF1">
        <w:rPr>
          <w:b/>
        </w:rPr>
        <w:t xml:space="preserve">  </w:t>
      </w:r>
    </w:p>
    <w:p w14:paraId="149F4746" w14:textId="77777777" w:rsidR="00DC24E9" w:rsidRPr="00D75FF1" w:rsidRDefault="00DC24E9" w:rsidP="00B07F11">
      <w:pPr>
        <w:pStyle w:val="SingleTxtG"/>
        <w:numPr>
          <w:ilvl w:val="0"/>
          <w:numId w:val="30"/>
        </w:numPr>
        <w:tabs>
          <w:tab w:val="clear" w:pos="2835"/>
        </w:tabs>
        <w:ind w:left="1134" w:firstLine="555"/>
      </w:pPr>
      <w:r w:rsidRPr="00D75FF1">
        <w:rPr>
          <w:b/>
          <w:bCs/>
        </w:rPr>
        <w:t xml:space="preserve">Ensure that indigenous peoples are not </w:t>
      </w:r>
      <w:r w:rsidR="000A3B65" w:rsidRPr="00D75FF1">
        <w:rPr>
          <w:b/>
          <w:bCs/>
        </w:rPr>
        <w:t>dispo</w:t>
      </w:r>
      <w:r w:rsidR="000A3B65">
        <w:rPr>
          <w:b/>
          <w:bCs/>
        </w:rPr>
        <w:t>sse</w:t>
      </w:r>
      <w:r w:rsidR="000A3B65" w:rsidRPr="00D75FF1">
        <w:rPr>
          <w:b/>
          <w:bCs/>
        </w:rPr>
        <w:t>ssed</w:t>
      </w:r>
      <w:r w:rsidR="00442928" w:rsidRPr="00D75FF1">
        <w:rPr>
          <w:b/>
          <w:bCs/>
        </w:rPr>
        <w:t xml:space="preserve">, displaced or </w:t>
      </w:r>
      <w:r w:rsidRPr="00D75FF1">
        <w:rPr>
          <w:b/>
          <w:bCs/>
        </w:rPr>
        <w:t>relocated</w:t>
      </w:r>
      <w:r w:rsidR="00442928" w:rsidRPr="00D75FF1">
        <w:rPr>
          <w:b/>
          <w:bCs/>
        </w:rPr>
        <w:t xml:space="preserve"> from their</w:t>
      </w:r>
      <w:r w:rsidR="000852AE">
        <w:rPr>
          <w:b/>
          <w:bCs/>
        </w:rPr>
        <w:t xml:space="preserve"> ancestral</w:t>
      </w:r>
      <w:r w:rsidR="00442928" w:rsidRPr="00D75FF1">
        <w:rPr>
          <w:b/>
          <w:bCs/>
        </w:rPr>
        <w:t xml:space="preserve"> land </w:t>
      </w:r>
      <w:r w:rsidR="000852AE">
        <w:rPr>
          <w:b/>
          <w:bCs/>
        </w:rPr>
        <w:t xml:space="preserve">and </w:t>
      </w:r>
      <w:r w:rsidR="00442928" w:rsidRPr="00D75FF1">
        <w:rPr>
          <w:b/>
          <w:bCs/>
        </w:rPr>
        <w:t>territories</w:t>
      </w:r>
      <w:r w:rsidR="00CB1237">
        <w:rPr>
          <w:b/>
          <w:bCs/>
        </w:rPr>
        <w:t>,</w:t>
      </w:r>
      <w:r w:rsidR="00442928" w:rsidRPr="00D75FF1">
        <w:rPr>
          <w:b/>
          <w:bCs/>
        </w:rPr>
        <w:t xml:space="preserve"> </w:t>
      </w:r>
      <w:r w:rsidR="00CB1237">
        <w:rPr>
          <w:b/>
          <w:bCs/>
        </w:rPr>
        <w:t xml:space="preserve">including access to </w:t>
      </w:r>
      <w:r w:rsidR="00442928" w:rsidRPr="00D75FF1">
        <w:rPr>
          <w:b/>
          <w:bCs/>
        </w:rPr>
        <w:t>natural resources</w:t>
      </w:r>
      <w:r w:rsidR="00CB1237">
        <w:rPr>
          <w:b/>
          <w:bCs/>
        </w:rPr>
        <w:t>,</w:t>
      </w:r>
      <w:r w:rsidRPr="00D75FF1">
        <w:rPr>
          <w:b/>
          <w:bCs/>
        </w:rPr>
        <w:t xml:space="preserve"> without following all legal and procedural </w:t>
      </w:r>
      <w:r w:rsidR="000A3B65">
        <w:rPr>
          <w:b/>
          <w:bCs/>
        </w:rPr>
        <w:t xml:space="preserve">international </w:t>
      </w:r>
      <w:r w:rsidRPr="00D75FF1">
        <w:rPr>
          <w:b/>
          <w:bCs/>
        </w:rPr>
        <w:t>safeguards;</w:t>
      </w:r>
      <w:r w:rsidR="007C4219">
        <w:rPr>
          <w:b/>
          <w:bCs/>
        </w:rPr>
        <w:t xml:space="preserve"> in this regard</w:t>
      </w:r>
      <w:r w:rsidR="000852AE">
        <w:rPr>
          <w:b/>
          <w:bCs/>
        </w:rPr>
        <w:t>,</w:t>
      </w:r>
      <w:r w:rsidR="007C4219">
        <w:rPr>
          <w:b/>
          <w:bCs/>
        </w:rPr>
        <w:t xml:space="preserve"> </w:t>
      </w:r>
      <w:r w:rsidR="00D42F2F">
        <w:rPr>
          <w:b/>
          <w:bCs/>
        </w:rPr>
        <w:t xml:space="preserve">the State party </w:t>
      </w:r>
      <w:r w:rsidR="006E2A28">
        <w:rPr>
          <w:b/>
          <w:bCs/>
        </w:rPr>
        <w:t xml:space="preserve">should </w:t>
      </w:r>
      <w:r w:rsidR="00103A20">
        <w:rPr>
          <w:b/>
          <w:bCs/>
        </w:rPr>
        <w:t xml:space="preserve">also accelerate, </w:t>
      </w:r>
      <w:r w:rsidR="00D42F2F">
        <w:rPr>
          <w:b/>
          <w:bCs/>
        </w:rPr>
        <w:t xml:space="preserve">to the </w:t>
      </w:r>
      <w:r w:rsidR="00103A20">
        <w:rPr>
          <w:b/>
          <w:bCs/>
        </w:rPr>
        <w:t xml:space="preserve">extent </w:t>
      </w:r>
      <w:r w:rsidR="00D42F2F">
        <w:rPr>
          <w:b/>
          <w:bCs/>
        </w:rPr>
        <w:t>possible</w:t>
      </w:r>
      <w:r w:rsidR="00103A20">
        <w:rPr>
          <w:b/>
          <w:bCs/>
        </w:rPr>
        <w:t>,</w:t>
      </w:r>
      <w:r w:rsidR="00D42F2F">
        <w:rPr>
          <w:b/>
          <w:bCs/>
        </w:rPr>
        <w:t xml:space="preserve"> the</w:t>
      </w:r>
      <w:r w:rsidR="00103A20">
        <w:rPr>
          <w:b/>
          <w:bCs/>
        </w:rPr>
        <w:t xml:space="preserve"> process of</w:t>
      </w:r>
      <w:r w:rsidR="00D42F2F">
        <w:rPr>
          <w:b/>
          <w:bCs/>
        </w:rPr>
        <w:t xml:space="preserve"> </w:t>
      </w:r>
      <w:r w:rsidR="00D768D9">
        <w:rPr>
          <w:b/>
          <w:bCs/>
        </w:rPr>
        <w:t xml:space="preserve">registration </w:t>
      </w:r>
      <w:r w:rsidR="00886F4E">
        <w:rPr>
          <w:b/>
          <w:bCs/>
        </w:rPr>
        <w:t>and demarcation of such indigenous</w:t>
      </w:r>
      <w:r w:rsidR="00103A20">
        <w:rPr>
          <w:b/>
          <w:bCs/>
        </w:rPr>
        <w:t xml:space="preserve"> land and</w:t>
      </w:r>
      <w:r w:rsidR="00886F4E">
        <w:rPr>
          <w:b/>
          <w:bCs/>
        </w:rPr>
        <w:t xml:space="preserve"> territories</w:t>
      </w:r>
      <w:r w:rsidR="00D61183">
        <w:rPr>
          <w:b/>
          <w:bCs/>
        </w:rPr>
        <w:t>;</w:t>
      </w:r>
    </w:p>
    <w:p w14:paraId="3D7E1049" w14:textId="77777777" w:rsidR="009D27C8" w:rsidRPr="00D75FF1" w:rsidRDefault="00DC24E9" w:rsidP="00F40837">
      <w:pPr>
        <w:pStyle w:val="SingleTxtG"/>
        <w:rPr>
          <w:b/>
          <w:noProof/>
        </w:rPr>
      </w:pPr>
      <w:r w:rsidRPr="00D75FF1">
        <w:tab/>
        <w:t>(</w:t>
      </w:r>
      <w:r w:rsidR="00D61183">
        <w:t>c</w:t>
      </w:r>
      <w:r w:rsidRPr="00D75FF1">
        <w:t xml:space="preserve">) </w:t>
      </w:r>
      <w:r w:rsidRPr="00D75FF1">
        <w:tab/>
      </w:r>
      <w:r w:rsidR="009D27C8" w:rsidRPr="00D75FF1">
        <w:rPr>
          <w:b/>
          <w:bCs/>
        </w:rPr>
        <w:t xml:space="preserve">Design, adopt and implement, in consultation with indigenous peoples, an appropriate procedure to guarantee their right to be consulted with a view to obtaining their free, prior and informed consent to any legislative or administrative measure that may affect their rights and territories, and ensure that the procedure </w:t>
      </w:r>
      <w:r w:rsidR="000852AE">
        <w:rPr>
          <w:b/>
          <w:bCs/>
        </w:rPr>
        <w:t>respects</w:t>
      </w:r>
      <w:r w:rsidR="000852AE" w:rsidRPr="00D75FF1">
        <w:rPr>
          <w:b/>
          <w:bCs/>
        </w:rPr>
        <w:t xml:space="preserve"> </w:t>
      </w:r>
      <w:r w:rsidR="009D27C8" w:rsidRPr="00D75FF1">
        <w:rPr>
          <w:b/>
          <w:bCs/>
        </w:rPr>
        <w:t>their traditions and cultural specificit</w:t>
      </w:r>
      <w:r w:rsidR="00F40837" w:rsidRPr="00D75FF1">
        <w:rPr>
          <w:b/>
          <w:bCs/>
        </w:rPr>
        <w:t>ies;</w:t>
      </w:r>
    </w:p>
    <w:p w14:paraId="2843A1C7" w14:textId="77777777" w:rsidR="002D0531" w:rsidRPr="00D75FF1" w:rsidRDefault="002D0531" w:rsidP="005B4EE3">
      <w:pPr>
        <w:pStyle w:val="SingleTxtG"/>
        <w:rPr>
          <w:b/>
        </w:rPr>
      </w:pPr>
      <w:r>
        <w:rPr>
          <w:b/>
        </w:rPr>
        <w:tab/>
        <w:t xml:space="preserve">(d) </w:t>
      </w:r>
      <w:r>
        <w:rPr>
          <w:b/>
        </w:rPr>
        <w:tab/>
      </w:r>
      <w:r w:rsidR="00686A81">
        <w:rPr>
          <w:b/>
        </w:rPr>
        <w:t>R</w:t>
      </w:r>
      <w:r w:rsidR="00AB2C87">
        <w:rPr>
          <w:b/>
        </w:rPr>
        <w:t>atif</w:t>
      </w:r>
      <w:r w:rsidR="00686A81">
        <w:rPr>
          <w:b/>
        </w:rPr>
        <w:t>y</w:t>
      </w:r>
      <w:r>
        <w:rPr>
          <w:b/>
        </w:rPr>
        <w:t xml:space="preserve"> the ILO </w:t>
      </w:r>
      <w:r w:rsidRPr="002D0531">
        <w:rPr>
          <w:b/>
        </w:rPr>
        <w:t>Indigenous and Tribal Peoples Convention, 1989 (No. 169)</w:t>
      </w:r>
      <w:r>
        <w:rPr>
          <w:b/>
        </w:rPr>
        <w:t xml:space="preserve">. </w:t>
      </w:r>
    </w:p>
    <w:p w14:paraId="45A2204A" w14:textId="77777777" w:rsidR="00DC46C2" w:rsidRPr="00B81137" w:rsidRDefault="00DC46C2" w:rsidP="00B81137">
      <w:pPr>
        <w:pStyle w:val="H23G"/>
        <w:ind w:firstLine="0"/>
      </w:pPr>
      <w:r w:rsidRPr="00D75FF1">
        <w:t>Maximum available resources (art. 2 (1))</w:t>
      </w:r>
    </w:p>
    <w:p w14:paraId="77BD9E48" w14:textId="77777777" w:rsidR="00DC46C2" w:rsidRPr="00D75FF1" w:rsidRDefault="00D75FF1" w:rsidP="007232B8">
      <w:pPr>
        <w:pStyle w:val="SingleTxtG"/>
        <w:numPr>
          <w:ilvl w:val="0"/>
          <w:numId w:val="28"/>
        </w:numPr>
        <w:tabs>
          <w:tab w:val="clear" w:pos="1701"/>
          <w:tab w:val="clear" w:pos="2268"/>
          <w:tab w:val="clear" w:pos="2835"/>
        </w:tabs>
        <w:ind w:left="1134" w:firstLine="0"/>
      </w:pPr>
      <w:r w:rsidRPr="00D75FF1">
        <w:t xml:space="preserve">The Committee regrets not having received information from the </w:t>
      </w:r>
      <w:r w:rsidR="000A3B65">
        <w:t>State</w:t>
      </w:r>
      <w:r w:rsidRPr="00D75FF1">
        <w:t xml:space="preserve"> party on its taxation system and how resources are distributed for the protection and fulfilment of economic, social and cultural rights, especially to combat inequalities in their enjoyment (art. 2 (2). </w:t>
      </w:r>
    </w:p>
    <w:p w14:paraId="406E2379" w14:textId="77777777" w:rsidR="00DC46C2" w:rsidRPr="006B2E63" w:rsidRDefault="00D75FF1" w:rsidP="007232B8">
      <w:pPr>
        <w:pStyle w:val="SingleTxtG"/>
        <w:numPr>
          <w:ilvl w:val="0"/>
          <w:numId w:val="28"/>
        </w:numPr>
        <w:tabs>
          <w:tab w:val="clear" w:pos="1701"/>
          <w:tab w:val="clear" w:pos="2268"/>
          <w:tab w:val="clear" w:pos="2835"/>
        </w:tabs>
        <w:ind w:left="1134" w:firstLine="0"/>
      </w:pPr>
      <w:r w:rsidRPr="00D75FF1">
        <w:rPr>
          <w:b/>
          <w:bCs/>
        </w:rPr>
        <w:t>The Committee recommends that the State party ensure the progressive realization of economic, social and cultural rights by substantially increasing the level of public social expenditure, especially in the areas of social secur</w:t>
      </w:r>
      <w:r w:rsidR="006B2E63">
        <w:rPr>
          <w:b/>
          <w:bCs/>
        </w:rPr>
        <w:t>ity, health care and education,</w:t>
      </w:r>
      <w:r w:rsidRPr="00D75FF1">
        <w:rPr>
          <w:b/>
          <w:bCs/>
        </w:rPr>
        <w:t xml:space="preserve"> with a view to reducing inequalities in the enjoyment of these rights. </w:t>
      </w:r>
      <w:r w:rsidR="006B2E63">
        <w:rPr>
          <w:b/>
          <w:bCs/>
        </w:rPr>
        <w:t xml:space="preserve">The </w:t>
      </w:r>
      <w:r w:rsidR="006B2E63" w:rsidRPr="006B2E63">
        <w:rPr>
          <w:b/>
          <w:bCs/>
        </w:rPr>
        <w:t xml:space="preserve">Committee recommends that the State party elaborate and implements its national budget </w:t>
      </w:r>
      <w:r w:rsidR="006B2E63" w:rsidRPr="006B2E63">
        <w:rPr>
          <w:b/>
        </w:rPr>
        <w:t xml:space="preserve">in </w:t>
      </w:r>
      <w:r w:rsidR="006B2E63">
        <w:rPr>
          <w:b/>
        </w:rPr>
        <w:t>a</w:t>
      </w:r>
      <w:r w:rsidR="006B2E63" w:rsidRPr="006B2E63">
        <w:rPr>
          <w:b/>
        </w:rPr>
        <w:t xml:space="preserve"> transparent and participatory</w:t>
      </w:r>
      <w:r w:rsidR="006B2E63">
        <w:rPr>
          <w:b/>
        </w:rPr>
        <w:t xml:space="preserve"> manner. </w:t>
      </w:r>
    </w:p>
    <w:p w14:paraId="5C53A169" w14:textId="77777777" w:rsidR="00366305" w:rsidRPr="00D75FF1" w:rsidRDefault="00366305" w:rsidP="00B81137">
      <w:pPr>
        <w:pStyle w:val="H23G"/>
        <w:ind w:firstLine="0"/>
      </w:pPr>
      <w:r w:rsidRPr="00D75FF1">
        <w:tab/>
        <w:t>Corruption</w:t>
      </w:r>
    </w:p>
    <w:p w14:paraId="0F642BCA" w14:textId="77777777" w:rsidR="00366305" w:rsidRPr="00D75FF1" w:rsidRDefault="00366305" w:rsidP="007232B8">
      <w:pPr>
        <w:pStyle w:val="SingleTxtG"/>
        <w:numPr>
          <w:ilvl w:val="0"/>
          <w:numId w:val="28"/>
        </w:numPr>
        <w:tabs>
          <w:tab w:val="clear" w:pos="1701"/>
          <w:tab w:val="clear" w:pos="2268"/>
          <w:tab w:val="clear" w:pos="2835"/>
        </w:tabs>
        <w:ind w:left="1134" w:firstLine="0"/>
      </w:pPr>
      <w:r w:rsidRPr="00D75FF1">
        <w:t>The Committee is concerned about reports that high levels of corruption and impunity persist in the State party, including in the management of land, the concession</w:t>
      </w:r>
      <w:r w:rsidR="001B12F7">
        <w:t>s for investments and</w:t>
      </w:r>
      <w:r w:rsidRPr="00D75FF1">
        <w:t xml:space="preserve"> development projects, as well as in the health and education sectors. The Committee is also concerned about the information available regarding the lack of independence and corruption in the judicial system and other accountability mechanisms</w:t>
      </w:r>
      <w:r w:rsidR="00B8787C">
        <w:t xml:space="preserve"> hindering the access to justice for violations of economic, social and cultural rights</w:t>
      </w:r>
      <w:r w:rsidR="0038262D">
        <w:t xml:space="preserve"> particularly also in all land related contexts</w:t>
      </w:r>
      <w:r w:rsidRPr="00D75FF1">
        <w:t>. Furthermore, the Committee is concerned about the lack of adequate protection for those reporting cases of corruption and the restricted access to information of public interest (art. 2 (1)).</w:t>
      </w:r>
    </w:p>
    <w:p w14:paraId="10F0946A" w14:textId="77777777" w:rsidR="00366305" w:rsidRPr="00D75FF1" w:rsidRDefault="00366305" w:rsidP="007232B8">
      <w:pPr>
        <w:pStyle w:val="SingleTxtG"/>
        <w:numPr>
          <w:ilvl w:val="0"/>
          <w:numId w:val="28"/>
        </w:numPr>
        <w:tabs>
          <w:tab w:val="clear" w:pos="1701"/>
          <w:tab w:val="clear" w:pos="2268"/>
          <w:tab w:val="clear" w:pos="2835"/>
        </w:tabs>
        <w:ind w:left="1134" w:firstLine="0"/>
        <w:rPr>
          <w:b/>
          <w:noProof/>
        </w:rPr>
      </w:pPr>
      <w:r w:rsidRPr="00D75FF1">
        <w:rPr>
          <w:b/>
          <w:bCs/>
        </w:rPr>
        <w:lastRenderedPageBreak/>
        <w:t xml:space="preserve">The Committee recommends </w:t>
      </w:r>
      <w:r w:rsidR="007F3B1A">
        <w:rPr>
          <w:b/>
          <w:bCs/>
        </w:rPr>
        <w:t xml:space="preserve">that </w:t>
      </w:r>
      <w:r w:rsidRPr="00D75FF1">
        <w:rPr>
          <w:b/>
          <w:bCs/>
        </w:rPr>
        <w:t xml:space="preserve">the State party redouble its efforts to prevent and eradicate corruption at all levels, including in the judicial system and to adopt adequate measures to ensure transparency and accountability in the public administration. The Committee urges the State party to ensure the effective implementation of the Anti-Corruption Law with a view to effectively combating impunity in this sphere. The Committee recommends </w:t>
      </w:r>
      <w:r w:rsidR="007F3B1A">
        <w:rPr>
          <w:b/>
          <w:bCs/>
        </w:rPr>
        <w:t xml:space="preserve">that </w:t>
      </w:r>
      <w:r w:rsidRPr="00D75FF1">
        <w:rPr>
          <w:b/>
          <w:bCs/>
        </w:rPr>
        <w:t>the State party adopt, in meaningful consultation with civil society and stakeholders, adequate legislative and administrative measures to provide effective protection to victims of corruption, their lawyers, activists who campaign against corruption, whistle-blowers and witnesses.</w:t>
      </w:r>
    </w:p>
    <w:p w14:paraId="787A6A8A" w14:textId="77777777" w:rsidR="00DC46C2" w:rsidRPr="00D75FF1" w:rsidRDefault="00DC46C2" w:rsidP="00B81137">
      <w:pPr>
        <w:pStyle w:val="H23G"/>
        <w:ind w:firstLine="0"/>
      </w:pPr>
      <w:r w:rsidRPr="00D75FF1">
        <w:t>N</w:t>
      </w:r>
      <w:r w:rsidR="00994AF0" w:rsidRPr="00D75FF1">
        <w:t>on-discrimination</w:t>
      </w:r>
    </w:p>
    <w:p w14:paraId="0B562DA4" w14:textId="77777777" w:rsidR="005B4EE3" w:rsidRPr="00D75FF1" w:rsidRDefault="005B4EE3" w:rsidP="007232B8">
      <w:pPr>
        <w:pStyle w:val="SingleTxtG"/>
        <w:numPr>
          <w:ilvl w:val="0"/>
          <w:numId w:val="28"/>
        </w:numPr>
        <w:tabs>
          <w:tab w:val="clear" w:pos="1701"/>
          <w:tab w:val="clear" w:pos="2268"/>
          <w:tab w:val="clear" w:pos="2835"/>
        </w:tabs>
        <w:ind w:left="1134" w:firstLine="0"/>
      </w:pPr>
      <w:r w:rsidRPr="00D75FF1">
        <w:t xml:space="preserve">The Committee is concerned </w:t>
      </w:r>
      <w:r w:rsidR="000E0C82" w:rsidRPr="00D75FF1">
        <w:t>about the lack of a comprehensive anti-d</w:t>
      </w:r>
      <w:r w:rsidR="00B8787C">
        <w:t>iscrimination legal framework that</w:t>
      </w:r>
      <w:r w:rsidR="000E0C82" w:rsidRPr="00D75FF1">
        <w:t xml:space="preserve"> cover</w:t>
      </w:r>
      <w:r w:rsidR="00B8787C">
        <w:t>s</w:t>
      </w:r>
      <w:r w:rsidR="000E0C82" w:rsidRPr="00D75FF1">
        <w:t xml:space="preserve"> all grounds of discrimination prohibited under the Covenant (art. 2</w:t>
      </w:r>
      <w:r w:rsidR="00536E28" w:rsidRPr="00D75FF1">
        <w:t xml:space="preserve"> (</w:t>
      </w:r>
      <w:r w:rsidR="000E0C82" w:rsidRPr="00D75FF1">
        <w:t>2)</w:t>
      </w:r>
      <w:r w:rsidR="00536E28" w:rsidRPr="00D75FF1">
        <w:t>).</w:t>
      </w:r>
    </w:p>
    <w:p w14:paraId="0421A9A6" w14:textId="77777777" w:rsidR="00686A81" w:rsidRDefault="00320DB0" w:rsidP="007232B8">
      <w:pPr>
        <w:pStyle w:val="SingleTxtG"/>
        <w:numPr>
          <w:ilvl w:val="0"/>
          <w:numId w:val="28"/>
        </w:numPr>
        <w:tabs>
          <w:tab w:val="clear" w:pos="1701"/>
          <w:tab w:val="clear" w:pos="2268"/>
          <w:tab w:val="clear" w:pos="2835"/>
        </w:tabs>
        <w:ind w:left="1134" w:firstLine="0"/>
        <w:rPr>
          <w:b/>
        </w:rPr>
      </w:pPr>
      <w:r w:rsidRPr="00D75FF1">
        <w:rPr>
          <w:b/>
        </w:rPr>
        <w:t>The Committee reco</w:t>
      </w:r>
      <w:r w:rsidR="00536E28" w:rsidRPr="00D75FF1">
        <w:rPr>
          <w:b/>
        </w:rPr>
        <w:t>mmends that the State party a</w:t>
      </w:r>
      <w:r w:rsidRPr="00D75FF1">
        <w:rPr>
          <w:b/>
        </w:rPr>
        <w:t xml:space="preserve">dopt a comprehensive law on non-discrimination that provides sufficient protection against discrimination in </w:t>
      </w:r>
      <w:r w:rsidR="00536E28" w:rsidRPr="00D75FF1">
        <w:rPr>
          <w:b/>
        </w:rPr>
        <w:t>accordance</w:t>
      </w:r>
      <w:r w:rsidRPr="00D75FF1">
        <w:rPr>
          <w:b/>
        </w:rPr>
        <w:t xml:space="preserve"> with articl</w:t>
      </w:r>
      <w:r w:rsidR="00B8787C">
        <w:rPr>
          <w:b/>
        </w:rPr>
        <w:t xml:space="preserve">e 2 of the Covenant and that: </w:t>
      </w:r>
    </w:p>
    <w:p w14:paraId="1A75FA35" w14:textId="77777777" w:rsidR="00686A81" w:rsidRDefault="00B8787C" w:rsidP="006B2A21">
      <w:pPr>
        <w:pStyle w:val="SingleTxtG"/>
        <w:tabs>
          <w:tab w:val="clear" w:pos="1701"/>
          <w:tab w:val="clear" w:pos="2268"/>
          <w:tab w:val="clear" w:pos="2835"/>
        </w:tabs>
        <w:ind w:firstLine="567"/>
        <w:rPr>
          <w:b/>
        </w:rPr>
      </w:pPr>
      <w:r>
        <w:rPr>
          <w:b/>
        </w:rPr>
        <w:t>(</w:t>
      </w:r>
      <w:proofErr w:type="spellStart"/>
      <w:r>
        <w:rPr>
          <w:b/>
        </w:rPr>
        <w:t>a</w:t>
      </w:r>
      <w:proofErr w:type="spellEnd"/>
      <w:r w:rsidR="00320DB0" w:rsidRPr="00D75FF1">
        <w:rPr>
          <w:b/>
        </w:rPr>
        <w:t xml:space="preserve">) </w:t>
      </w:r>
      <w:r w:rsidR="006B2A21">
        <w:rPr>
          <w:b/>
        </w:rPr>
        <w:tab/>
      </w:r>
      <w:r w:rsidR="00AB2C87">
        <w:rPr>
          <w:b/>
        </w:rPr>
        <w:t>E</w:t>
      </w:r>
      <w:r w:rsidR="00320DB0" w:rsidRPr="00D75FF1">
        <w:rPr>
          <w:b/>
        </w:rPr>
        <w:t>xplicitly includes all prohibited grounds for discrimination enumerated in that article and in general comment No. 20 (2009) on non-discrimination in economic,</w:t>
      </w:r>
      <w:r>
        <w:rPr>
          <w:b/>
        </w:rPr>
        <w:t xml:space="preserve"> social and cultural rights; </w:t>
      </w:r>
    </w:p>
    <w:p w14:paraId="3B0C7FDF" w14:textId="77777777" w:rsidR="00686A81" w:rsidRDefault="00B8787C" w:rsidP="006B2A21">
      <w:pPr>
        <w:pStyle w:val="SingleTxtG"/>
        <w:tabs>
          <w:tab w:val="clear" w:pos="1701"/>
          <w:tab w:val="clear" w:pos="2268"/>
          <w:tab w:val="clear" w:pos="2835"/>
        </w:tabs>
        <w:ind w:firstLine="567"/>
        <w:rPr>
          <w:b/>
        </w:rPr>
      </w:pPr>
      <w:r>
        <w:rPr>
          <w:b/>
        </w:rPr>
        <w:t>(b</w:t>
      </w:r>
      <w:r w:rsidR="00320DB0" w:rsidRPr="00D75FF1">
        <w:rPr>
          <w:b/>
        </w:rPr>
        <w:t xml:space="preserve">) </w:t>
      </w:r>
      <w:r w:rsidR="006B2A21">
        <w:rPr>
          <w:b/>
        </w:rPr>
        <w:tab/>
      </w:r>
      <w:r w:rsidR="00AB2C87">
        <w:rPr>
          <w:b/>
        </w:rPr>
        <w:t>D</w:t>
      </w:r>
      <w:r w:rsidR="00320DB0" w:rsidRPr="00D75FF1">
        <w:rPr>
          <w:b/>
        </w:rPr>
        <w:t>efines direct and indirect discrimination in line with the State party’s obli</w:t>
      </w:r>
      <w:r>
        <w:rPr>
          <w:b/>
        </w:rPr>
        <w:t xml:space="preserve">gations under the Covenant; </w:t>
      </w:r>
    </w:p>
    <w:p w14:paraId="699265D3" w14:textId="77777777" w:rsidR="00686A81" w:rsidRDefault="00B8787C" w:rsidP="006B2A21">
      <w:pPr>
        <w:pStyle w:val="SingleTxtG"/>
        <w:tabs>
          <w:tab w:val="clear" w:pos="1701"/>
          <w:tab w:val="clear" w:pos="2268"/>
          <w:tab w:val="clear" w:pos="2835"/>
        </w:tabs>
        <w:ind w:firstLine="567"/>
        <w:rPr>
          <w:b/>
        </w:rPr>
      </w:pPr>
      <w:r>
        <w:rPr>
          <w:b/>
        </w:rPr>
        <w:t>(c</w:t>
      </w:r>
      <w:r w:rsidR="00320DB0" w:rsidRPr="00D75FF1">
        <w:rPr>
          <w:b/>
        </w:rPr>
        <w:t xml:space="preserve">) </w:t>
      </w:r>
      <w:r w:rsidR="006B2A21">
        <w:rPr>
          <w:b/>
        </w:rPr>
        <w:tab/>
      </w:r>
      <w:r w:rsidR="00AB2C87">
        <w:rPr>
          <w:b/>
        </w:rPr>
        <w:t>P</w:t>
      </w:r>
      <w:r w:rsidR="00320DB0" w:rsidRPr="00D75FF1">
        <w:rPr>
          <w:b/>
        </w:rPr>
        <w:t xml:space="preserve">rohibits discrimination in the </w:t>
      </w:r>
      <w:r>
        <w:rPr>
          <w:b/>
        </w:rPr>
        <w:t xml:space="preserve">public and private spheres; </w:t>
      </w:r>
    </w:p>
    <w:p w14:paraId="30594B5C" w14:textId="77777777" w:rsidR="005B4EE3" w:rsidRPr="00D75FF1" w:rsidRDefault="00B8787C" w:rsidP="006B2A21">
      <w:pPr>
        <w:pStyle w:val="SingleTxtG"/>
        <w:tabs>
          <w:tab w:val="clear" w:pos="1701"/>
          <w:tab w:val="clear" w:pos="2268"/>
          <w:tab w:val="clear" w:pos="2835"/>
        </w:tabs>
        <w:ind w:firstLine="567"/>
        <w:rPr>
          <w:b/>
        </w:rPr>
      </w:pPr>
      <w:r>
        <w:rPr>
          <w:b/>
        </w:rPr>
        <w:t>(d</w:t>
      </w:r>
      <w:r w:rsidR="00320DB0" w:rsidRPr="00D75FF1">
        <w:rPr>
          <w:b/>
        </w:rPr>
        <w:t xml:space="preserve">) </w:t>
      </w:r>
      <w:r w:rsidR="006B2A21">
        <w:rPr>
          <w:b/>
        </w:rPr>
        <w:tab/>
      </w:r>
      <w:r w:rsidR="00AB2C87">
        <w:rPr>
          <w:b/>
        </w:rPr>
        <w:t>E</w:t>
      </w:r>
      <w:r w:rsidR="00320DB0" w:rsidRPr="00D75FF1">
        <w:rPr>
          <w:b/>
        </w:rPr>
        <w:t>stablishes effective judicial and ad</w:t>
      </w:r>
      <w:r>
        <w:rPr>
          <w:b/>
        </w:rPr>
        <w:t>ministrative mechanisms to protect</w:t>
      </w:r>
      <w:r w:rsidR="00320DB0" w:rsidRPr="00D75FF1">
        <w:rPr>
          <w:b/>
        </w:rPr>
        <w:t xml:space="preserve"> against discrimination, including the introduction of provisions on repa</w:t>
      </w:r>
      <w:r w:rsidR="00536E28" w:rsidRPr="00D75FF1">
        <w:rPr>
          <w:b/>
        </w:rPr>
        <w:t>rations in discrimination cases.</w:t>
      </w:r>
      <w:r w:rsidR="00320DB0" w:rsidRPr="00D75FF1">
        <w:rPr>
          <w:b/>
        </w:rPr>
        <w:t xml:space="preserve"> </w:t>
      </w:r>
    </w:p>
    <w:p w14:paraId="6CACDDFD" w14:textId="77777777" w:rsidR="00B8787C" w:rsidRDefault="00B8787C" w:rsidP="00B81137">
      <w:pPr>
        <w:pStyle w:val="H23G"/>
        <w:ind w:firstLine="0"/>
      </w:pPr>
      <w:r>
        <w:t xml:space="preserve">Equality between men and women </w:t>
      </w:r>
    </w:p>
    <w:p w14:paraId="3ECD1D62" w14:textId="77777777" w:rsidR="00DD4033" w:rsidRPr="00D75FF1" w:rsidRDefault="00DD4033" w:rsidP="007232B8">
      <w:pPr>
        <w:pStyle w:val="SingleTxtG"/>
        <w:numPr>
          <w:ilvl w:val="0"/>
          <w:numId w:val="28"/>
        </w:numPr>
        <w:tabs>
          <w:tab w:val="clear" w:pos="1701"/>
          <w:tab w:val="clear" w:pos="2268"/>
          <w:tab w:val="clear" w:pos="2835"/>
        </w:tabs>
        <w:ind w:left="1134" w:firstLine="0"/>
        <w:rPr>
          <w:lang w:val="en-US"/>
        </w:rPr>
      </w:pPr>
      <w:r w:rsidRPr="00D75FF1">
        <w:t xml:space="preserve">The Committee is concerned by the persistent inequality between men and women, </w:t>
      </w:r>
      <w:r w:rsidR="00B8787C">
        <w:t xml:space="preserve">which is </w:t>
      </w:r>
      <w:r w:rsidRPr="00D75FF1">
        <w:t xml:space="preserve">deeply rooted </w:t>
      </w:r>
      <w:r w:rsidR="00B8787C">
        <w:t xml:space="preserve">in </w:t>
      </w:r>
      <w:r w:rsidRPr="00D75FF1">
        <w:t xml:space="preserve">gender stereotypes in families and society </w:t>
      </w:r>
      <w:r w:rsidR="00B8787C">
        <w:t>impeding</w:t>
      </w:r>
      <w:r w:rsidRPr="00D75FF1">
        <w:t xml:space="preserve"> women </w:t>
      </w:r>
      <w:r w:rsidR="007F3B1A">
        <w:t>from</w:t>
      </w:r>
      <w:r w:rsidR="007F3B1A" w:rsidRPr="00D75FF1">
        <w:t xml:space="preserve"> </w:t>
      </w:r>
      <w:r w:rsidRPr="00D75FF1">
        <w:t xml:space="preserve">fully </w:t>
      </w:r>
      <w:r w:rsidR="007F3B1A">
        <w:t>enjoying</w:t>
      </w:r>
      <w:r w:rsidR="007F3B1A" w:rsidRPr="00D75FF1">
        <w:t xml:space="preserve"> </w:t>
      </w:r>
      <w:r w:rsidRPr="00D75FF1">
        <w:t>their economic, social and cultural rights, in particular their access to a</w:t>
      </w:r>
      <w:r w:rsidR="008145A8">
        <w:t xml:space="preserve"> </w:t>
      </w:r>
      <w:r w:rsidRPr="00D75FF1">
        <w:t>decent work, social security, an adequate standard of living,</w:t>
      </w:r>
      <w:r w:rsidR="00B8787C">
        <w:t xml:space="preserve"> land,</w:t>
      </w:r>
      <w:r w:rsidRPr="00D75FF1">
        <w:t xml:space="preserve"> health care and education (art. 3).</w:t>
      </w:r>
    </w:p>
    <w:p w14:paraId="5DED16C9" w14:textId="77777777" w:rsidR="00DD4033" w:rsidRPr="00D75FF1" w:rsidRDefault="00DD4033" w:rsidP="007232B8">
      <w:pPr>
        <w:pStyle w:val="SingleTxtG"/>
        <w:numPr>
          <w:ilvl w:val="0"/>
          <w:numId w:val="28"/>
        </w:numPr>
        <w:tabs>
          <w:tab w:val="clear" w:pos="1701"/>
          <w:tab w:val="clear" w:pos="2268"/>
          <w:tab w:val="clear" w:pos="2835"/>
        </w:tabs>
        <w:ind w:left="1134" w:firstLine="0"/>
      </w:pPr>
      <w:r w:rsidRPr="00D75FF1">
        <w:rPr>
          <w:b/>
        </w:rPr>
        <w:t>The Committee recommends that the State party take all measures necessary to eliminate the persistent inequality between men and women and promote women’s full access to employment, social security, health-care services, education, land and income-generating projects.</w:t>
      </w:r>
      <w:r w:rsidRPr="00D75FF1">
        <w:t xml:space="preserve"> </w:t>
      </w:r>
      <w:r w:rsidRPr="00D75FF1">
        <w:rPr>
          <w:b/>
        </w:rPr>
        <w:t>The Committee refers the State party to its general comment No. 16</w:t>
      </w:r>
      <w:r w:rsidRPr="00D75FF1">
        <w:t xml:space="preserve"> </w:t>
      </w:r>
      <w:r w:rsidRPr="00D75FF1">
        <w:rPr>
          <w:b/>
        </w:rPr>
        <w:t>(2005) on the equal right of men and women to the enjoyment of all economic, social and cultural rights</w:t>
      </w:r>
      <w:r w:rsidR="00E32A12">
        <w:rPr>
          <w:b/>
        </w:rPr>
        <w:t>.</w:t>
      </w:r>
    </w:p>
    <w:p w14:paraId="6B900338" w14:textId="77777777" w:rsidR="00DC46C2" w:rsidRPr="00D75FF1" w:rsidRDefault="00DC46C2" w:rsidP="00B81137">
      <w:pPr>
        <w:pStyle w:val="H23G"/>
        <w:ind w:firstLine="0"/>
      </w:pPr>
      <w:r w:rsidRPr="00D75FF1">
        <w:t xml:space="preserve">Right to work </w:t>
      </w:r>
    </w:p>
    <w:p w14:paraId="0ED87242" w14:textId="77777777" w:rsidR="00DC46C2" w:rsidRPr="00D75FF1" w:rsidRDefault="00555FE2" w:rsidP="007232B8">
      <w:pPr>
        <w:pStyle w:val="SingleTxtG"/>
        <w:numPr>
          <w:ilvl w:val="0"/>
          <w:numId w:val="28"/>
        </w:numPr>
        <w:tabs>
          <w:tab w:val="clear" w:pos="1701"/>
          <w:tab w:val="clear" w:pos="2268"/>
          <w:tab w:val="clear" w:pos="2835"/>
        </w:tabs>
        <w:ind w:left="1134" w:firstLine="0"/>
      </w:pPr>
      <w:r w:rsidRPr="00D75FF1">
        <w:t xml:space="preserve">The Committee is concerned that despite a number of initiatives adopted by the State party to promote the access to work, young people, women, persons with disabilities and persons living in rural areas continue to be especially affected by unemployment </w:t>
      </w:r>
      <w:r w:rsidR="00070D55" w:rsidRPr="00D75FF1">
        <w:t xml:space="preserve">and the </w:t>
      </w:r>
      <w:r w:rsidR="00B8787C">
        <w:t xml:space="preserve">lack of </w:t>
      </w:r>
      <w:r w:rsidR="00070D55" w:rsidRPr="00D75FF1">
        <w:t xml:space="preserve">access to decent work. The Committee is also concerned about the large number of persons working in the informal sector without adequate legal labour and social protection (art. 6) </w:t>
      </w:r>
    </w:p>
    <w:p w14:paraId="20A40BA5" w14:textId="77777777" w:rsidR="00070D55" w:rsidRPr="00D75FF1" w:rsidRDefault="00DC46C2" w:rsidP="007232B8">
      <w:pPr>
        <w:pStyle w:val="SingleTxtG"/>
        <w:numPr>
          <w:ilvl w:val="0"/>
          <w:numId w:val="28"/>
        </w:numPr>
        <w:tabs>
          <w:tab w:val="clear" w:pos="1701"/>
          <w:tab w:val="clear" w:pos="2268"/>
          <w:tab w:val="clear" w:pos="2835"/>
        </w:tabs>
        <w:ind w:left="1134" w:firstLine="0"/>
        <w:rPr>
          <w:b/>
        </w:rPr>
      </w:pPr>
      <w:r w:rsidRPr="00D75FF1">
        <w:rPr>
          <w:b/>
        </w:rPr>
        <w:t xml:space="preserve">The Committee recommends that the State party </w:t>
      </w:r>
      <w:r w:rsidR="002C1519" w:rsidRPr="00D75FF1">
        <w:rPr>
          <w:b/>
        </w:rPr>
        <w:t xml:space="preserve">carry out, in collaboration with all social actors, an evaluation of the progress achieved through the implementation of its Industrial Development Policy (2015-2025) and other policies aiming at improving the </w:t>
      </w:r>
      <w:r w:rsidR="00B8787C">
        <w:rPr>
          <w:b/>
        </w:rPr>
        <w:t xml:space="preserve">access to </w:t>
      </w:r>
      <w:r w:rsidR="00EB0A9C" w:rsidRPr="00D75FF1">
        <w:rPr>
          <w:b/>
        </w:rPr>
        <w:t>employment and decent work,</w:t>
      </w:r>
      <w:r w:rsidR="002C1519" w:rsidRPr="00D75FF1">
        <w:rPr>
          <w:b/>
        </w:rPr>
        <w:t xml:space="preserve"> with a view to addressing the persistent challenges and root causes of </w:t>
      </w:r>
      <w:r w:rsidR="002C1519" w:rsidRPr="00D75FF1">
        <w:rPr>
          <w:b/>
          <w:bCs/>
        </w:rPr>
        <w:t xml:space="preserve">unemployment and underemployment. </w:t>
      </w:r>
      <w:r w:rsidR="00070D55" w:rsidRPr="00D75FF1">
        <w:rPr>
          <w:b/>
        </w:rPr>
        <w:t xml:space="preserve">The Committee recommends that the State party continue </w:t>
      </w:r>
      <w:r w:rsidR="00EB0A9C" w:rsidRPr="00D75FF1">
        <w:rPr>
          <w:b/>
        </w:rPr>
        <w:t>giving</w:t>
      </w:r>
      <w:r w:rsidR="00070D55" w:rsidRPr="00D75FF1">
        <w:rPr>
          <w:b/>
        </w:rPr>
        <w:t xml:space="preserve"> priority to quality technical and vocational training programmes that are tailored to the needs of both the labour market and the most underprivileged and marginalized persons and groups. It also urges the State party to adopt the necessary measures to ensure that workers in the informal </w:t>
      </w:r>
      <w:r w:rsidR="00070D55" w:rsidRPr="00D75FF1">
        <w:rPr>
          <w:b/>
        </w:rPr>
        <w:lastRenderedPageBreak/>
        <w:t>sector are provided with adequate immediate protection under labour law and access to social protection.</w:t>
      </w:r>
    </w:p>
    <w:p w14:paraId="505F7F39" w14:textId="77777777" w:rsidR="00EB0A9C" w:rsidRPr="00D75FF1" w:rsidRDefault="005018B1" w:rsidP="00B81137">
      <w:pPr>
        <w:pStyle w:val="H23G"/>
        <w:ind w:firstLine="0"/>
      </w:pPr>
      <w:r w:rsidRPr="00D75FF1">
        <w:t xml:space="preserve">Working </w:t>
      </w:r>
      <w:r w:rsidR="00D768D9">
        <w:t>c</w:t>
      </w:r>
      <w:r w:rsidRPr="00D75FF1">
        <w:t>onditions</w:t>
      </w:r>
    </w:p>
    <w:p w14:paraId="7AA09614" w14:textId="77777777" w:rsidR="00EB0A9C" w:rsidRPr="00D75FF1" w:rsidRDefault="00EB0A9C" w:rsidP="007232B8">
      <w:pPr>
        <w:pStyle w:val="SingleTxtG"/>
        <w:numPr>
          <w:ilvl w:val="0"/>
          <w:numId w:val="28"/>
        </w:numPr>
        <w:tabs>
          <w:tab w:val="clear" w:pos="1701"/>
          <w:tab w:val="clear" w:pos="2268"/>
          <w:tab w:val="clear" w:pos="2835"/>
        </w:tabs>
        <w:ind w:left="1134" w:firstLine="0"/>
        <w:rPr>
          <w:rFonts w:eastAsia="Times New Roman"/>
          <w:lang w:val="en-US"/>
        </w:rPr>
      </w:pPr>
      <w:r w:rsidRPr="00D75FF1">
        <w:t xml:space="preserve">The Committee notes with concern that persons </w:t>
      </w:r>
      <w:r w:rsidR="00A02FB0" w:rsidRPr="00D75FF1">
        <w:t>working in the</w:t>
      </w:r>
      <w:r w:rsidR="00B8787C">
        <w:t xml:space="preserve"> textile, garment</w:t>
      </w:r>
      <w:r w:rsidR="00606DDD">
        <w:t xml:space="preserve"> and</w:t>
      </w:r>
      <w:r w:rsidR="00B8787C">
        <w:t>,</w:t>
      </w:r>
      <w:r w:rsidR="00CD7E52" w:rsidRPr="00D75FF1">
        <w:t xml:space="preserve"> footwear</w:t>
      </w:r>
      <w:r w:rsidR="00606DDD">
        <w:t xml:space="preserve"> sectors</w:t>
      </w:r>
      <w:r w:rsidR="009742DD">
        <w:t xml:space="preserve"> </w:t>
      </w:r>
      <w:r w:rsidRPr="00D75FF1">
        <w:t>are exposed to poor conditi</w:t>
      </w:r>
      <w:r w:rsidR="00A02FB0" w:rsidRPr="00D75FF1">
        <w:t>ons of work, including excessive working</w:t>
      </w:r>
      <w:r w:rsidRPr="00D75FF1">
        <w:t xml:space="preserve"> hours, low </w:t>
      </w:r>
      <w:r w:rsidR="00A02FB0" w:rsidRPr="00D75FF1">
        <w:t>wages</w:t>
      </w:r>
      <w:r w:rsidRPr="00D75FF1">
        <w:t xml:space="preserve">, limited employment security and </w:t>
      </w:r>
      <w:r w:rsidR="00B8787C">
        <w:t xml:space="preserve">are </w:t>
      </w:r>
      <w:r w:rsidRPr="00D75FF1">
        <w:t>a</w:t>
      </w:r>
      <w:r w:rsidR="00A02FB0" w:rsidRPr="00D75FF1">
        <w:t>t</w:t>
      </w:r>
      <w:r w:rsidRPr="00D75FF1">
        <w:t xml:space="preserve"> risk of exploitation</w:t>
      </w:r>
      <w:r w:rsidR="00B8787C">
        <w:t xml:space="preserve">. </w:t>
      </w:r>
      <w:r w:rsidR="00606DDD">
        <w:t xml:space="preserve">The Committee is concerned about the lack of protection of labour standards of domestic workers. </w:t>
      </w:r>
      <w:r w:rsidR="00B6468C">
        <w:t>The Committe</w:t>
      </w:r>
      <w:r w:rsidR="00D61183">
        <w:t>e</w:t>
      </w:r>
      <w:r w:rsidR="00B8787C">
        <w:t xml:space="preserve"> is</w:t>
      </w:r>
      <w:r w:rsidR="00A02FB0" w:rsidRPr="00D75FF1">
        <w:t xml:space="preserve"> </w:t>
      </w:r>
      <w:r w:rsidR="00606DDD">
        <w:t xml:space="preserve">further </w:t>
      </w:r>
      <w:r w:rsidR="00A02FB0" w:rsidRPr="00D75FF1">
        <w:t xml:space="preserve">concerned </w:t>
      </w:r>
      <w:r w:rsidR="008742EB" w:rsidRPr="00D75FF1">
        <w:t xml:space="preserve">at the absence of comprehensive measures to provide adequate protection in the area of occupational health and industrial accidents and the limited capacity and </w:t>
      </w:r>
      <w:r w:rsidRPr="00D75FF1">
        <w:t xml:space="preserve">resources to conduct </w:t>
      </w:r>
      <w:r w:rsidR="008742EB" w:rsidRPr="00D75FF1">
        <w:t xml:space="preserve">labour </w:t>
      </w:r>
      <w:r w:rsidRPr="00D75FF1">
        <w:t>inspections (art. 7).</w:t>
      </w:r>
      <w:r w:rsidR="00F05232">
        <w:t xml:space="preserve"> </w:t>
      </w:r>
    </w:p>
    <w:p w14:paraId="7DAA7E70" w14:textId="77777777" w:rsidR="00EB0A9C" w:rsidRPr="00D75FF1" w:rsidRDefault="00EB0A9C" w:rsidP="007232B8">
      <w:pPr>
        <w:pStyle w:val="SingleTxtG"/>
        <w:numPr>
          <w:ilvl w:val="0"/>
          <w:numId w:val="28"/>
        </w:numPr>
        <w:tabs>
          <w:tab w:val="clear" w:pos="1701"/>
          <w:tab w:val="clear" w:pos="2268"/>
          <w:tab w:val="clear" w:pos="2835"/>
        </w:tabs>
        <w:ind w:left="1134" w:firstLine="0"/>
        <w:rPr>
          <w:rFonts w:eastAsia="SimSun"/>
        </w:rPr>
      </w:pPr>
      <w:r w:rsidRPr="00D75FF1">
        <w:rPr>
          <w:b/>
        </w:rPr>
        <w:t>The Committee recommends that the State party:</w:t>
      </w:r>
    </w:p>
    <w:p w14:paraId="10C19496" w14:textId="77777777" w:rsidR="00EB0A9C" w:rsidRPr="006B2A21" w:rsidRDefault="00EB0A9C" w:rsidP="00EB0A9C">
      <w:pPr>
        <w:pStyle w:val="SingleTxtG"/>
        <w:keepNext/>
        <w:rPr>
          <w:b/>
          <w:bCs/>
        </w:rPr>
      </w:pPr>
      <w:r w:rsidRPr="00D75FF1">
        <w:tab/>
      </w:r>
      <w:r w:rsidRPr="006B2A21">
        <w:rPr>
          <w:b/>
          <w:bCs/>
        </w:rPr>
        <w:t>(</w:t>
      </w:r>
      <w:proofErr w:type="spellStart"/>
      <w:r w:rsidRPr="006B2A21">
        <w:rPr>
          <w:b/>
          <w:bCs/>
        </w:rPr>
        <w:t>a</w:t>
      </w:r>
      <w:proofErr w:type="spellEnd"/>
      <w:r w:rsidRPr="006B2A21">
        <w:rPr>
          <w:b/>
          <w:bCs/>
        </w:rPr>
        <w:t>)</w:t>
      </w:r>
      <w:r w:rsidRPr="006B2A21">
        <w:rPr>
          <w:b/>
          <w:bCs/>
        </w:rPr>
        <w:tab/>
      </w:r>
      <w:r w:rsidR="00D2510E" w:rsidRPr="006B2A21">
        <w:rPr>
          <w:b/>
          <w:bCs/>
        </w:rPr>
        <w:t xml:space="preserve">Ensure that labour legislation is effectively applied to all </w:t>
      </w:r>
      <w:r w:rsidR="007F3B1A" w:rsidRPr="006B2A21">
        <w:rPr>
          <w:b/>
          <w:bCs/>
        </w:rPr>
        <w:t xml:space="preserve">sectors of the economy and all </w:t>
      </w:r>
      <w:r w:rsidR="00D2510E" w:rsidRPr="006B2A21">
        <w:rPr>
          <w:b/>
          <w:bCs/>
        </w:rPr>
        <w:t>workers and take the necessary measures to</w:t>
      </w:r>
      <w:r w:rsidRPr="006B2A21">
        <w:rPr>
          <w:b/>
          <w:bCs/>
        </w:rPr>
        <w:t xml:space="preserve"> improve the </w:t>
      </w:r>
      <w:r w:rsidR="00D2510E" w:rsidRPr="006B2A21">
        <w:rPr>
          <w:b/>
          <w:bCs/>
        </w:rPr>
        <w:t xml:space="preserve">working </w:t>
      </w:r>
      <w:r w:rsidRPr="006B2A21">
        <w:rPr>
          <w:b/>
          <w:bCs/>
        </w:rPr>
        <w:t xml:space="preserve">conditions </w:t>
      </w:r>
      <w:r w:rsidR="001511CD" w:rsidRPr="006B2A21">
        <w:rPr>
          <w:b/>
          <w:bCs/>
        </w:rPr>
        <w:t xml:space="preserve">of </w:t>
      </w:r>
      <w:r w:rsidRPr="006B2A21">
        <w:rPr>
          <w:b/>
          <w:bCs/>
        </w:rPr>
        <w:t>p</w:t>
      </w:r>
      <w:r w:rsidR="00D2510E" w:rsidRPr="006B2A21">
        <w:rPr>
          <w:b/>
          <w:bCs/>
        </w:rPr>
        <w:t xml:space="preserve">ersons engaged in domestic work, </w:t>
      </w:r>
      <w:r w:rsidRPr="006B2A21">
        <w:rPr>
          <w:b/>
          <w:bCs/>
        </w:rPr>
        <w:t xml:space="preserve">so that </w:t>
      </w:r>
      <w:r w:rsidR="00D2510E" w:rsidRPr="006B2A21">
        <w:rPr>
          <w:b/>
          <w:bCs/>
        </w:rPr>
        <w:t xml:space="preserve">all workers </w:t>
      </w:r>
      <w:r w:rsidRPr="006B2A21">
        <w:rPr>
          <w:b/>
          <w:bCs/>
        </w:rPr>
        <w:t xml:space="preserve">enjoy </w:t>
      </w:r>
      <w:r w:rsidR="001511CD" w:rsidRPr="006B2A21">
        <w:rPr>
          <w:b/>
          <w:bCs/>
        </w:rPr>
        <w:t xml:space="preserve">just and </w:t>
      </w:r>
      <w:proofErr w:type="gramStart"/>
      <w:r w:rsidR="001511CD" w:rsidRPr="006B2A21">
        <w:rPr>
          <w:b/>
          <w:bCs/>
        </w:rPr>
        <w:t xml:space="preserve">favourable </w:t>
      </w:r>
      <w:r w:rsidRPr="006B2A21">
        <w:rPr>
          <w:b/>
          <w:bCs/>
        </w:rPr>
        <w:t xml:space="preserve"> conditions</w:t>
      </w:r>
      <w:proofErr w:type="gramEnd"/>
      <w:r w:rsidRPr="006B2A21">
        <w:rPr>
          <w:b/>
          <w:bCs/>
        </w:rPr>
        <w:t xml:space="preserve"> of work;</w:t>
      </w:r>
    </w:p>
    <w:p w14:paraId="6D6E08BE" w14:textId="77777777" w:rsidR="00EB0A9C" w:rsidRPr="006B2A21" w:rsidRDefault="00EB0A9C" w:rsidP="00D2510E">
      <w:pPr>
        <w:pStyle w:val="SingleTxtG"/>
        <w:rPr>
          <w:b/>
          <w:bCs/>
        </w:rPr>
      </w:pPr>
      <w:r w:rsidRPr="006B2A21">
        <w:rPr>
          <w:b/>
          <w:bCs/>
        </w:rPr>
        <w:tab/>
        <w:t>(b)</w:t>
      </w:r>
      <w:r w:rsidRPr="006B2A21">
        <w:rPr>
          <w:b/>
          <w:bCs/>
        </w:rPr>
        <w:tab/>
      </w:r>
      <w:r w:rsidR="008742EB" w:rsidRPr="006B2A21">
        <w:rPr>
          <w:b/>
          <w:bCs/>
        </w:rPr>
        <w:t xml:space="preserve">Set up effective mechanisms to report abuse and exploitation, taking into account the vulnerable position of workers in </w:t>
      </w:r>
      <w:r w:rsidR="00D2510E" w:rsidRPr="006B2A21">
        <w:rPr>
          <w:b/>
          <w:bCs/>
        </w:rPr>
        <w:t>some sectors</w:t>
      </w:r>
      <w:r w:rsidRPr="006B2A21">
        <w:rPr>
          <w:b/>
          <w:bCs/>
        </w:rPr>
        <w:t>;</w:t>
      </w:r>
    </w:p>
    <w:p w14:paraId="31526174" w14:textId="77777777" w:rsidR="00EB0A9C" w:rsidRPr="006B2A21" w:rsidRDefault="00EB0A9C" w:rsidP="00EB0A9C">
      <w:pPr>
        <w:pStyle w:val="SingleTxtG"/>
        <w:rPr>
          <w:b/>
          <w:bCs/>
        </w:rPr>
      </w:pPr>
      <w:r w:rsidRPr="006B2A21">
        <w:rPr>
          <w:b/>
          <w:bCs/>
        </w:rPr>
        <w:tab/>
        <w:t>(c)</w:t>
      </w:r>
      <w:r w:rsidRPr="006B2A21">
        <w:rPr>
          <w:b/>
          <w:bCs/>
        </w:rPr>
        <w:tab/>
      </w:r>
      <w:r w:rsidR="00D2510E" w:rsidRPr="006B2A21">
        <w:rPr>
          <w:b/>
          <w:bCs/>
        </w:rPr>
        <w:t>Adopt a comprehensive</w:t>
      </w:r>
      <w:r w:rsidR="008742EB" w:rsidRPr="006B2A21">
        <w:rPr>
          <w:b/>
          <w:bCs/>
        </w:rPr>
        <w:t xml:space="preserve"> system of protection from occupational hazards </w:t>
      </w:r>
      <w:r w:rsidR="00D2510E" w:rsidRPr="006B2A21">
        <w:rPr>
          <w:b/>
          <w:bCs/>
        </w:rPr>
        <w:t>that</w:t>
      </w:r>
      <w:r w:rsidR="008742EB" w:rsidRPr="006B2A21">
        <w:rPr>
          <w:b/>
          <w:bCs/>
        </w:rPr>
        <w:t xml:space="preserve"> provide</w:t>
      </w:r>
      <w:r w:rsidR="00D2510E" w:rsidRPr="006B2A21">
        <w:rPr>
          <w:b/>
          <w:bCs/>
        </w:rPr>
        <w:t>s</w:t>
      </w:r>
      <w:r w:rsidR="008742EB" w:rsidRPr="006B2A21">
        <w:rPr>
          <w:b/>
          <w:bCs/>
        </w:rPr>
        <w:t xml:space="preserve"> adequate protection to all workers, including those in the informal sector, in the event of workplace accidents and occupational </w:t>
      </w:r>
      <w:r w:rsidR="00D2510E" w:rsidRPr="006B2A21">
        <w:rPr>
          <w:b/>
          <w:bCs/>
        </w:rPr>
        <w:t>diseases</w:t>
      </w:r>
      <w:r w:rsidRPr="006B2A21">
        <w:rPr>
          <w:b/>
          <w:bCs/>
        </w:rPr>
        <w:t>;</w:t>
      </w:r>
    </w:p>
    <w:p w14:paraId="40715F81" w14:textId="77777777" w:rsidR="008742EB" w:rsidRPr="006B2A21" w:rsidRDefault="00EB0A9C" w:rsidP="008742EB">
      <w:pPr>
        <w:pStyle w:val="SingleTxtG"/>
        <w:rPr>
          <w:b/>
          <w:bCs/>
        </w:rPr>
      </w:pPr>
      <w:r w:rsidRPr="006B2A21">
        <w:rPr>
          <w:b/>
          <w:bCs/>
        </w:rPr>
        <w:tab/>
        <w:t>(d)</w:t>
      </w:r>
      <w:r w:rsidRPr="006B2A21">
        <w:rPr>
          <w:b/>
          <w:bCs/>
        </w:rPr>
        <w:tab/>
      </w:r>
      <w:r w:rsidR="00D2510E" w:rsidRPr="006B2A21">
        <w:rPr>
          <w:b/>
          <w:bCs/>
        </w:rPr>
        <w:t>E</w:t>
      </w:r>
      <w:r w:rsidR="008742EB" w:rsidRPr="006B2A21">
        <w:rPr>
          <w:b/>
          <w:bCs/>
        </w:rPr>
        <w:t xml:space="preserve">nsure that the labour inspection mechanism </w:t>
      </w:r>
      <w:r w:rsidR="00D2510E" w:rsidRPr="006B2A21">
        <w:rPr>
          <w:b/>
          <w:bCs/>
        </w:rPr>
        <w:t>has</w:t>
      </w:r>
      <w:r w:rsidR="008742EB" w:rsidRPr="006B2A21">
        <w:rPr>
          <w:b/>
          <w:bCs/>
        </w:rPr>
        <w:t xml:space="preserve"> the human, technical and financial resources to provide adequate protection to all workers, including those in the </w:t>
      </w:r>
      <w:r w:rsidR="00D2510E" w:rsidRPr="006B2A21">
        <w:rPr>
          <w:b/>
          <w:bCs/>
        </w:rPr>
        <w:t xml:space="preserve">domestic and </w:t>
      </w:r>
      <w:r w:rsidR="008742EB" w:rsidRPr="006B2A21">
        <w:rPr>
          <w:b/>
          <w:bCs/>
        </w:rPr>
        <w:t xml:space="preserve">informal </w:t>
      </w:r>
      <w:r w:rsidR="009D02A0" w:rsidRPr="006B2A21">
        <w:rPr>
          <w:b/>
          <w:bCs/>
        </w:rPr>
        <w:t>sectors</w:t>
      </w:r>
      <w:r w:rsidR="008742EB" w:rsidRPr="006B2A21">
        <w:rPr>
          <w:b/>
          <w:bCs/>
        </w:rPr>
        <w:t>;</w:t>
      </w:r>
    </w:p>
    <w:p w14:paraId="5869B2D3" w14:textId="77777777" w:rsidR="0065579B" w:rsidRDefault="008742EB" w:rsidP="008742EB">
      <w:pPr>
        <w:pStyle w:val="SingleTxtG"/>
        <w:rPr>
          <w:b/>
        </w:rPr>
      </w:pPr>
      <w:r w:rsidRPr="006B2A21">
        <w:rPr>
          <w:b/>
          <w:bCs/>
        </w:rPr>
        <w:tab/>
        <w:t>(e)</w:t>
      </w:r>
      <w:r w:rsidRPr="006B2A21">
        <w:rPr>
          <w:b/>
          <w:bCs/>
        </w:rPr>
        <w:tab/>
      </w:r>
      <w:r w:rsidR="0065579B" w:rsidRPr="006B2A21">
        <w:rPr>
          <w:b/>
          <w:bCs/>
        </w:rPr>
        <w:t>Implement measures</w:t>
      </w:r>
      <w:r w:rsidR="0065579B" w:rsidRPr="00C44AC7">
        <w:rPr>
          <w:b/>
        </w:rPr>
        <w:t xml:space="preserve"> to ensure just and favourable conditions of work for workers and specific worker groups as stated in</w:t>
      </w:r>
      <w:r w:rsidR="0065579B" w:rsidRPr="00D75FF1">
        <w:rPr>
          <w:b/>
        </w:rPr>
        <w:t xml:space="preserve"> the Committee’s general comment No. 23 (2016)</w:t>
      </w:r>
      <w:r w:rsidR="00E32A12">
        <w:rPr>
          <w:b/>
        </w:rPr>
        <w:t>;</w:t>
      </w:r>
    </w:p>
    <w:p w14:paraId="69FE361F" w14:textId="77777777" w:rsidR="00EB0A9C" w:rsidRPr="006B2A21" w:rsidRDefault="0065579B" w:rsidP="008742EB">
      <w:pPr>
        <w:pStyle w:val="SingleTxtG"/>
        <w:rPr>
          <w:b/>
          <w:bCs/>
        </w:rPr>
      </w:pPr>
      <w:r>
        <w:rPr>
          <w:b/>
          <w:bCs/>
        </w:rPr>
        <w:tab/>
        <w:t>(f)</w:t>
      </w:r>
      <w:r>
        <w:rPr>
          <w:b/>
          <w:bCs/>
        </w:rPr>
        <w:tab/>
      </w:r>
      <w:r w:rsidR="0025751C">
        <w:rPr>
          <w:b/>
          <w:bCs/>
        </w:rPr>
        <w:t>Ratify</w:t>
      </w:r>
      <w:r w:rsidR="00EB0A9C" w:rsidRPr="006B2A21">
        <w:rPr>
          <w:b/>
          <w:bCs/>
        </w:rPr>
        <w:t xml:space="preserve"> the ILO Domestic Workers Convention, 2011 (No. 189)</w:t>
      </w:r>
      <w:r w:rsidR="00CD7E52" w:rsidRPr="006B2A21">
        <w:rPr>
          <w:b/>
          <w:bCs/>
        </w:rPr>
        <w:t xml:space="preserve">, occupational safety and health, </w:t>
      </w:r>
      <w:r w:rsidR="002D0531" w:rsidRPr="006B2A21">
        <w:rPr>
          <w:b/>
          <w:bCs/>
        </w:rPr>
        <w:t xml:space="preserve">the </w:t>
      </w:r>
      <w:r w:rsidR="00B8787C" w:rsidRPr="006B2A21">
        <w:rPr>
          <w:b/>
          <w:bCs/>
        </w:rPr>
        <w:t xml:space="preserve">Occupational Safety and Health Convention, 1981 (No. 155) </w:t>
      </w:r>
      <w:r w:rsidR="00CD7E52" w:rsidRPr="006B2A21">
        <w:rPr>
          <w:b/>
          <w:bCs/>
        </w:rPr>
        <w:t xml:space="preserve">and </w:t>
      </w:r>
      <w:r w:rsidR="002D0531" w:rsidRPr="006B2A21">
        <w:rPr>
          <w:b/>
          <w:bCs/>
        </w:rPr>
        <w:t>the Promotional Framework for Occupational Safety and Health Convention, 2006 (No. 187)</w:t>
      </w:r>
      <w:r w:rsidR="00E32A12">
        <w:rPr>
          <w:b/>
          <w:bCs/>
        </w:rPr>
        <w:t>.</w:t>
      </w:r>
    </w:p>
    <w:p w14:paraId="3BE70728" w14:textId="77777777" w:rsidR="00320DB0" w:rsidRPr="00D75FF1" w:rsidRDefault="00D2510E" w:rsidP="00B81137">
      <w:pPr>
        <w:pStyle w:val="H23G"/>
        <w:ind w:firstLine="0"/>
      </w:pPr>
      <w:r w:rsidRPr="00D75FF1">
        <w:t>M</w:t>
      </w:r>
      <w:r w:rsidR="0004234D" w:rsidRPr="00D75FF1">
        <w:t>inimum</w:t>
      </w:r>
      <w:r w:rsidR="00320DB0" w:rsidRPr="00D75FF1">
        <w:t xml:space="preserve"> wage </w:t>
      </w:r>
    </w:p>
    <w:p w14:paraId="290A6D30" w14:textId="77777777" w:rsidR="0004234D" w:rsidRPr="00D75FF1" w:rsidRDefault="0004234D" w:rsidP="007232B8">
      <w:pPr>
        <w:pStyle w:val="SingleTxtG"/>
        <w:numPr>
          <w:ilvl w:val="0"/>
          <w:numId w:val="28"/>
        </w:numPr>
        <w:tabs>
          <w:tab w:val="clear" w:pos="1701"/>
          <w:tab w:val="clear" w:pos="2268"/>
          <w:tab w:val="clear" w:pos="2835"/>
        </w:tabs>
        <w:ind w:left="1134" w:firstLine="0"/>
        <w:rPr>
          <w:rFonts w:eastAsia="Times New Roman"/>
          <w:lang w:val="en-US"/>
        </w:rPr>
      </w:pPr>
      <w:r w:rsidRPr="00D75FF1">
        <w:t xml:space="preserve">The Committee is </w:t>
      </w:r>
      <w:r w:rsidR="002D0531">
        <w:t>concerned that the minimum wage</w:t>
      </w:r>
      <w:r w:rsidRPr="00D75FF1">
        <w:t xml:space="preserve"> </w:t>
      </w:r>
      <w:r w:rsidR="002D0531">
        <w:t>is not applied to all sectors of</w:t>
      </w:r>
      <w:r w:rsidRPr="00D75FF1">
        <w:t xml:space="preserve"> the </w:t>
      </w:r>
      <w:r w:rsidR="00686A81">
        <w:t>economy</w:t>
      </w:r>
      <w:r w:rsidRPr="00D75FF1">
        <w:t xml:space="preserve"> and that according to information received the minimum wage remains insufficient to ensure a decent standard of living for workers and their families (art. 7).</w:t>
      </w:r>
    </w:p>
    <w:p w14:paraId="100B943F" w14:textId="77777777" w:rsidR="0004234D" w:rsidRPr="00D75FF1" w:rsidRDefault="0004234D" w:rsidP="007232B8">
      <w:pPr>
        <w:pStyle w:val="SingleTxtG"/>
        <w:numPr>
          <w:ilvl w:val="0"/>
          <w:numId w:val="28"/>
        </w:numPr>
        <w:tabs>
          <w:tab w:val="clear" w:pos="1701"/>
          <w:tab w:val="clear" w:pos="2268"/>
          <w:tab w:val="clear" w:pos="2835"/>
        </w:tabs>
        <w:ind w:left="1134" w:firstLine="0"/>
      </w:pPr>
      <w:r w:rsidRPr="00D75FF1">
        <w:rPr>
          <w:b/>
        </w:rPr>
        <w:t>The Committee urges the State party to take the legislative and administrative measures necessary to ensure that the minimum wage is applied to all sectors of the labour market and that all workers receive a minimum wage that provides them with a decent standard of living for themselves and their familie</w:t>
      </w:r>
      <w:r w:rsidR="00421D2C">
        <w:rPr>
          <w:b/>
        </w:rPr>
        <w:t>s</w:t>
      </w:r>
      <w:r w:rsidRPr="00D75FF1">
        <w:rPr>
          <w:b/>
        </w:rPr>
        <w:t xml:space="preserve"> in keeping with article 7 (a) (ii) of the Covenant</w:t>
      </w:r>
      <w:r w:rsidR="0065579B">
        <w:rPr>
          <w:b/>
        </w:rPr>
        <w:t>.</w:t>
      </w:r>
    </w:p>
    <w:p w14:paraId="2742E524" w14:textId="77777777" w:rsidR="00143EF0" w:rsidRPr="00D75FF1" w:rsidRDefault="00143EF0" w:rsidP="00B81137">
      <w:pPr>
        <w:pStyle w:val="H23G"/>
        <w:ind w:firstLine="0"/>
      </w:pPr>
      <w:r w:rsidRPr="00D75FF1">
        <w:tab/>
        <w:t xml:space="preserve">Trade union rights </w:t>
      </w:r>
    </w:p>
    <w:p w14:paraId="4C5D6F05" w14:textId="77777777" w:rsidR="00143EF0" w:rsidRPr="00D75FF1" w:rsidRDefault="00143EF0" w:rsidP="007232B8">
      <w:pPr>
        <w:pStyle w:val="SingleTxtG"/>
        <w:numPr>
          <w:ilvl w:val="0"/>
          <w:numId w:val="28"/>
        </w:numPr>
        <w:tabs>
          <w:tab w:val="clear" w:pos="1701"/>
          <w:tab w:val="clear" w:pos="2268"/>
          <w:tab w:val="clear" w:pos="2835"/>
        </w:tabs>
        <w:ind w:left="1134" w:firstLine="0"/>
      </w:pPr>
      <w:r w:rsidRPr="00D75FF1">
        <w:t>The Committee is</w:t>
      </w:r>
      <w:r w:rsidR="000B7D4C">
        <w:t xml:space="preserve"> </w:t>
      </w:r>
      <w:r w:rsidR="009D02A0">
        <w:t>deeply</w:t>
      </w:r>
      <w:r w:rsidRPr="00D75FF1">
        <w:t xml:space="preserve"> concerned by</w:t>
      </w:r>
      <w:r w:rsidR="00EF3912" w:rsidRPr="00D75FF1">
        <w:t xml:space="preserve"> the numerous</w:t>
      </w:r>
      <w:r w:rsidRPr="00D75FF1">
        <w:t xml:space="preserve"> reports of</w:t>
      </w:r>
      <w:r w:rsidR="002D0531">
        <w:t xml:space="preserve"> trade union leaders and worker</w:t>
      </w:r>
      <w:r w:rsidRPr="00D75FF1">
        <w:t>s being subjected to violence,</w:t>
      </w:r>
      <w:r w:rsidR="00EF3912" w:rsidRPr="00D75FF1">
        <w:t xml:space="preserve"> harassment,</w:t>
      </w:r>
      <w:r w:rsidRPr="00D75FF1">
        <w:t xml:space="preserve"> intimidation and discrimination</w:t>
      </w:r>
      <w:r w:rsidR="00EF3912" w:rsidRPr="00D75FF1">
        <w:t xml:space="preserve"> for exercising their </w:t>
      </w:r>
      <w:r w:rsidR="002D0531">
        <w:t xml:space="preserve">union </w:t>
      </w:r>
      <w:r w:rsidR="00EF3912" w:rsidRPr="00D75FF1">
        <w:t>rights</w:t>
      </w:r>
      <w:r w:rsidRPr="00D75FF1">
        <w:t>.</w:t>
      </w:r>
      <w:r w:rsidR="00EF3912" w:rsidRPr="00D75FF1">
        <w:t xml:space="preserve"> The Committee is also concerned about reports of arrests, prosecutions and detention of members of trade union</w:t>
      </w:r>
      <w:r w:rsidR="009D02A0">
        <w:t>s</w:t>
      </w:r>
      <w:r w:rsidR="00CD7E52" w:rsidRPr="00D75FF1">
        <w:t>.</w:t>
      </w:r>
      <w:r w:rsidRPr="00D75FF1">
        <w:t xml:space="preserve"> </w:t>
      </w:r>
      <w:r w:rsidR="00EF3912" w:rsidRPr="00D75FF1">
        <w:t xml:space="preserve">While the Committee notes that some progress </w:t>
      </w:r>
      <w:r w:rsidR="009D02A0">
        <w:t>has</w:t>
      </w:r>
      <w:r w:rsidR="009D02A0" w:rsidRPr="00D75FF1">
        <w:t xml:space="preserve"> </w:t>
      </w:r>
      <w:r w:rsidR="00EF3912" w:rsidRPr="00D75FF1">
        <w:t>been made on the amendment of the Law on Trade Union</w:t>
      </w:r>
      <w:r w:rsidR="009D02A0">
        <w:t>s</w:t>
      </w:r>
      <w:r w:rsidR="00EF3912" w:rsidRPr="00D75FF1">
        <w:t>, restrictive conditions for the registration of trade union</w:t>
      </w:r>
      <w:r w:rsidR="002D0531">
        <w:t>s</w:t>
      </w:r>
      <w:r w:rsidR="00EF3912" w:rsidRPr="00D75FF1">
        <w:t xml:space="preserve"> and for the exercise of the right to strike and collective bargaining persist </w:t>
      </w:r>
      <w:r w:rsidRPr="00D75FF1">
        <w:t xml:space="preserve">(art. 8). </w:t>
      </w:r>
    </w:p>
    <w:p w14:paraId="3778DD98" w14:textId="77777777" w:rsidR="00DC46C2" w:rsidRPr="00D75FF1" w:rsidRDefault="00143EF0" w:rsidP="007232B8">
      <w:pPr>
        <w:pStyle w:val="SingleTxtG"/>
        <w:numPr>
          <w:ilvl w:val="0"/>
          <w:numId w:val="28"/>
        </w:numPr>
        <w:tabs>
          <w:tab w:val="clear" w:pos="1701"/>
          <w:tab w:val="clear" w:pos="2268"/>
          <w:tab w:val="clear" w:pos="2835"/>
        </w:tabs>
        <w:ind w:left="1134" w:firstLine="0"/>
        <w:rPr>
          <w:b/>
          <w:bCs/>
        </w:rPr>
      </w:pPr>
      <w:r w:rsidRPr="00D75FF1">
        <w:rPr>
          <w:b/>
          <w:bCs/>
        </w:rPr>
        <w:lastRenderedPageBreak/>
        <w:t>The Committee</w:t>
      </w:r>
      <w:r w:rsidR="00CD7E52" w:rsidRPr="00D75FF1">
        <w:rPr>
          <w:b/>
          <w:bCs/>
        </w:rPr>
        <w:t xml:space="preserve"> reiterates its previous recommendation</w:t>
      </w:r>
      <w:r w:rsidR="00CD7E52" w:rsidRPr="00D75FF1">
        <w:rPr>
          <w:rStyle w:val="FootnoteReference"/>
          <w:b/>
          <w:bCs/>
        </w:rPr>
        <w:footnoteReference w:id="9"/>
      </w:r>
      <w:r w:rsidR="00CD7E52" w:rsidRPr="00D75FF1">
        <w:rPr>
          <w:b/>
          <w:bCs/>
        </w:rPr>
        <w:t xml:space="preserve"> and urges the State </w:t>
      </w:r>
      <w:r w:rsidR="00CD7E52" w:rsidRPr="009218CA">
        <w:rPr>
          <w:b/>
          <w:bCs/>
        </w:rPr>
        <w:t>party</w:t>
      </w:r>
      <w:r w:rsidR="00CD7E52" w:rsidRPr="00D75FF1">
        <w:rPr>
          <w:b/>
          <w:bCs/>
        </w:rPr>
        <w:t xml:space="preserve"> to take all necessary meas</w:t>
      </w:r>
      <w:r w:rsidR="002D0531">
        <w:rPr>
          <w:b/>
          <w:bCs/>
        </w:rPr>
        <w:t xml:space="preserve">ures to ensure that trade union </w:t>
      </w:r>
      <w:r w:rsidR="00CD7E52" w:rsidRPr="00D75FF1">
        <w:rPr>
          <w:b/>
          <w:bCs/>
        </w:rPr>
        <w:t xml:space="preserve">rights of workers in Cambodia are fully respected and that trade union members and leaders are able to exercise their activities in a climate free of intimidation, violence, harassment and risk for their personal security or their lives. </w:t>
      </w:r>
      <w:r w:rsidRPr="00D75FF1">
        <w:rPr>
          <w:b/>
          <w:bCs/>
        </w:rPr>
        <w:t xml:space="preserve"> </w:t>
      </w:r>
      <w:r w:rsidR="00CD7E52" w:rsidRPr="00D75FF1">
        <w:rPr>
          <w:b/>
          <w:bCs/>
        </w:rPr>
        <w:t xml:space="preserve">The Committee also urges the State party </w:t>
      </w:r>
      <w:r w:rsidR="009D02A0">
        <w:rPr>
          <w:b/>
          <w:bCs/>
        </w:rPr>
        <w:t xml:space="preserve">to </w:t>
      </w:r>
      <w:r w:rsidR="00CD7E52" w:rsidRPr="00D75FF1">
        <w:rPr>
          <w:b/>
          <w:bCs/>
        </w:rPr>
        <w:t>continue, in consultation with social partners, in particular trade unions</w:t>
      </w:r>
      <w:r w:rsidR="009D02A0">
        <w:rPr>
          <w:b/>
          <w:bCs/>
        </w:rPr>
        <w:t>,</w:t>
      </w:r>
      <w:r w:rsidR="00CD7E52" w:rsidRPr="00D75FF1">
        <w:rPr>
          <w:b/>
          <w:bCs/>
        </w:rPr>
        <w:t xml:space="preserve"> the review and amendment of the Law on Trade Unions </w:t>
      </w:r>
      <w:r w:rsidRPr="00D75FF1">
        <w:rPr>
          <w:b/>
          <w:bCs/>
        </w:rPr>
        <w:t>to bring it</w:t>
      </w:r>
      <w:r w:rsidR="00C43A3B" w:rsidRPr="00D75FF1">
        <w:rPr>
          <w:b/>
          <w:bCs/>
        </w:rPr>
        <w:t xml:space="preserve"> </w:t>
      </w:r>
      <w:r w:rsidRPr="00D75FF1">
        <w:rPr>
          <w:b/>
          <w:bCs/>
        </w:rPr>
        <w:t xml:space="preserve">into line with article 8 of the Covenant, while also taking into account the ILO Freedom of Association and Protection of the Right to Organize Convention, 1948 (No. 87) and the ILO Right to Organize and Collective Bargaining Convention, 1949 (No. 98). </w:t>
      </w:r>
    </w:p>
    <w:p w14:paraId="32D9F4B3" w14:textId="77777777" w:rsidR="00DC46C2" w:rsidRPr="00D75FF1" w:rsidRDefault="00DC46C2" w:rsidP="00B81137">
      <w:pPr>
        <w:pStyle w:val="H23G"/>
        <w:ind w:firstLine="0"/>
      </w:pPr>
      <w:r w:rsidRPr="00D75FF1">
        <w:t>Right to social security</w:t>
      </w:r>
    </w:p>
    <w:p w14:paraId="6E8D40C1" w14:textId="77777777" w:rsidR="00C43A3B" w:rsidRPr="00D75FF1" w:rsidRDefault="00F13813" w:rsidP="007232B8">
      <w:pPr>
        <w:pStyle w:val="SingleTxtG"/>
        <w:numPr>
          <w:ilvl w:val="0"/>
          <w:numId w:val="28"/>
        </w:numPr>
        <w:tabs>
          <w:tab w:val="clear" w:pos="1701"/>
          <w:tab w:val="clear" w:pos="2268"/>
          <w:tab w:val="clear" w:pos="2835"/>
        </w:tabs>
        <w:ind w:left="1134" w:firstLine="0"/>
      </w:pPr>
      <w:r w:rsidRPr="00D75FF1">
        <w:t>While noting the progress made by the State party in expanding its social security system, t</w:t>
      </w:r>
      <w:r w:rsidR="00C43A3B" w:rsidRPr="00D75FF1">
        <w:t xml:space="preserve">he Committee notes with concern that </w:t>
      </w:r>
      <w:r w:rsidRPr="00D75FF1">
        <w:t>it</w:t>
      </w:r>
      <w:r w:rsidR="00C43A3B" w:rsidRPr="00D75FF1">
        <w:t xml:space="preserve"> is</w:t>
      </w:r>
      <w:r w:rsidRPr="00D75FF1">
        <w:t xml:space="preserve"> still based mainly on </w:t>
      </w:r>
      <w:r w:rsidR="00C43A3B" w:rsidRPr="00D75FF1">
        <w:t>formal employment and</w:t>
      </w:r>
      <w:r w:rsidRPr="00D75FF1">
        <w:t xml:space="preserve"> that</w:t>
      </w:r>
      <w:r w:rsidR="00C43A3B" w:rsidRPr="00D75FF1">
        <w:t xml:space="preserve"> a significant number of persons </w:t>
      </w:r>
      <w:r w:rsidR="00CD6671">
        <w:t>are not yet</w:t>
      </w:r>
      <w:r w:rsidR="00175E10">
        <w:t xml:space="preserve"> </w:t>
      </w:r>
      <w:r w:rsidR="00B3504C">
        <w:t>covered</w:t>
      </w:r>
      <w:r w:rsidR="00C43A3B" w:rsidRPr="00D75FF1">
        <w:t xml:space="preserve"> </w:t>
      </w:r>
      <w:r w:rsidR="00B3504C">
        <w:t>by the</w:t>
      </w:r>
      <w:r w:rsidR="00C43A3B" w:rsidRPr="00D75FF1">
        <w:t xml:space="preserve"> social protection</w:t>
      </w:r>
      <w:r w:rsidR="00B3504C">
        <w:t xml:space="preserve"> system</w:t>
      </w:r>
      <w:r w:rsidR="00C43A3B" w:rsidRPr="00D75FF1">
        <w:t xml:space="preserve">, including workers in the informal economy, </w:t>
      </w:r>
      <w:r w:rsidRPr="00D75FF1">
        <w:t xml:space="preserve">and persons </w:t>
      </w:r>
      <w:r w:rsidRPr="00D75FF1">
        <w:rPr>
          <w:bCs/>
        </w:rPr>
        <w:t>belonging to the most disadvantaged and marginalized groups</w:t>
      </w:r>
      <w:r w:rsidRPr="00D75FF1">
        <w:t xml:space="preserve"> </w:t>
      </w:r>
      <w:r w:rsidR="00C43A3B" w:rsidRPr="00D75FF1">
        <w:t xml:space="preserve">(art. 9). </w:t>
      </w:r>
    </w:p>
    <w:p w14:paraId="3BFA2220" w14:textId="2F2C9CA9" w:rsidR="00C43A3B" w:rsidRPr="00D75FF1" w:rsidRDefault="00C43A3B" w:rsidP="007232B8">
      <w:pPr>
        <w:pStyle w:val="SingleTxtG"/>
        <w:numPr>
          <w:ilvl w:val="0"/>
          <w:numId w:val="28"/>
        </w:numPr>
        <w:tabs>
          <w:tab w:val="clear" w:pos="1701"/>
          <w:tab w:val="clear" w:pos="2268"/>
          <w:tab w:val="clear" w:pos="2835"/>
        </w:tabs>
        <w:ind w:left="1134" w:firstLine="0"/>
        <w:rPr>
          <w:b/>
          <w:bCs/>
        </w:rPr>
      </w:pPr>
      <w:r w:rsidRPr="00D75FF1">
        <w:rPr>
          <w:b/>
          <w:bCs/>
        </w:rPr>
        <w:t xml:space="preserve">The Committee recommends that the State party </w:t>
      </w:r>
      <w:r w:rsidR="009B1AC5">
        <w:rPr>
          <w:b/>
          <w:bCs/>
        </w:rPr>
        <w:t xml:space="preserve">establish </w:t>
      </w:r>
      <w:r w:rsidR="009B1AC5" w:rsidRPr="00D75FF1">
        <w:rPr>
          <w:b/>
          <w:bCs/>
        </w:rPr>
        <w:t xml:space="preserve">a social protection floor that includes basic universal social guarantees </w:t>
      </w:r>
      <w:r w:rsidR="009B1AC5">
        <w:rPr>
          <w:b/>
          <w:bCs/>
        </w:rPr>
        <w:t xml:space="preserve">and </w:t>
      </w:r>
      <w:r w:rsidRPr="00D75FF1">
        <w:rPr>
          <w:b/>
          <w:bCs/>
        </w:rPr>
        <w:t>redouble its efforts to develop a social security system that guarantees universal coverage and provides sufficient benefits for all persons, especially those belonging to the most disadvantaged and marginalized groups, in order to ensure that they have a decent standard of living. The Committee draws the State party’s attention to its general comment No. 19 (2007) on the right to social security</w:t>
      </w:r>
      <w:r w:rsidR="002C7A87">
        <w:rPr>
          <w:b/>
          <w:bCs/>
        </w:rPr>
        <w:t>,</w:t>
      </w:r>
      <w:r w:rsidRPr="00D75FF1">
        <w:rPr>
          <w:b/>
          <w:bCs/>
        </w:rPr>
        <w:t xml:space="preserve"> </w:t>
      </w:r>
      <w:r w:rsidR="002C7A87">
        <w:rPr>
          <w:b/>
          <w:bCs/>
        </w:rPr>
        <w:t>especially on the informal economy,</w:t>
      </w:r>
      <w:r w:rsidR="002C7A87" w:rsidRPr="00D75FF1">
        <w:rPr>
          <w:b/>
          <w:bCs/>
        </w:rPr>
        <w:t xml:space="preserve"> </w:t>
      </w:r>
      <w:r w:rsidRPr="00D75FF1">
        <w:rPr>
          <w:b/>
          <w:bCs/>
        </w:rPr>
        <w:t>and to its statement entitled “Social protection floors: an essential element of the right to social security and of the sustainable development goals”</w:t>
      </w:r>
      <w:r w:rsidR="00C94043">
        <w:rPr>
          <w:b/>
          <w:bCs/>
        </w:rPr>
        <w:t>.</w:t>
      </w:r>
      <w:r w:rsidR="00043F79">
        <w:rPr>
          <w:rStyle w:val="FootnoteReference"/>
          <w:b/>
          <w:bCs/>
        </w:rPr>
        <w:footnoteReference w:id="10"/>
      </w:r>
    </w:p>
    <w:p w14:paraId="05FC02C4" w14:textId="77777777" w:rsidR="00DB2098" w:rsidRPr="00D75FF1" w:rsidRDefault="00DB2098" w:rsidP="00B81137">
      <w:pPr>
        <w:pStyle w:val="H23G"/>
        <w:ind w:firstLine="0"/>
      </w:pPr>
      <w:r w:rsidRPr="00D75FF1">
        <w:t xml:space="preserve">Domestic violence </w:t>
      </w:r>
    </w:p>
    <w:p w14:paraId="3002C437" w14:textId="77777777" w:rsidR="007E5C44" w:rsidRPr="00D75FF1" w:rsidRDefault="002F0B88" w:rsidP="007232B8">
      <w:pPr>
        <w:pStyle w:val="SingleTxtG"/>
        <w:numPr>
          <w:ilvl w:val="0"/>
          <w:numId w:val="28"/>
        </w:numPr>
        <w:tabs>
          <w:tab w:val="clear" w:pos="1701"/>
          <w:tab w:val="clear" w:pos="2268"/>
          <w:tab w:val="clear" w:pos="2835"/>
        </w:tabs>
        <w:ind w:left="1134" w:firstLine="0"/>
      </w:pPr>
      <w:r w:rsidRPr="00D75FF1">
        <w:t>The Committee is concerned about the extent of domestic violence in the State party and the lack of progress in the revision and amendment of the Domestic Violence Law,</w:t>
      </w:r>
      <w:r w:rsidR="007E5C44" w:rsidRPr="00D75FF1">
        <w:t xml:space="preserve"> which contains provisions preventing</w:t>
      </w:r>
      <w:r w:rsidR="002D0531">
        <w:t xml:space="preserve"> victims to have adequate access </w:t>
      </w:r>
      <w:r w:rsidR="007E5C44" w:rsidRPr="00D75FF1">
        <w:t xml:space="preserve">to justice (art. 10). </w:t>
      </w:r>
    </w:p>
    <w:p w14:paraId="752E2F7E" w14:textId="5D82BD35" w:rsidR="002F0B88" w:rsidRPr="00D75FF1" w:rsidRDefault="007E5C44" w:rsidP="007232B8">
      <w:pPr>
        <w:pStyle w:val="SingleTxtG"/>
        <w:numPr>
          <w:ilvl w:val="0"/>
          <w:numId w:val="28"/>
        </w:numPr>
        <w:tabs>
          <w:tab w:val="clear" w:pos="1701"/>
          <w:tab w:val="clear" w:pos="2268"/>
          <w:tab w:val="clear" w:pos="2835"/>
        </w:tabs>
        <w:ind w:left="1134" w:firstLine="0"/>
        <w:rPr>
          <w:b/>
        </w:rPr>
      </w:pPr>
      <w:r w:rsidRPr="00D75FF1">
        <w:rPr>
          <w:b/>
        </w:rPr>
        <w:t xml:space="preserve">The Committee recommends </w:t>
      </w:r>
      <w:r w:rsidR="009B1AC5">
        <w:rPr>
          <w:b/>
        </w:rPr>
        <w:t xml:space="preserve">that </w:t>
      </w:r>
      <w:r w:rsidRPr="00D75FF1">
        <w:rPr>
          <w:b/>
        </w:rPr>
        <w:t>the State party expedite the revision and amendments to the Domestic Violence Law, taking into account the recommendations made by the Committee on the Elimination of all Forms of Discrimination Against Women</w:t>
      </w:r>
      <w:r w:rsidR="00AC263F" w:rsidRPr="00D75FF1">
        <w:rPr>
          <w:b/>
        </w:rPr>
        <w:t xml:space="preserve"> in paragraph 25 </w:t>
      </w:r>
      <w:r w:rsidR="00E1242F">
        <w:rPr>
          <w:b/>
        </w:rPr>
        <w:t xml:space="preserve">b) </w:t>
      </w:r>
      <w:r w:rsidR="00AC263F" w:rsidRPr="00D75FF1">
        <w:rPr>
          <w:b/>
        </w:rPr>
        <w:t xml:space="preserve">of its </w:t>
      </w:r>
      <w:r w:rsidR="002D0531">
        <w:rPr>
          <w:b/>
        </w:rPr>
        <w:t xml:space="preserve">latest </w:t>
      </w:r>
      <w:r w:rsidR="00AC263F" w:rsidRPr="00D75FF1">
        <w:rPr>
          <w:b/>
        </w:rPr>
        <w:t>Concluding Observations</w:t>
      </w:r>
      <w:r w:rsidR="009B1AC5">
        <w:rPr>
          <w:b/>
        </w:rPr>
        <w:t>, and noting the response from the State party thereto</w:t>
      </w:r>
      <w:r w:rsidR="00C94043">
        <w:rPr>
          <w:b/>
        </w:rPr>
        <w:t>.</w:t>
      </w:r>
      <w:r w:rsidRPr="00D75FF1">
        <w:rPr>
          <w:rStyle w:val="FootnoteReference"/>
          <w:b/>
        </w:rPr>
        <w:footnoteReference w:id="11"/>
      </w:r>
      <w:r w:rsidRPr="00D75FF1">
        <w:rPr>
          <w:b/>
        </w:rPr>
        <w:t xml:space="preserve"> The Committee recommends </w:t>
      </w:r>
      <w:r w:rsidR="009B1AC5">
        <w:rPr>
          <w:b/>
        </w:rPr>
        <w:t xml:space="preserve">that </w:t>
      </w:r>
      <w:r w:rsidRPr="00D75FF1">
        <w:rPr>
          <w:b/>
        </w:rPr>
        <w:t xml:space="preserve">the State party </w:t>
      </w:r>
      <w:r w:rsidR="002F0B88" w:rsidRPr="00D75FF1">
        <w:rPr>
          <w:b/>
        </w:rPr>
        <w:t>provide</w:t>
      </w:r>
      <w:r w:rsidRPr="00D75FF1">
        <w:rPr>
          <w:b/>
        </w:rPr>
        <w:t xml:space="preserve"> adequate</w:t>
      </w:r>
      <w:r w:rsidR="002F0B88" w:rsidRPr="00D75FF1">
        <w:rPr>
          <w:b/>
        </w:rPr>
        <w:t xml:space="preserve"> protection to all victims of </w:t>
      </w:r>
      <w:r w:rsidRPr="00D75FF1">
        <w:rPr>
          <w:b/>
        </w:rPr>
        <w:t xml:space="preserve">gender-based </w:t>
      </w:r>
      <w:r w:rsidR="002F0B88" w:rsidRPr="00D75FF1">
        <w:rPr>
          <w:b/>
        </w:rPr>
        <w:t>violence, ensuring access to justice through effective remedies, including means of obtaining reparation and compensation, and suitable access to shelters where they can receive immediate physical protection, legal advice and physical and mental health care</w:t>
      </w:r>
      <w:r w:rsidRPr="00D75FF1">
        <w:rPr>
          <w:b/>
        </w:rPr>
        <w:t xml:space="preserve">. </w:t>
      </w:r>
    </w:p>
    <w:p w14:paraId="07E0F9DA" w14:textId="77777777" w:rsidR="00143EF0" w:rsidRPr="00D75FF1" w:rsidRDefault="00C43A3B" w:rsidP="00B81137">
      <w:pPr>
        <w:pStyle w:val="H23G"/>
        <w:ind w:firstLine="0"/>
      </w:pPr>
      <w:r w:rsidRPr="00D75FF1">
        <w:tab/>
      </w:r>
      <w:r w:rsidR="002D0531">
        <w:t>Protection</w:t>
      </w:r>
      <w:r w:rsidR="0038107B" w:rsidRPr="00D75FF1">
        <w:t xml:space="preserve"> of</w:t>
      </w:r>
      <w:r w:rsidR="00143EF0" w:rsidRPr="00D75FF1">
        <w:t xml:space="preserve"> children</w:t>
      </w:r>
    </w:p>
    <w:p w14:paraId="5CDDC416" w14:textId="77777777" w:rsidR="00143EF0" w:rsidRPr="00D75FF1" w:rsidRDefault="00143EF0" w:rsidP="007232B8">
      <w:pPr>
        <w:pStyle w:val="SingleTxtG"/>
        <w:numPr>
          <w:ilvl w:val="0"/>
          <w:numId w:val="28"/>
        </w:numPr>
        <w:tabs>
          <w:tab w:val="clear" w:pos="1701"/>
          <w:tab w:val="clear" w:pos="2268"/>
          <w:tab w:val="clear" w:pos="2835"/>
        </w:tabs>
        <w:ind w:left="1134" w:firstLine="0"/>
      </w:pPr>
      <w:r w:rsidRPr="00D75FF1">
        <w:t>The Committee notes with concern that, despite the</w:t>
      </w:r>
      <w:r w:rsidR="00A45B2E" w:rsidRPr="00D75FF1">
        <w:t xml:space="preserve"> measures adopted to address child labour</w:t>
      </w:r>
      <w:r w:rsidRPr="00D75FF1">
        <w:t xml:space="preserve">, many children </w:t>
      </w:r>
      <w:r w:rsidR="0038107B" w:rsidRPr="00D75FF1">
        <w:t>under 15</w:t>
      </w:r>
      <w:r w:rsidRPr="00D75FF1">
        <w:t xml:space="preserve"> years of age are engaged in some form of economic activity</w:t>
      </w:r>
      <w:r w:rsidR="0016198B">
        <w:t xml:space="preserve"> including hazardous work</w:t>
      </w:r>
      <w:r w:rsidRPr="00D75FF1">
        <w:t xml:space="preserve">, particularly in </w:t>
      </w:r>
      <w:r w:rsidR="009B1AC5">
        <w:t xml:space="preserve">the </w:t>
      </w:r>
      <w:r w:rsidR="0038107B" w:rsidRPr="00D75FF1">
        <w:t>domestic work</w:t>
      </w:r>
      <w:r w:rsidR="001362E8">
        <w:t xml:space="preserve"> sector, brick industry and agriculture </w:t>
      </w:r>
      <w:r w:rsidR="00B97669" w:rsidRPr="00D75FF1">
        <w:t xml:space="preserve">and that children are </w:t>
      </w:r>
      <w:r w:rsidR="00B221E0">
        <w:t xml:space="preserve">also </w:t>
      </w:r>
      <w:r w:rsidR="00B97669" w:rsidRPr="00D75FF1">
        <w:t xml:space="preserve">exposed to economic and </w:t>
      </w:r>
      <w:r w:rsidR="001362E8">
        <w:t xml:space="preserve">commercial </w:t>
      </w:r>
      <w:r w:rsidR="00B97669" w:rsidRPr="00D75FF1">
        <w:t xml:space="preserve">sexual </w:t>
      </w:r>
      <w:r w:rsidR="00B97669" w:rsidRPr="007232B8">
        <w:rPr>
          <w:bCs/>
        </w:rPr>
        <w:t>exploitation</w:t>
      </w:r>
      <w:r w:rsidR="00B97669" w:rsidRPr="00D75FF1">
        <w:t xml:space="preserve">. </w:t>
      </w:r>
      <w:r w:rsidR="0038107B" w:rsidRPr="00D75FF1">
        <w:t>The Committee is also concerned about the information received about</w:t>
      </w:r>
      <w:r w:rsidR="001362E8">
        <w:t xml:space="preserve"> the situation of</w:t>
      </w:r>
      <w:r w:rsidR="0038107B" w:rsidRPr="00D75FF1">
        <w:t xml:space="preserve"> children living in the street </w:t>
      </w:r>
      <w:r w:rsidRPr="00D75FF1">
        <w:t>(art. 10).</w:t>
      </w:r>
    </w:p>
    <w:p w14:paraId="42B85A0E" w14:textId="77777777" w:rsidR="003339C2" w:rsidRPr="00D75FF1" w:rsidRDefault="00143EF0" w:rsidP="007232B8">
      <w:pPr>
        <w:pStyle w:val="SingleTxtG"/>
        <w:numPr>
          <w:ilvl w:val="0"/>
          <w:numId w:val="28"/>
        </w:numPr>
        <w:tabs>
          <w:tab w:val="clear" w:pos="1701"/>
          <w:tab w:val="clear" w:pos="2268"/>
          <w:tab w:val="clear" w:pos="2835"/>
        </w:tabs>
        <w:ind w:left="1134" w:firstLine="0"/>
        <w:rPr>
          <w:b/>
        </w:rPr>
      </w:pPr>
      <w:r w:rsidRPr="00D75FF1">
        <w:rPr>
          <w:b/>
          <w:bCs/>
        </w:rPr>
        <w:t xml:space="preserve">The Committee recommends that the State party adopt and implement a national action plan for the elimination of </w:t>
      </w:r>
      <w:r w:rsidR="000B7D4C">
        <w:rPr>
          <w:b/>
          <w:bCs/>
        </w:rPr>
        <w:t xml:space="preserve">the worst forms of </w:t>
      </w:r>
      <w:r w:rsidRPr="00D75FF1">
        <w:rPr>
          <w:b/>
          <w:bCs/>
        </w:rPr>
        <w:t>child</w:t>
      </w:r>
      <w:r w:rsidR="001362E8">
        <w:rPr>
          <w:b/>
          <w:bCs/>
        </w:rPr>
        <w:t xml:space="preserve"> </w:t>
      </w:r>
      <w:r w:rsidR="000B7D4C">
        <w:rPr>
          <w:b/>
          <w:bCs/>
        </w:rPr>
        <w:t>labour</w:t>
      </w:r>
      <w:r w:rsidR="001362E8">
        <w:rPr>
          <w:b/>
          <w:bCs/>
        </w:rPr>
        <w:t>;</w:t>
      </w:r>
      <w:r w:rsidRPr="00D75FF1">
        <w:rPr>
          <w:b/>
          <w:bCs/>
        </w:rPr>
        <w:t xml:space="preserve"> ensure that the laws on child</w:t>
      </w:r>
      <w:r w:rsidR="001362E8">
        <w:rPr>
          <w:b/>
          <w:bCs/>
        </w:rPr>
        <w:t xml:space="preserve"> labour are rigorously enforced;</w:t>
      </w:r>
      <w:r w:rsidRPr="00D75FF1">
        <w:rPr>
          <w:b/>
          <w:bCs/>
        </w:rPr>
        <w:t xml:space="preserve"> strengthen labour inspection mechanisms</w:t>
      </w:r>
      <w:r w:rsidR="00C06BBC">
        <w:rPr>
          <w:b/>
          <w:bCs/>
        </w:rPr>
        <w:t xml:space="preserve"> with a focus on child labour</w:t>
      </w:r>
      <w:r w:rsidRPr="00D75FF1">
        <w:rPr>
          <w:b/>
          <w:bCs/>
        </w:rPr>
        <w:t xml:space="preserve"> so that inspections can be carried out </w:t>
      </w:r>
      <w:r w:rsidR="00BE713C">
        <w:rPr>
          <w:b/>
          <w:bCs/>
        </w:rPr>
        <w:t xml:space="preserve">also </w:t>
      </w:r>
      <w:r w:rsidRPr="00D75FF1">
        <w:rPr>
          <w:b/>
          <w:bCs/>
        </w:rPr>
        <w:t xml:space="preserve">in </w:t>
      </w:r>
      <w:r w:rsidRPr="00D75FF1">
        <w:rPr>
          <w:b/>
          <w:bCs/>
        </w:rPr>
        <w:lastRenderedPageBreak/>
        <w:t xml:space="preserve">the informal sector as well as the </w:t>
      </w:r>
      <w:r w:rsidR="0016198B">
        <w:rPr>
          <w:b/>
          <w:bCs/>
        </w:rPr>
        <w:t xml:space="preserve">formal </w:t>
      </w:r>
      <w:r w:rsidR="000B7D4C">
        <w:rPr>
          <w:b/>
          <w:bCs/>
        </w:rPr>
        <w:t xml:space="preserve">sector of </w:t>
      </w:r>
      <w:r w:rsidR="007778C5">
        <w:rPr>
          <w:b/>
          <w:bCs/>
        </w:rPr>
        <w:t xml:space="preserve">the </w:t>
      </w:r>
      <w:r w:rsidRPr="00D75FF1">
        <w:rPr>
          <w:b/>
          <w:bCs/>
        </w:rPr>
        <w:t>economy</w:t>
      </w:r>
      <w:r w:rsidR="00BE713C">
        <w:rPr>
          <w:b/>
          <w:bCs/>
        </w:rPr>
        <w:t>. The State party should also</w:t>
      </w:r>
      <w:r w:rsidRPr="00D75FF1">
        <w:rPr>
          <w:b/>
          <w:bCs/>
        </w:rPr>
        <w:t xml:space="preserve"> provide </w:t>
      </w:r>
      <w:r w:rsidR="00BE713C">
        <w:rPr>
          <w:b/>
          <w:bCs/>
        </w:rPr>
        <w:t xml:space="preserve">adequate </w:t>
      </w:r>
      <w:r w:rsidRPr="00D75FF1">
        <w:rPr>
          <w:b/>
          <w:bCs/>
        </w:rPr>
        <w:t>support to families</w:t>
      </w:r>
      <w:r w:rsidR="0016198B">
        <w:rPr>
          <w:b/>
          <w:bCs/>
        </w:rPr>
        <w:t xml:space="preserve"> in</w:t>
      </w:r>
      <w:r w:rsidRPr="00D75FF1">
        <w:rPr>
          <w:b/>
          <w:bCs/>
        </w:rPr>
        <w:t xml:space="preserve"> </w:t>
      </w:r>
      <w:r w:rsidR="0016198B" w:rsidRPr="00D75FF1">
        <w:rPr>
          <w:b/>
          <w:bCs/>
        </w:rPr>
        <w:t>po</w:t>
      </w:r>
      <w:r w:rsidR="0016198B">
        <w:rPr>
          <w:b/>
          <w:bCs/>
        </w:rPr>
        <w:t xml:space="preserve">verty </w:t>
      </w:r>
      <w:r w:rsidRPr="00D75FF1">
        <w:rPr>
          <w:b/>
          <w:bCs/>
        </w:rPr>
        <w:t>so that their children can</w:t>
      </w:r>
      <w:r w:rsidR="000B7D4C">
        <w:rPr>
          <w:b/>
          <w:bCs/>
        </w:rPr>
        <w:t xml:space="preserve"> </w:t>
      </w:r>
      <w:r w:rsidR="0016198B">
        <w:rPr>
          <w:b/>
          <w:bCs/>
        </w:rPr>
        <w:t>continue their education</w:t>
      </w:r>
      <w:r w:rsidRPr="00D75FF1">
        <w:rPr>
          <w:b/>
          <w:bCs/>
        </w:rPr>
        <w:t>. It recommends that the State party ensure that all cases of economic</w:t>
      </w:r>
      <w:r w:rsidR="00B97669" w:rsidRPr="00D75FF1">
        <w:rPr>
          <w:b/>
          <w:bCs/>
        </w:rPr>
        <w:t xml:space="preserve"> and sexual </w:t>
      </w:r>
      <w:r w:rsidRPr="00D75FF1">
        <w:rPr>
          <w:b/>
          <w:bCs/>
        </w:rPr>
        <w:t>exploitation of children and any type of abuse or violence directed at them are thoroughly investigated and that those responsible are duly punished.</w:t>
      </w:r>
      <w:r w:rsidR="0038107B" w:rsidRPr="00D75FF1">
        <w:rPr>
          <w:b/>
          <w:bCs/>
        </w:rPr>
        <w:t xml:space="preserve"> The Committee also recommends </w:t>
      </w:r>
      <w:r w:rsidR="0016198B">
        <w:rPr>
          <w:b/>
          <w:bCs/>
        </w:rPr>
        <w:t xml:space="preserve">that </w:t>
      </w:r>
      <w:r w:rsidR="0038107B" w:rsidRPr="00D75FF1">
        <w:rPr>
          <w:b/>
          <w:bCs/>
        </w:rPr>
        <w:t>the S</w:t>
      </w:r>
      <w:r w:rsidR="002F0B88" w:rsidRPr="00D75FF1">
        <w:rPr>
          <w:b/>
          <w:bCs/>
        </w:rPr>
        <w:t>tate party take appropriate and comprehensive measures</w:t>
      </w:r>
      <w:r w:rsidR="0038107B" w:rsidRPr="00D75FF1">
        <w:rPr>
          <w:b/>
        </w:rPr>
        <w:t xml:space="preserve"> to </w:t>
      </w:r>
      <w:r w:rsidR="0016198B">
        <w:rPr>
          <w:b/>
        </w:rPr>
        <w:t>address the root causes, and ensure the protection of children street situations</w:t>
      </w:r>
      <w:r w:rsidR="002F0B88" w:rsidRPr="00D75FF1">
        <w:rPr>
          <w:b/>
        </w:rPr>
        <w:t>.</w:t>
      </w:r>
    </w:p>
    <w:p w14:paraId="3563B1AA" w14:textId="77777777" w:rsidR="0084562F" w:rsidRPr="00B81137" w:rsidRDefault="003339C2" w:rsidP="00B81137">
      <w:pPr>
        <w:pStyle w:val="H23G"/>
        <w:ind w:firstLine="0"/>
      </w:pPr>
      <w:r w:rsidRPr="00D75FF1">
        <w:t xml:space="preserve">Poverty </w:t>
      </w:r>
      <w:r w:rsidR="002F0B88" w:rsidRPr="00D75FF1">
        <w:t xml:space="preserve"> </w:t>
      </w:r>
    </w:p>
    <w:p w14:paraId="4CA393C9" w14:textId="77777777" w:rsidR="00143EF0" w:rsidRPr="00D75FF1" w:rsidRDefault="00F262A2" w:rsidP="007232B8">
      <w:pPr>
        <w:pStyle w:val="SingleTxtG"/>
        <w:numPr>
          <w:ilvl w:val="0"/>
          <w:numId w:val="28"/>
        </w:numPr>
        <w:tabs>
          <w:tab w:val="clear" w:pos="1701"/>
          <w:tab w:val="clear" w:pos="2268"/>
          <w:tab w:val="clear" w:pos="2835"/>
        </w:tabs>
        <w:ind w:left="1134" w:firstLine="0"/>
      </w:pPr>
      <w:r w:rsidRPr="00D75FF1">
        <w:t xml:space="preserve">The Committee is concerned about the </w:t>
      </w:r>
      <w:r w:rsidR="005717C4" w:rsidRPr="00D75FF1">
        <w:t xml:space="preserve">impact of </w:t>
      </w:r>
      <w:r w:rsidR="00281674">
        <w:t>the</w:t>
      </w:r>
      <w:r w:rsidR="001362E8">
        <w:t xml:space="preserve"> </w:t>
      </w:r>
      <w:r w:rsidR="00281674">
        <w:t>pandemic</w:t>
      </w:r>
      <w:r w:rsidR="0016198B">
        <w:t xml:space="preserve"> </w:t>
      </w:r>
      <w:r w:rsidR="001362E8">
        <w:t xml:space="preserve">and recent inflation rates </w:t>
      </w:r>
      <w:r w:rsidR="005717C4" w:rsidRPr="00D75FF1">
        <w:t>on the</w:t>
      </w:r>
      <w:r w:rsidR="000347A5">
        <w:t xml:space="preserve"> economy and therefore on the</w:t>
      </w:r>
      <w:r w:rsidR="005717C4" w:rsidRPr="00D75FF1">
        <w:t xml:space="preserve"> </w:t>
      </w:r>
      <w:r w:rsidRPr="00D75FF1">
        <w:t>reduction of poverty in the State party</w:t>
      </w:r>
      <w:r w:rsidR="005717C4" w:rsidRPr="00D75FF1">
        <w:t xml:space="preserve">. The Committee is also concerned about </w:t>
      </w:r>
      <w:r w:rsidR="00A921F7" w:rsidRPr="00D75FF1">
        <w:t xml:space="preserve">information received </w:t>
      </w:r>
      <w:r w:rsidRPr="00D75FF1">
        <w:t>that many low</w:t>
      </w:r>
      <w:r w:rsidR="0016198B">
        <w:t>-</w:t>
      </w:r>
      <w:r w:rsidRPr="00D75FF1">
        <w:t>income households are relying on</w:t>
      </w:r>
      <w:r w:rsidR="00A921F7" w:rsidRPr="00D75FF1">
        <w:t xml:space="preserve"> </w:t>
      </w:r>
      <w:r w:rsidR="00081F36" w:rsidRPr="00D75FF1">
        <w:t>loans</w:t>
      </w:r>
      <w:r w:rsidR="00A921F7" w:rsidRPr="00D75FF1">
        <w:t xml:space="preserve"> from microfinance instit</w:t>
      </w:r>
      <w:r w:rsidRPr="00D75FF1">
        <w:t xml:space="preserve">utions to cover their basic needs </w:t>
      </w:r>
      <w:r w:rsidR="001362E8">
        <w:t xml:space="preserve">which has a negative impact on the enjoyment of their right to an adequate standard </w:t>
      </w:r>
      <w:r w:rsidR="00FB0D9B">
        <w:t xml:space="preserve">of living </w:t>
      </w:r>
      <w:r w:rsidRPr="00D75FF1">
        <w:t>(art. 11)</w:t>
      </w:r>
      <w:r w:rsidR="005717C4" w:rsidRPr="00D75FF1">
        <w:t>.</w:t>
      </w:r>
      <w:r w:rsidRPr="00D75FF1">
        <w:t xml:space="preserve"> </w:t>
      </w:r>
    </w:p>
    <w:p w14:paraId="3A69555F" w14:textId="77777777" w:rsidR="000C247A" w:rsidRDefault="00F262A2" w:rsidP="007232B8">
      <w:pPr>
        <w:pStyle w:val="SingleTxtG"/>
        <w:numPr>
          <w:ilvl w:val="0"/>
          <w:numId w:val="28"/>
        </w:numPr>
        <w:tabs>
          <w:tab w:val="clear" w:pos="1701"/>
          <w:tab w:val="clear" w:pos="2268"/>
          <w:tab w:val="clear" w:pos="2835"/>
        </w:tabs>
        <w:ind w:left="1134" w:firstLine="0"/>
        <w:rPr>
          <w:b/>
        </w:rPr>
      </w:pPr>
      <w:r w:rsidRPr="00D75FF1">
        <w:rPr>
          <w:b/>
        </w:rPr>
        <w:t>The Committee recommends that the State party</w:t>
      </w:r>
      <w:r w:rsidR="00CD6671">
        <w:rPr>
          <w:b/>
        </w:rPr>
        <w:t>:</w:t>
      </w:r>
      <w:r w:rsidR="000C247A">
        <w:rPr>
          <w:b/>
        </w:rPr>
        <w:t xml:space="preserve"> </w:t>
      </w:r>
    </w:p>
    <w:p w14:paraId="75FCDEB2" w14:textId="77777777" w:rsidR="00FE60D6" w:rsidRDefault="000C247A" w:rsidP="00EB4DCD">
      <w:pPr>
        <w:pStyle w:val="SingleTxtG"/>
        <w:ind w:firstLine="567"/>
        <w:rPr>
          <w:b/>
          <w:bCs/>
          <w:shd w:val="clear" w:color="auto" w:fill="FFFFFF"/>
        </w:rPr>
      </w:pPr>
      <w:r>
        <w:rPr>
          <w:b/>
        </w:rPr>
        <w:t xml:space="preserve">(a) </w:t>
      </w:r>
      <w:r w:rsidR="00EB4DCD">
        <w:rPr>
          <w:b/>
        </w:rPr>
        <w:tab/>
      </w:r>
      <w:r w:rsidR="004206E3">
        <w:rPr>
          <w:b/>
        </w:rPr>
        <w:t>R</w:t>
      </w:r>
      <w:r w:rsidR="004206E3" w:rsidRPr="00D75FF1">
        <w:rPr>
          <w:b/>
        </w:rPr>
        <w:t xml:space="preserve">eview </w:t>
      </w:r>
      <w:r w:rsidR="005717C4" w:rsidRPr="00D75FF1">
        <w:rPr>
          <w:b/>
        </w:rPr>
        <w:t xml:space="preserve">and adapt its poverty eradication strategy to address current challenges, as well as the </w:t>
      </w:r>
      <w:r w:rsidR="00F262A2" w:rsidRPr="00D75FF1">
        <w:rPr>
          <w:b/>
        </w:rPr>
        <w:t>recovery after COVID-19</w:t>
      </w:r>
      <w:r w:rsidR="005717C4" w:rsidRPr="00D75FF1">
        <w:rPr>
          <w:b/>
        </w:rPr>
        <w:t xml:space="preserve">. The new strategy should include </w:t>
      </w:r>
      <w:r w:rsidR="009E0C20" w:rsidRPr="00D75FF1">
        <w:rPr>
          <w:b/>
          <w:bCs/>
          <w:shd w:val="clear" w:color="auto" w:fill="FFFFFF"/>
        </w:rPr>
        <w:t>clear and measurable objectives;</w:t>
      </w:r>
      <w:r w:rsidR="005717C4" w:rsidRPr="00D75FF1">
        <w:rPr>
          <w:b/>
          <w:bCs/>
          <w:shd w:val="clear" w:color="auto" w:fill="FFFFFF"/>
        </w:rPr>
        <w:t xml:space="preserve"> allocation of</w:t>
      </w:r>
      <w:r w:rsidR="009E0C20" w:rsidRPr="00D75FF1">
        <w:rPr>
          <w:b/>
          <w:bCs/>
          <w:shd w:val="clear" w:color="auto" w:fill="FFFFFF"/>
        </w:rPr>
        <w:t xml:space="preserve"> adequate resources for its implementation; effective mechanisms for coordination between the various actors; and </w:t>
      </w:r>
      <w:r w:rsidR="005717C4" w:rsidRPr="00D75FF1">
        <w:rPr>
          <w:b/>
          <w:bCs/>
          <w:shd w:val="clear" w:color="auto" w:fill="FFFFFF"/>
        </w:rPr>
        <w:t xml:space="preserve">should be </w:t>
      </w:r>
      <w:r w:rsidR="009E0C20" w:rsidRPr="00D75FF1">
        <w:rPr>
          <w:b/>
          <w:bCs/>
          <w:shd w:val="clear" w:color="auto" w:fill="FFFFFF"/>
        </w:rPr>
        <w:t>implemented in accordance with human rights standards and principles, taking into account the need of the most disadvantaged and marginalized individuals and groups</w:t>
      </w:r>
      <w:r w:rsidR="00FE60D6">
        <w:rPr>
          <w:b/>
          <w:bCs/>
          <w:shd w:val="clear" w:color="auto" w:fill="FFFFFF"/>
        </w:rPr>
        <w:t>;</w:t>
      </w:r>
      <w:r w:rsidR="009E0C20" w:rsidRPr="00D75FF1">
        <w:rPr>
          <w:b/>
          <w:bCs/>
          <w:shd w:val="clear" w:color="auto" w:fill="FFFFFF"/>
        </w:rPr>
        <w:t xml:space="preserve"> </w:t>
      </w:r>
    </w:p>
    <w:p w14:paraId="00F853EB" w14:textId="77777777" w:rsidR="002E6691" w:rsidRPr="00D75FF1" w:rsidRDefault="000C247A" w:rsidP="00EB4DCD">
      <w:pPr>
        <w:pStyle w:val="SingleTxtG"/>
        <w:ind w:firstLine="567"/>
        <w:rPr>
          <w:rFonts w:ascii="Times New Roman,Bold" w:eastAsia="Times New Roman" w:hAnsi="Times New Roman,Bold"/>
          <w:lang w:val="en-US"/>
        </w:rPr>
      </w:pPr>
      <w:r>
        <w:rPr>
          <w:b/>
          <w:bCs/>
          <w:shd w:val="clear" w:color="auto" w:fill="FFFFFF"/>
        </w:rPr>
        <w:t xml:space="preserve">(b) </w:t>
      </w:r>
      <w:r w:rsidR="00EB4DCD">
        <w:rPr>
          <w:b/>
          <w:bCs/>
          <w:shd w:val="clear" w:color="auto" w:fill="FFFFFF"/>
        </w:rPr>
        <w:tab/>
      </w:r>
      <w:r w:rsidR="004206E3">
        <w:rPr>
          <w:b/>
          <w:bCs/>
          <w:shd w:val="clear" w:color="auto" w:fill="FFFFFF"/>
        </w:rPr>
        <w:t>C</w:t>
      </w:r>
      <w:r w:rsidR="009E0C20" w:rsidRPr="00D75FF1">
        <w:rPr>
          <w:b/>
          <w:bCs/>
          <w:shd w:val="clear" w:color="auto" w:fill="FFFFFF"/>
        </w:rPr>
        <w:t>arry out a comprehensive assessment on the impact of indebtedness on the enjoyment of economic, social and cultural rights in order to adopt adequate measures to protect borrowers</w:t>
      </w:r>
      <w:r w:rsidR="008B11DD">
        <w:rPr>
          <w:b/>
          <w:bCs/>
          <w:shd w:val="clear" w:color="auto" w:fill="FFFFFF"/>
        </w:rPr>
        <w:t xml:space="preserve">, </w:t>
      </w:r>
      <w:r w:rsidR="00FE60D6">
        <w:rPr>
          <w:b/>
          <w:bCs/>
          <w:shd w:val="clear" w:color="auto" w:fill="FFFFFF"/>
        </w:rPr>
        <w:t xml:space="preserve">to </w:t>
      </w:r>
      <w:r w:rsidR="008B11DD">
        <w:rPr>
          <w:b/>
          <w:bCs/>
          <w:shd w:val="clear" w:color="auto" w:fill="FFFFFF"/>
        </w:rPr>
        <w:t xml:space="preserve">support </w:t>
      </w:r>
      <w:r w:rsidR="00FE60D6">
        <w:rPr>
          <w:b/>
          <w:bCs/>
          <w:shd w:val="clear" w:color="auto" w:fill="FFFFFF"/>
        </w:rPr>
        <w:t xml:space="preserve">them </w:t>
      </w:r>
      <w:r w:rsidR="008B11DD">
        <w:rPr>
          <w:b/>
          <w:bCs/>
          <w:shd w:val="clear" w:color="auto" w:fill="FFFFFF"/>
        </w:rPr>
        <w:t>in overco</w:t>
      </w:r>
      <w:r w:rsidR="008B11DD" w:rsidRPr="00D9518F">
        <w:rPr>
          <w:b/>
          <w:bCs/>
          <w:shd w:val="clear" w:color="auto" w:fill="FFFFFF"/>
        </w:rPr>
        <w:t>ming the inde</w:t>
      </w:r>
      <w:r w:rsidR="00FE60D6">
        <w:rPr>
          <w:b/>
          <w:bCs/>
          <w:shd w:val="clear" w:color="auto" w:fill="FFFFFF"/>
        </w:rPr>
        <w:t>b</w:t>
      </w:r>
      <w:r w:rsidR="008B11DD" w:rsidRPr="00D9518F">
        <w:rPr>
          <w:b/>
          <w:bCs/>
          <w:shd w:val="clear" w:color="auto" w:fill="FFFFFF"/>
        </w:rPr>
        <w:t>t</w:t>
      </w:r>
      <w:r w:rsidR="00FE60D6">
        <w:rPr>
          <w:b/>
          <w:bCs/>
          <w:shd w:val="clear" w:color="auto" w:fill="FFFFFF"/>
        </w:rPr>
        <w:t>ed</w:t>
      </w:r>
      <w:r w:rsidR="008B11DD" w:rsidRPr="00D9518F">
        <w:rPr>
          <w:b/>
          <w:bCs/>
          <w:shd w:val="clear" w:color="auto" w:fill="FFFFFF"/>
        </w:rPr>
        <w:t xml:space="preserve">ness situation and </w:t>
      </w:r>
      <w:r w:rsidR="00546EFF" w:rsidRPr="00D9518F">
        <w:rPr>
          <w:b/>
          <w:bCs/>
          <w:shd w:val="clear" w:color="auto" w:fill="FFFFFF"/>
        </w:rPr>
        <w:t xml:space="preserve">to avoid </w:t>
      </w:r>
      <w:r w:rsidR="00CD6671">
        <w:rPr>
          <w:b/>
          <w:bCs/>
          <w:shd w:val="clear" w:color="auto" w:fill="FFFFFF"/>
        </w:rPr>
        <w:t>the loss of</w:t>
      </w:r>
      <w:r w:rsidR="00546EFF" w:rsidRPr="00D9518F">
        <w:rPr>
          <w:b/>
          <w:bCs/>
          <w:shd w:val="clear" w:color="auto" w:fill="FFFFFF"/>
        </w:rPr>
        <w:t xml:space="preserve"> access to land which is used as collateral</w:t>
      </w:r>
      <w:r w:rsidR="00FE60D6">
        <w:rPr>
          <w:b/>
          <w:bCs/>
          <w:shd w:val="clear" w:color="auto" w:fill="FFFFFF"/>
        </w:rPr>
        <w:t xml:space="preserve">, </w:t>
      </w:r>
      <w:r w:rsidR="00FE60D6">
        <w:rPr>
          <w:b/>
          <w:bCs/>
        </w:rPr>
        <w:t>a</w:t>
      </w:r>
      <w:r w:rsidR="00CA10F9">
        <w:rPr>
          <w:b/>
          <w:bCs/>
        </w:rPr>
        <w:t xml:space="preserve">s well as to </w:t>
      </w:r>
      <w:r w:rsidR="002E6691" w:rsidRPr="00C44AC7">
        <w:rPr>
          <w:b/>
          <w:bCs/>
        </w:rPr>
        <w:t>support ove</w:t>
      </w:r>
      <w:r w:rsidR="00D9518F" w:rsidRPr="00C44AC7">
        <w:rPr>
          <w:b/>
          <w:bCs/>
        </w:rPr>
        <w:t>r</w:t>
      </w:r>
      <w:r w:rsidR="00CA10F9">
        <w:rPr>
          <w:b/>
          <w:bCs/>
        </w:rPr>
        <w:t>-</w:t>
      </w:r>
      <w:r w:rsidR="00D9518F" w:rsidRPr="00C44AC7">
        <w:rPr>
          <w:b/>
          <w:bCs/>
        </w:rPr>
        <w:t>inde</w:t>
      </w:r>
      <w:r w:rsidR="00CA10F9">
        <w:rPr>
          <w:b/>
          <w:bCs/>
        </w:rPr>
        <w:t xml:space="preserve">bted </w:t>
      </w:r>
      <w:r w:rsidR="00D9518F" w:rsidRPr="00C44AC7">
        <w:rPr>
          <w:b/>
          <w:bCs/>
        </w:rPr>
        <w:t>families whose situation</w:t>
      </w:r>
      <w:r w:rsidR="00CD6671">
        <w:rPr>
          <w:b/>
          <w:bCs/>
        </w:rPr>
        <w:t>s</w:t>
      </w:r>
      <w:r w:rsidR="00D9518F" w:rsidRPr="00C44AC7">
        <w:rPr>
          <w:b/>
          <w:bCs/>
        </w:rPr>
        <w:t xml:space="preserve"> have </w:t>
      </w:r>
      <w:r w:rsidR="000B4F77">
        <w:rPr>
          <w:b/>
          <w:bCs/>
        </w:rPr>
        <w:t>worsened</w:t>
      </w:r>
      <w:r w:rsidR="00D9518F" w:rsidRPr="00C44AC7">
        <w:rPr>
          <w:b/>
          <w:bCs/>
        </w:rPr>
        <w:t xml:space="preserve"> </w:t>
      </w:r>
      <w:r w:rsidR="00CA10F9">
        <w:rPr>
          <w:b/>
          <w:bCs/>
        </w:rPr>
        <w:t>after the COVID-19 pandemic</w:t>
      </w:r>
      <w:r w:rsidR="00D9518F" w:rsidRPr="00C44AC7">
        <w:rPr>
          <w:b/>
          <w:bCs/>
        </w:rPr>
        <w:t xml:space="preserve">. </w:t>
      </w:r>
    </w:p>
    <w:p w14:paraId="51B81E95" w14:textId="77777777" w:rsidR="000C247A" w:rsidRPr="00D75FF1" w:rsidRDefault="009A5AD5" w:rsidP="00EB4DCD">
      <w:pPr>
        <w:pStyle w:val="SingleTxtG"/>
        <w:ind w:firstLine="567"/>
        <w:rPr>
          <w:b/>
          <w:bCs/>
          <w:shd w:val="clear" w:color="auto" w:fill="FFFFFF"/>
        </w:rPr>
      </w:pPr>
      <w:r w:rsidRPr="000E75C3">
        <w:rPr>
          <w:b/>
          <w:bCs/>
        </w:rPr>
        <w:t xml:space="preserve">(c) </w:t>
      </w:r>
      <w:r w:rsidR="00EB4DCD">
        <w:rPr>
          <w:b/>
          <w:bCs/>
        </w:rPr>
        <w:tab/>
      </w:r>
      <w:r w:rsidR="00CA10F9">
        <w:rPr>
          <w:rStyle w:val="markedcontent"/>
          <w:b/>
          <w:bCs/>
        </w:rPr>
        <w:t>E</w:t>
      </w:r>
      <w:r w:rsidRPr="00C44AC7">
        <w:rPr>
          <w:b/>
          <w:bCs/>
        </w:rPr>
        <w:t>stablish and enforce client protection laws and independent monitoring mechanisms of banks and microcredit institutions, with the aim of protecting borrowers from aggressive lending and collection practices</w:t>
      </w:r>
      <w:r w:rsidR="00606DDD">
        <w:rPr>
          <w:b/>
          <w:bCs/>
        </w:rPr>
        <w:t>.</w:t>
      </w:r>
    </w:p>
    <w:p w14:paraId="1F7A2D86" w14:textId="77777777" w:rsidR="005717C4" w:rsidRPr="00B81137" w:rsidRDefault="005717C4" w:rsidP="00B81137">
      <w:pPr>
        <w:pStyle w:val="H23G"/>
        <w:ind w:firstLine="0"/>
      </w:pPr>
      <w:r w:rsidRPr="00D75FF1">
        <w:t xml:space="preserve">Right to food </w:t>
      </w:r>
    </w:p>
    <w:p w14:paraId="2D312222" w14:textId="77777777" w:rsidR="00F262A2" w:rsidRPr="00D75FF1" w:rsidRDefault="005717C4" w:rsidP="007232B8">
      <w:pPr>
        <w:pStyle w:val="SingleTxtG"/>
        <w:numPr>
          <w:ilvl w:val="0"/>
          <w:numId w:val="28"/>
        </w:numPr>
        <w:tabs>
          <w:tab w:val="clear" w:pos="1701"/>
          <w:tab w:val="clear" w:pos="2268"/>
          <w:tab w:val="clear" w:pos="2835"/>
        </w:tabs>
        <w:ind w:left="1134" w:firstLine="0"/>
      </w:pPr>
      <w:r w:rsidRPr="00D75FF1">
        <w:t xml:space="preserve">While the Committee acknowledges </w:t>
      </w:r>
      <w:r w:rsidR="000E75C3">
        <w:t xml:space="preserve">some </w:t>
      </w:r>
      <w:r w:rsidRPr="00D75FF1">
        <w:t xml:space="preserve">progress made by the State party in </w:t>
      </w:r>
      <w:r w:rsidR="000B4F77">
        <w:t>reducing</w:t>
      </w:r>
      <w:r w:rsidR="000B4F77" w:rsidRPr="00D75FF1">
        <w:t xml:space="preserve"> </w:t>
      </w:r>
      <w:r w:rsidRPr="00D75FF1">
        <w:t xml:space="preserve">the levels of malnutrition, hunger and food insecurity, it remains </w:t>
      </w:r>
      <w:r w:rsidR="000E75C3">
        <w:t xml:space="preserve">extremely </w:t>
      </w:r>
      <w:r w:rsidRPr="00D75FF1">
        <w:t xml:space="preserve">concerned </w:t>
      </w:r>
      <w:r w:rsidR="000E75C3">
        <w:t>about the high level of chronic malnutrit</w:t>
      </w:r>
      <w:r w:rsidR="00CA10F9">
        <w:t>i</w:t>
      </w:r>
      <w:r w:rsidR="000E75C3">
        <w:t xml:space="preserve">on and severe food insecurity in the State </w:t>
      </w:r>
      <w:r w:rsidR="000B4F77">
        <w:t>party</w:t>
      </w:r>
      <w:r w:rsidR="000E75C3">
        <w:t xml:space="preserve"> </w:t>
      </w:r>
      <w:r w:rsidR="001362E8">
        <w:t>(art. 11).</w:t>
      </w:r>
      <w:r w:rsidR="009E0C20" w:rsidRPr="00D75FF1">
        <w:t xml:space="preserve"> </w:t>
      </w:r>
    </w:p>
    <w:p w14:paraId="50F72B85" w14:textId="77777777" w:rsidR="00C44AC7" w:rsidRDefault="00C44AC7" w:rsidP="007232B8">
      <w:pPr>
        <w:pStyle w:val="SingleTxtG"/>
        <w:numPr>
          <w:ilvl w:val="0"/>
          <w:numId w:val="28"/>
        </w:numPr>
        <w:tabs>
          <w:tab w:val="clear" w:pos="1701"/>
          <w:tab w:val="clear" w:pos="2268"/>
          <w:tab w:val="clear" w:pos="2835"/>
        </w:tabs>
        <w:ind w:left="1134" w:firstLine="0"/>
        <w:rPr>
          <w:b/>
          <w:bCs/>
          <w:sz w:val="24"/>
          <w:szCs w:val="24"/>
        </w:rPr>
      </w:pPr>
      <w:r w:rsidRPr="00C44AC7">
        <w:rPr>
          <w:b/>
          <w:bCs/>
        </w:rPr>
        <w:t>The Committee recommends that the State party redouble its efforts to protect the right to adequate food and make an assessment of the implementation of its Second National Strategy for Food Security and Nutrition 2019-2023, in order to tackle food insecurity and malnutrition in an effective and comprehensive manner, including by establishing programmes to increase a minimum income support, promote healthier diets and incorporate trade, land management, education and fiscal policy elements, set clear, time-bound targets and appropriate mechanisms for assessing the progress made.</w:t>
      </w:r>
      <w:r>
        <w:rPr>
          <w:b/>
          <w:bCs/>
        </w:rPr>
        <w:t xml:space="preserve"> The Committee recommends that the State party develop a basic social transfer system to address extreme poverty and severe forms of malnourishment.</w:t>
      </w:r>
      <w:r w:rsidRPr="00C44AC7">
        <w:rPr>
          <w:b/>
          <w:bCs/>
        </w:rPr>
        <w:t xml:space="preserve"> The Committee encourages the State party to take these steps in collaboration with civil society organizations. The Committee refers the State party to its general comment No. 12 (1999) on the right to adequate food and to the Voluntary Guidelines to Support the Progressive Realization of the Right to Adequate Food in the Context of National Food Security adopted by the Food and Agriculture Organization of the United Nations.</w:t>
      </w:r>
    </w:p>
    <w:p w14:paraId="354D7DDC" w14:textId="77777777" w:rsidR="00143EF0" w:rsidRPr="00D75FF1" w:rsidRDefault="00380A13" w:rsidP="00B81137">
      <w:pPr>
        <w:pStyle w:val="H23G"/>
        <w:ind w:firstLine="0"/>
      </w:pPr>
      <w:r w:rsidRPr="00D75FF1">
        <w:lastRenderedPageBreak/>
        <w:tab/>
      </w:r>
      <w:r w:rsidR="007C0313" w:rsidRPr="00D75FF1">
        <w:t xml:space="preserve">Land </w:t>
      </w:r>
      <w:r w:rsidR="000B4EFC" w:rsidRPr="00D75FF1">
        <w:t>conflicts</w:t>
      </w:r>
      <w:r w:rsidR="007C0313" w:rsidRPr="00D75FF1">
        <w:t xml:space="preserve"> and f</w:t>
      </w:r>
      <w:r w:rsidR="00143EF0" w:rsidRPr="00D75FF1">
        <w:t xml:space="preserve">orced evictions </w:t>
      </w:r>
    </w:p>
    <w:p w14:paraId="78E23404" w14:textId="77777777" w:rsidR="00C46FEC" w:rsidRPr="00D75FF1" w:rsidRDefault="007C0313" w:rsidP="007232B8">
      <w:pPr>
        <w:pStyle w:val="SingleTxtG"/>
        <w:numPr>
          <w:ilvl w:val="0"/>
          <w:numId w:val="28"/>
        </w:numPr>
        <w:tabs>
          <w:tab w:val="clear" w:pos="1701"/>
          <w:tab w:val="clear" w:pos="2268"/>
          <w:tab w:val="clear" w:pos="2835"/>
        </w:tabs>
        <w:ind w:left="1134" w:firstLine="0"/>
      </w:pPr>
      <w:r w:rsidRPr="00D75FF1">
        <w:t xml:space="preserve">The Committee is concerned </w:t>
      </w:r>
      <w:r w:rsidR="00C46FEC" w:rsidRPr="00D75FF1">
        <w:t>about the significant negative impact that land-</w:t>
      </w:r>
      <w:r w:rsidRPr="00D75FF1">
        <w:t xml:space="preserve">grabbing </w:t>
      </w:r>
      <w:r w:rsidR="00C46FEC" w:rsidRPr="00D75FF1">
        <w:t>has</w:t>
      </w:r>
      <w:r w:rsidR="000B4EFC" w:rsidRPr="00D75FF1">
        <w:t xml:space="preserve"> </w:t>
      </w:r>
      <w:r w:rsidR="001362E8">
        <w:t xml:space="preserve">on </w:t>
      </w:r>
      <w:r w:rsidR="000B4EFC" w:rsidRPr="00D75FF1">
        <w:t>the e</w:t>
      </w:r>
      <w:r w:rsidRPr="00D75FF1">
        <w:t xml:space="preserve">njoyment of </w:t>
      </w:r>
      <w:r w:rsidR="00C46FEC" w:rsidRPr="00D75FF1">
        <w:t>economic, social and cultural rights</w:t>
      </w:r>
      <w:r w:rsidRPr="00D75FF1">
        <w:t>.</w:t>
      </w:r>
      <w:r w:rsidR="00C46FEC" w:rsidRPr="00D75FF1">
        <w:t xml:space="preserve"> The Committee </w:t>
      </w:r>
      <w:r w:rsidR="001362E8">
        <w:t xml:space="preserve">is </w:t>
      </w:r>
      <w:r w:rsidR="00C46FEC" w:rsidRPr="00D75FF1">
        <w:t>concerned that long-standing conflicts over land</w:t>
      </w:r>
      <w:r w:rsidR="008A37B4" w:rsidRPr="00D75FF1">
        <w:t xml:space="preserve"> under the Economic Land Concession scheme have not been resolved and reparatory measures</w:t>
      </w:r>
      <w:r w:rsidR="001362E8">
        <w:t xml:space="preserve"> for victims</w:t>
      </w:r>
      <w:r w:rsidR="008A37B4" w:rsidRPr="00D75FF1">
        <w:t xml:space="preserve"> have not been implemented</w:t>
      </w:r>
      <w:r w:rsidR="001362E8">
        <w:t xml:space="preserve">. </w:t>
      </w:r>
      <w:r w:rsidR="000B4EFC" w:rsidRPr="00D75FF1">
        <w:t>The Committee is also conce</w:t>
      </w:r>
      <w:r w:rsidR="00C46FEC" w:rsidRPr="00D75FF1">
        <w:t>rned a</w:t>
      </w:r>
      <w:r w:rsidRPr="00D75FF1">
        <w:t xml:space="preserve">bout the high number of </w:t>
      </w:r>
      <w:r w:rsidR="00C46FEC" w:rsidRPr="00D75FF1">
        <w:t xml:space="preserve">communities that </w:t>
      </w:r>
      <w:r w:rsidRPr="00D75FF1">
        <w:t>have been forcibly evicted or who are facing the risk of being forcibly evicted</w:t>
      </w:r>
      <w:r w:rsidR="00C46FEC" w:rsidRPr="00D75FF1">
        <w:t>, both in rural and urban areas affecting the livelihood and the right to adequate housing of those concerned</w:t>
      </w:r>
      <w:r w:rsidRPr="00D75FF1">
        <w:t xml:space="preserve"> (art. 11).</w:t>
      </w:r>
    </w:p>
    <w:p w14:paraId="18F26827" w14:textId="77777777" w:rsidR="00C46FEC" w:rsidRPr="00D75FF1" w:rsidRDefault="007C0313" w:rsidP="007232B8">
      <w:pPr>
        <w:pStyle w:val="SingleTxtG"/>
        <w:numPr>
          <w:ilvl w:val="0"/>
          <w:numId w:val="28"/>
        </w:numPr>
        <w:tabs>
          <w:tab w:val="clear" w:pos="1701"/>
          <w:tab w:val="clear" w:pos="2268"/>
          <w:tab w:val="clear" w:pos="2835"/>
        </w:tabs>
        <w:ind w:left="1134" w:firstLine="0"/>
        <w:rPr>
          <w:b/>
        </w:rPr>
      </w:pPr>
      <w:r w:rsidRPr="00D75FF1">
        <w:rPr>
          <w:b/>
        </w:rPr>
        <w:t>The Committee recommends that the State party:</w:t>
      </w:r>
    </w:p>
    <w:p w14:paraId="26926CD2" w14:textId="77777777" w:rsidR="00C46FEC" w:rsidRPr="00D75FF1" w:rsidRDefault="007C0313" w:rsidP="00EB4DCD">
      <w:pPr>
        <w:pStyle w:val="SingleTxtG"/>
        <w:numPr>
          <w:ilvl w:val="0"/>
          <w:numId w:val="25"/>
        </w:numPr>
        <w:tabs>
          <w:tab w:val="clear" w:pos="1701"/>
          <w:tab w:val="clear" w:pos="2268"/>
          <w:tab w:val="clear" w:pos="2835"/>
        </w:tabs>
        <w:ind w:left="1134" w:firstLine="567"/>
        <w:rPr>
          <w:b/>
        </w:rPr>
      </w:pPr>
      <w:r w:rsidRPr="00D75FF1">
        <w:rPr>
          <w:b/>
        </w:rPr>
        <w:t xml:space="preserve">Take the necessary steps to </w:t>
      </w:r>
      <w:r w:rsidR="005D1102">
        <w:rPr>
          <w:b/>
        </w:rPr>
        <w:t xml:space="preserve">respect and protect </w:t>
      </w:r>
      <w:r w:rsidRPr="00D75FF1">
        <w:rPr>
          <w:b/>
        </w:rPr>
        <w:t>fair access to land and natural resources, including the safeguarding of the land-use rights</w:t>
      </w:r>
      <w:r w:rsidR="00A403B8">
        <w:rPr>
          <w:b/>
        </w:rPr>
        <w:t>. This should be</w:t>
      </w:r>
      <w:r w:rsidR="005D1102">
        <w:rPr>
          <w:b/>
        </w:rPr>
        <w:t xml:space="preserve"> done in</w:t>
      </w:r>
      <w:r w:rsidR="004206E3">
        <w:rPr>
          <w:b/>
        </w:rPr>
        <w:t>, both</w:t>
      </w:r>
      <w:r w:rsidR="005D1102">
        <w:rPr>
          <w:b/>
        </w:rPr>
        <w:t xml:space="preserve"> rural </w:t>
      </w:r>
      <w:r w:rsidR="004206E3">
        <w:rPr>
          <w:b/>
        </w:rPr>
        <w:t>and</w:t>
      </w:r>
      <w:r w:rsidR="005D1102">
        <w:rPr>
          <w:b/>
        </w:rPr>
        <w:t xml:space="preserve"> urban context</w:t>
      </w:r>
      <w:r w:rsidR="004206E3">
        <w:rPr>
          <w:b/>
        </w:rPr>
        <w:t>s</w:t>
      </w:r>
      <w:r w:rsidR="005D1102">
        <w:rPr>
          <w:b/>
        </w:rPr>
        <w:t xml:space="preserve">, when </w:t>
      </w:r>
      <w:r w:rsidR="00CF69D9">
        <w:rPr>
          <w:b/>
        </w:rPr>
        <w:t>speculation or city development</w:t>
      </w:r>
      <w:r w:rsidR="004206E3">
        <w:rPr>
          <w:b/>
        </w:rPr>
        <w:t>s</w:t>
      </w:r>
      <w:r w:rsidR="00CF69D9">
        <w:rPr>
          <w:b/>
        </w:rPr>
        <w:t xml:space="preserve"> </w:t>
      </w:r>
      <w:r w:rsidR="000B4F77">
        <w:rPr>
          <w:b/>
        </w:rPr>
        <w:t xml:space="preserve">have led </w:t>
      </w:r>
      <w:r w:rsidR="004206E3">
        <w:rPr>
          <w:b/>
        </w:rPr>
        <w:t xml:space="preserve">to the </w:t>
      </w:r>
      <w:r w:rsidR="00CA10F9">
        <w:rPr>
          <w:b/>
        </w:rPr>
        <w:t>relocati</w:t>
      </w:r>
      <w:r w:rsidR="004206E3">
        <w:rPr>
          <w:b/>
        </w:rPr>
        <w:t xml:space="preserve">on of </w:t>
      </w:r>
      <w:r w:rsidR="00CF69D9">
        <w:rPr>
          <w:b/>
        </w:rPr>
        <w:t>population.</w:t>
      </w:r>
    </w:p>
    <w:p w14:paraId="5A658729" w14:textId="77777777" w:rsidR="008A37B4" w:rsidRPr="00D75FF1" w:rsidRDefault="008A37B4" w:rsidP="00EB4DCD">
      <w:pPr>
        <w:pStyle w:val="SingleTxtG"/>
        <w:numPr>
          <w:ilvl w:val="0"/>
          <w:numId w:val="25"/>
        </w:numPr>
        <w:tabs>
          <w:tab w:val="clear" w:pos="1701"/>
          <w:tab w:val="clear" w:pos="2268"/>
          <w:tab w:val="clear" w:pos="2835"/>
        </w:tabs>
        <w:ind w:left="1134" w:firstLine="567"/>
        <w:rPr>
          <w:b/>
        </w:rPr>
      </w:pPr>
      <w:r w:rsidRPr="00D75FF1">
        <w:rPr>
          <w:b/>
        </w:rPr>
        <w:t xml:space="preserve">Ensure that victims of human rights violations in relation to land disputes have access to effective legal remedies and reparation, in particular those linked to the Economic Land Concession Scheme; </w:t>
      </w:r>
    </w:p>
    <w:p w14:paraId="03FF05B1" w14:textId="77777777" w:rsidR="008A37B4" w:rsidRPr="00D75FF1" w:rsidRDefault="008A37B4" w:rsidP="00EB4DCD">
      <w:pPr>
        <w:pStyle w:val="SingleTxtG"/>
        <w:numPr>
          <w:ilvl w:val="0"/>
          <w:numId w:val="25"/>
        </w:numPr>
        <w:tabs>
          <w:tab w:val="clear" w:pos="1701"/>
          <w:tab w:val="clear" w:pos="2268"/>
          <w:tab w:val="clear" w:pos="2835"/>
        </w:tabs>
        <w:ind w:left="1134" w:firstLine="567"/>
        <w:rPr>
          <w:b/>
        </w:rPr>
      </w:pPr>
      <w:r w:rsidRPr="00D75FF1">
        <w:rPr>
          <w:b/>
        </w:rPr>
        <w:t>Take effective measures against forced evictions in accordance with international human rights law, and ensure that</w:t>
      </w:r>
      <w:r w:rsidR="000B4F77">
        <w:rPr>
          <w:b/>
        </w:rPr>
        <w:t xml:space="preserve"> the</w:t>
      </w:r>
      <w:r w:rsidRPr="00D75FF1">
        <w:rPr>
          <w:b/>
        </w:rPr>
        <w:t xml:space="preserve"> victims have access to an effective remedy that allows the restitution of their property, return to their homes or land o</w:t>
      </w:r>
      <w:r w:rsidR="001362E8">
        <w:rPr>
          <w:b/>
        </w:rPr>
        <w:t>r a suitable alternative</w:t>
      </w:r>
      <w:r w:rsidRPr="00D75FF1">
        <w:rPr>
          <w:b/>
        </w:rPr>
        <w:t>, and appropriate compensation</w:t>
      </w:r>
      <w:r w:rsidR="001362E8">
        <w:rPr>
          <w:b/>
        </w:rPr>
        <w:t>;</w:t>
      </w:r>
    </w:p>
    <w:p w14:paraId="698A09F3" w14:textId="77777777" w:rsidR="00320DB0" w:rsidRPr="00D75FF1" w:rsidRDefault="008A37B4" w:rsidP="00EB4DCD">
      <w:pPr>
        <w:pStyle w:val="SingleTxtG"/>
        <w:numPr>
          <w:ilvl w:val="0"/>
          <w:numId w:val="25"/>
        </w:numPr>
        <w:tabs>
          <w:tab w:val="clear" w:pos="1701"/>
          <w:tab w:val="clear" w:pos="2268"/>
          <w:tab w:val="clear" w:pos="2835"/>
        </w:tabs>
        <w:ind w:left="1134" w:firstLine="567"/>
        <w:rPr>
          <w:b/>
        </w:rPr>
      </w:pPr>
      <w:r w:rsidRPr="00D75FF1">
        <w:rPr>
          <w:b/>
        </w:rPr>
        <w:t xml:space="preserve">Take into account the Committee’s </w:t>
      </w:r>
      <w:r w:rsidR="007C0313" w:rsidRPr="00D75FF1">
        <w:rPr>
          <w:b/>
        </w:rPr>
        <w:t>general comment</w:t>
      </w:r>
      <w:r w:rsidRPr="00D75FF1">
        <w:rPr>
          <w:b/>
        </w:rPr>
        <w:t>s No.26 (2022) on Land and economic, social and cultural rights and</w:t>
      </w:r>
      <w:r w:rsidR="007C0313" w:rsidRPr="00D75FF1">
        <w:rPr>
          <w:b/>
        </w:rPr>
        <w:t xml:space="preserve"> No. 7 (1997) on the right to adequate housing (forced evictions), which includes guidance on adequate legal remedies, adequate compensation, and c</w:t>
      </w:r>
      <w:r w:rsidRPr="00D75FF1">
        <w:rPr>
          <w:b/>
        </w:rPr>
        <w:t xml:space="preserve">onsultation, among other things, as well as </w:t>
      </w:r>
      <w:r w:rsidR="00320DB0" w:rsidRPr="00D75FF1">
        <w:rPr>
          <w:b/>
          <w:bCs/>
        </w:rPr>
        <w:t>the guidelines on development-based evictions and displacement drawn up by the Special Rapporteur on adequate housing as a component of the right to an adequate standard of living.</w:t>
      </w:r>
    </w:p>
    <w:p w14:paraId="6FACA763" w14:textId="77777777" w:rsidR="00DC46C2" w:rsidRPr="00D75FF1" w:rsidRDefault="00DC46C2" w:rsidP="00B81137">
      <w:pPr>
        <w:pStyle w:val="H23G"/>
        <w:ind w:firstLine="0"/>
      </w:pPr>
      <w:r w:rsidRPr="00D75FF1">
        <w:t>Right to physical and mental health (art. 12)</w:t>
      </w:r>
    </w:p>
    <w:p w14:paraId="4D9E6152" w14:textId="77777777" w:rsidR="00DC46C2" w:rsidRPr="00D75FF1" w:rsidRDefault="00BB253B" w:rsidP="007232B8">
      <w:pPr>
        <w:pStyle w:val="SingleTxtG"/>
        <w:numPr>
          <w:ilvl w:val="0"/>
          <w:numId w:val="28"/>
        </w:numPr>
        <w:tabs>
          <w:tab w:val="clear" w:pos="1701"/>
          <w:tab w:val="clear" w:pos="2268"/>
          <w:tab w:val="clear" w:pos="2835"/>
        </w:tabs>
        <w:ind w:left="1134" w:firstLine="0"/>
      </w:pPr>
      <w:r w:rsidRPr="00D75FF1">
        <w:t xml:space="preserve">The Committee takes note of the progress made by the State party in expanding access to health-care services and reducing inequalities. </w:t>
      </w:r>
      <w:r w:rsidR="00DB1A11" w:rsidRPr="00D75FF1">
        <w:t>The Committee is</w:t>
      </w:r>
      <w:r w:rsidRPr="00D75FF1">
        <w:t>, nevertheless,</w:t>
      </w:r>
      <w:r w:rsidR="00DB1A11" w:rsidRPr="00D75FF1">
        <w:t xml:space="preserve"> concerned that</w:t>
      </w:r>
      <w:r w:rsidRPr="00D75FF1">
        <w:t xml:space="preserve"> challenges in accessing health care and services, in particular sexual and reproductive health and mental </w:t>
      </w:r>
      <w:r w:rsidR="00BC2012">
        <w:t xml:space="preserve">health </w:t>
      </w:r>
      <w:r w:rsidRPr="00D75FF1">
        <w:t xml:space="preserve">remain for </w:t>
      </w:r>
      <w:r w:rsidR="00DB1A11" w:rsidRPr="00D75FF1">
        <w:t xml:space="preserve">the most disadvantaged persons and groups, mainly </w:t>
      </w:r>
      <w:bookmarkStart w:id="9" w:name="_Hlk124858914"/>
      <w:r w:rsidR="00DB1A11" w:rsidRPr="00D75FF1">
        <w:t>low-income persons</w:t>
      </w:r>
      <w:bookmarkEnd w:id="9"/>
      <w:r w:rsidR="00E84842" w:rsidRPr="00D75FF1">
        <w:t xml:space="preserve"> (art. 12)</w:t>
      </w:r>
      <w:r w:rsidRPr="00D75FF1">
        <w:t xml:space="preserve">. </w:t>
      </w:r>
      <w:r w:rsidR="00DC46C2" w:rsidRPr="00D75FF1">
        <w:t xml:space="preserve"> </w:t>
      </w:r>
    </w:p>
    <w:p w14:paraId="50087768" w14:textId="77777777" w:rsidR="00BB253B" w:rsidRPr="00D75FF1" w:rsidRDefault="00BB253B" w:rsidP="007232B8">
      <w:pPr>
        <w:pStyle w:val="SingleTxtG"/>
        <w:numPr>
          <w:ilvl w:val="0"/>
          <w:numId w:val="28"/>
        </w:numPr>
        <w:tabs>
          <w:tab w:val="clear" w:pos="1701"/>
          <w:tab w:val="clear" w:pos="2268"/>
          <w:tab w:val="clear" w:pos="2835"/>
        </w:tabs>
        <w:ind w:left="1134" w:firstLine="0"/>
      </w:pPr>
      <w:r w:rsidRPr="00D75FF1">
        <w:rPr>
          <w:b/>
        </w:rPr>
        <w:t>The Committee</w:t>
      </w:r>
      <w:r w:rsidR="00CA10F9">
        <w:rPr>
          <w:b/>
        </w:rPr>
        <w:t xml:space="preserve"> recommends</w:t>
      </w:r>
      <w:r w:rsidRPr="00D75FF1">
        <w:rPr>
          <w:b/>
        </w:rPr>
        <w:t xml:space="preserve"> that the State party:</w:t>
      </w:r>
    </w:p>
    <w:p w14:paraId="6FD9AAD8" w14:textId="77777777" w:rsidR="00BB253B" w:rsidRPr="00D75FF1" w:rsidRDefault="00BB253B" w:rsidP="00EB4DCD">
      <w:pPr>
        <w:pStyle w:val="SingleTxtG"/>
        <w:numPr>
          <w:ilvl w:val="0"/>
          <w:numId w:val="26"/>
        </w:numPr>
        <w:tabs>
          <w:tab w:val="clear" w:pos="1701"/>
          <w:tab w:val="clear" w:pos="2268"/>
          <w:tab w:val="clear" w:pos="2835"/>
        </w:tabs>
        <w:ind w:left="1134" w:firstLine="567"/>
        <w:rPr>
          <w:b/>
        </w:rPr>
      </w:pPr>
      <w:r w:rsidRPr="00D75FF1">
        <w:rPr>
          <w:b/>
        </w:rPr>
        <w:t xml:space="preserve">Pursue its efforts to allocate sufficient resources to the health-care sector with a view to guaranteeing and improving the accessibility, availability and quality of health-care services; </w:t>
      </w:r>
    </w:p>
    <w:p w14:paraId="0C7C070D" w14:textId="77777777" w:rsidR="00504863" w:rsidRPr="00D75FF1" w:rsidRDefault="00BB253B" w:rsidP="00EB4DCD">
      <w:pPr>
        <w:pStyle w:val="SingleTxtG"/>
        <w:numPr>
          <w:ilvl w:val="0"/>
          <w:numId w:val="26"/>
        </w:numPr>
        <w:tabs>
          <w:tab w:val="clear" w:pos="1701"/>
          <w:tab w:val="clear" w:pos="2268"/>
          <w:tab w:val="clear" w:pos="2835"/>
        </w:tabs>
        <w:ind w:left="1134" w:firstLine="567"/>
      </w:pPr>
      <w:r w:rsidRPr="00D75FF1">
        <w:rPr>
          <w:b/>
        </w:rPr>
        <w:t>Continue to implement measures to reduce inequalities in access to the right to health by, for example, extending health insurance to the most disadvantaged and marginalized groups, mainly low-income persons</w:t>
      </w:r>
      <w:r w:rsidR="00504863" w:rsidRPr="00D75FF1">
        <w:rPr>
          <w:b/>
        </w:rPr>
        <w:t xml:space="preserve">; </w:t>
      </w:r>
    </w:p>
    <w:p w14:paraId="0D272477" w14:textId="77777777" w:rsidR="00504863" w:rsidRPr="00D75FF1" w:rsidRDefault="00504863" w:rsidP="00EB4DCD">
      <w:pPr>
        <w:pStyle w:val="SingleTxtG"/>
        <w:numPr>
          <w:ilvl w:val="0"/>
          <w:numId w:val="26"/>
        </w:numPr>
        <w:tabs>
          <w:tab w:val="clear" w:pos="1701"/>
          <w:tab w:val="clear" w:pos="2268"/>
          <w:tab w:val="clear" w:pos="2835"/>
        </w:tabs>
        <w:ind w:left="1134" w:firstLine="567"/>
      </w:pPr>
      <w:r w:rsidRPr="00D75FF1">
        <w:rPr>
          <w:b/>
        </w:rPr>
        <w:t>Ensure the accessibility and availability of appropriate, good quality sexual and reproductive health services and information,</w:t>
      </w:r>
      <w:r w:rsidR="00281674">
        <w:rPr>
          <w:b/>
        </w:rPr>
        <w:t xml:space="preserve"> </w:t>
      </w:r>
      <w:proofErr w:type="gramStart"/>
      <w:r w:rsidR="00281674">
        <w:rPr>
          <w:b/>
        </w:rPr>
        <w:t>contraception</w:t>
      </w:r>
      <w:r w:rsidRPr="00D75FF1">
        <w:rPr>
          <w:b/>
        </w:rPr>
        <w:t xml:space="preserve"> ,</w:t>
      </w:r>
      <w:proofErr w:type="gramEnd"/>
      <w:r w:rsidRPr="00D75FF1">
        <w:rPr>
          <w:b/>
        </w:rPr>
        <w:t xml:space="preserve"> for all women and adolescent girls in the State party, especially in rural or remote areas; </w:t>
      </w:r>
    </w:p>
    <w:p w14:paraId="31AE9930" w14:textId="77777777" w:rsidR="00504863" w:rsidRPr="00D75FF1" w:rsidRDefault="00504863" w:rsidP="00EB4DCD">
      <w:pPr>
        <w:pStyle w:val="SingleTxtG"/>
        <w:numPr>
          <w:ilvl w:val="0"/>
          <w:numId w:val="26"/>
        </w:numPr>
        <w:tabs>
          <w:tab w:val="clear" w:pos="1701"/>
          <w:tab w:val="clear" w:pos="2268"/>
          <w:tab w:val="clear" w:pos="2835"/>
        </w:tabs>
        <w:ind w:left="1134" w:firstLine="567"/>
      </w:pPr>
      <w:r w:rsidRPr="00D75FF1">
        <w:rPr>
          <w:b/>
        </w:rPr>
        <w:t>Adopt the legal framework on mental health and continue implement</w:t>
      </w:r>
      <w:r w:rsidR="0025751C">
        <w:rPr>
          <w:b/>
        </w:rPr>
        <w:t>ing</w:t>
      </w:r>
      <w:r w:rsidRPr="00D75FF1">
        <w:rPr>
          <w:b/>
        </w:rPr>
        <w:t xml:space="preserve"> the Mental Health Strategic Plan 2022-2030, with a view to improving the availability, accessibility, affordability and quality of mental health services throughout the State party.</w:t>
      </w:r>
    </w:p>
    <w:p w14:paraId="12378382" w14:textId="77777777" w:rsidR="00DC46C2" w:rsidRPr="00D75FF1" w:rsidRDefault="00504863" w:rsidP="00EB4DCD">
      <w:pPr>
        <w:pStyle w:val="SingleTxtG"/>
        <w:numPr>
          <w:ilvl w:val="0"/>
          <w:numId w:val="26"/>
        </w:numPr>
        <w:tabs>
          <w:tab w:val="clear" w:pos="1701"/>
          <w:tab w:val="clear" w:pos="2268"/>
          <w:tab w:val="clear" w:pos="2835"/>
        </w:tabs>
        <w:ind w:left="1134" w:firstLine="567"/>
      </w:pPr>
      <w:r w:rsidRPr="00D75FF1">
        <w:rPr>
          <w:b/>
        </w:rPr>
        <w:t xml:space="preserve">Take into account the Committee’s General Comments N° 14 (2000) on the right to the highest attainable standard of health and N° 22 (2016) on the right to sexual and reproductive health. </w:t>
      </w:r>
    </w:p>
    <w:p w14:paraId="76BCC71F" w14:textId="77777777" w:rsidR="00D04ED1" w:rsidRPr="00D75FF1" w:rsidRDefault="0065579B" w:rsidP="00B81137">
      <w:pPr>
        <w:pStyle w:val="H23G"/>
        <w:ind w:firstLine="0"/>
      </w:pPr>
      <w:r>
        <w:lastRenderedPageBreak/>
        <w:t>People who use drug</w:t>
      </w:r>
      <w:r w:rsidR="00E32A12">
        <w:t>s</w:t>
      </w:r>
      <w:r>
        <w:t xml:space="preserve"> </w:t>
      </w:r>
    </w:p>
    <w:p w14:paraId="432FF99B" w14:textId="77777777" w:rsidR="00D04ED1" w:rsidRPr="00D75FF1" w:rsidRDefault="00E84842" w:rsidP="007232B8">
      <w:pPr>
        <w:pStyle w:val="SingleTxtG"/>
        <w:numPr>
          <w:ilvl w:val="0"/>
          <w:numId w:val="28"/>
        </w:numPr>
        <w:tabs>
          <w:tab w:val="clear" w:pos="1701"/>
          <w:tab w:val="clear" w:pos="2268"/>
          <w:tab w:val="clear" w:pos="2835"/>
        </w:tabs>
        <w:ind w:left="1134" w:firstLine="0"/>
      </w:pPr>
      <w:r w:rsidRPr="00D75FF1">
        <w:t xml:space="preserve">The Committee is concerned about the campaign against </w:t>
      </w:r>
      <w:r w:rsidR="001511CD">
        <w:t>drugs</w:t>
      </w:r>
      <w:r w:rsidR="001511CD" w:rsidRPr="00D75FF1">
        <w:t xml:space="preserve"> </w:t>
      </w:r>
      <w:r w:rsidRPr="00D75FF1">
        <w:t>adopted by the State party</w:t>
      </w:r>
      <w:r w:rsidR="00BC2012">
        <w:t>, which</w:t>
      </w:r>
      <w:r w:rsidRPr="00D75FF1">
        <w:t xml:space="preserve"> prevent</w:t>
      </w:r>
      <w:r w:rsidR="00BC2012">
        <w:t>s</w:t>
      </w:r>
      <w:r w:rsidRPr="00D75FF1">
        <w:t xml:space="preserve"> </w:t>
      </w:r>
      <w:r w:rsidR="0065579B">
        <w:t xml:space="preserve">people who use </w:t>
      </w:r>
      <w:r w:rsidRPr="00D75FF1">
        <w:t>drug</w:t>
      </w:r>
      <w:r w:rsidR="0065579B">
        <w:t>s</w:t>
      </w:r>
      <w:r w:rsidRPr="00D75FF1">
        <w:t xml:space="preserve"> from having access to appropriate harm-reduction programmes and addiction treatment services that are evidence-based and respectful of the</w:t>
      </w:r>
      <w:r w:rsidR="0065579B">
        <w:t>ir</w:t>
      </w:r>
      <w:r w:rsidR="00E32A12">
        <w:t xml:space="preserve"> </w:t>
      </w:r>
      <w:r w:rsidRPr="00D75FF1">
        <w:t xml:space="preserve">rights. The Committee is concerned by reports of </w:t>
      </w:r>
      <w:r w:rsidR="00BC2012">
        <w:t>the</w:t>
      </w:r>
      <w:r w:rsidR="0098268E">
        <w:t xml:space="preserve"> high level of</w:t>
      </w:r>
      <w:r w:rsidR="002E27BE">
        <w:t xml:space="preserve"> </w:t>
      </w:r>
      <w:r w:rsidRPr="00D75FF1">
        <w:t xml:space="preserve">detention </w:t>
      </w:r>
      <w:r w:rsidR="000D52A0" w:rsidRPr="00D75FF1">
        <w:t xml:space="preserve">in prisons </w:t>
      </w:r>
      <w:r w:rsidR="00BC2012" w:rsidRPr="00D75FF1">
        <w:t xml:space="preserve">of </w:t>
      </w:r>
      <w:r w:rsidR="0065579B">
        <w:t>people who use drugs</w:t>
      </w:r>
      <w:r w:rsidRPr="00D75FF1">
        <w:t xml:space="preserve">, as well as in drug rehabilitation or social affairs centres </w:t>
      </w:r>
      <w:r w:rsidR="0098268E">
        <w:t xml:space="preserve">and the </w:t>
      </w:r>
      <w:r w:rsidR="00AD5A61">
        <w:t>ongoing criminalization of drug use</w:t>
      </w:r>
      <w:r w:rsidR="006E2A28">
        <w:t xml:space="preserve"> (art.12)</w:t>
      </w:r>
      <w:r w:rsidRPr="00D75FF1">
        <w:t xml:space="preserve">. </w:t>
      </w:r>
    </w:p>
    <w:p w14:paraId="22878734" w14:textId="77777777" w:rsidR="00D04ED1" w:rsidRPr="00D75FF1" w:rsidRDefault="00D04ED1" w:rsidP="007232B8">
      <w:pPr>
        <w:pStyle w:val="SingleTxtG"/>
        <w:numPr>
          <w:ilvl w:val="0"/>
          <w:numId w:val="28"/>
        </w:numPr>
        <w:tabs>
          <w:tab w:val="clear" w:pos="1701"/>
          <w:tab w:val="clear" w:pos="2268"/>
          <w:tab w:val="clear" w:pos="2835"/>
        </w:tabs>
        <w:ind w:left="1134" w:firstLine="0"/>
        <w:rPr>
          <w:b/>
          <w:bCs/>
        </w:rPr>
      </w:pPr>
      <w:r w:rsidRPr="00D75FF1">
        <w:rPr>
          <w:b/>
          <w:bCs/>
        </w:rPr>
        <w:t>The Committee recommends that the State party conduct a review of its legislative fra</w:t>
      </w:r>
      <w:r w:rsidR="00BC2012">
        <w:rPr>
          <w:b/>
          <w:bCs/>
        </w:rPr>
        <w:t>mework to ensure a human rights</w:t>
      </w:r>
      <w:r w:rsidRPr="00D75FF1">
        <w:rPr>
          <w:b/>
          <w:bCs/>
        </w:rPr>
        <w:t>-</w:t>
      </w:r>
      <w:r w:rsidR="00235466" w:rsidRPr="00D75FF1">
        <w:rPr>
          <w:b/>
          <w:bCs/>
        </w:rPr>
        <w:t xml:space="preserve">based approach to drug use </w:t>
      </w:r>
      <w:r w:rsidRPr="00D75FF1">
        <w:rPr>
          <w:b/>
          <w:bCs/>
        </w:rPr>
        <w:t>and decriminaliz</w:t>
      </w:r>
      <w:r w:rsidR="001511CD">
        <w:rPr>
          <w:b/>
          <w:bCs/>
        </w:rPr>
        <w:t>e</w:t>
      </w:r>
      <w:r w:rsidRPr="00D75FF1">
        <w:rPr>
          <w:b/>
          <w:bCs/>
        </w:rPr>
        <w:t xml:space="preserve"> drug possession for personal consumption. It also recommends that the State party develop policies to prevent drug abuse, strengthen harm reduction programmes, and provide appropriate health care, psychological support services and rehabilitati</w:t>
      </w:r>
      <w:r w:rsidR="00235466" w:rsidRPr="00D75FF1">
        <w:rPr>
          <w:b/>
          <w:bCs/>
        </w:rPr>
        <w:t xml:space="preserve">on to </w:t>
      </w:r>
      <w:r w:rsidR="0065579B">
        <w:rPr>
          <w:b/>
          <w:bCs/>
        </w:rPr>
        <w:t>people who use drugs</w:t>
      </w:r>
      <w:r w:rsidR="00235466" w:rsidRPr="00D75FF1">
        <w:rPr>
          <w:b/>
          <w:bCs/>
        </w:rPr>
        <w:t>, including by providing</w:t>
      </w:r>
      <w:r w:rsidRPr="00D75FF1">
        <w:rPr>
          <w:b/>
          <w:bCs/>
        </w:rPr>
        <w:t xml:space="preserve"> opioid substitution therapy. </w:t>
      </w:r>
      <w:r w:rsidR="00CA10F9">
        <w:rPr>
          <w:b/>
          <w:bCs/>
        </w:rPr>
        <w:t xml:space="preserve">The State party should also </w:t>
      </w:r>
      <w:r w:rsidR="00693C28">
        <w:rPr>
          <w:b/>
          <w:bCs/>
        </w:rPr>
        <w:t xml:space="preserve">offer alternative treatment </w:t>
      </w:r>
      <w:r w:rsidR="00CA10F9">
        <w:rPr>
          <w:b/>
          <w:bCs/>
        </w:rPr>
        <w:t xml:space="preserve">to </w:t>
      </w:r>
      <w:r w:rsidR="0065579B">
        <w:rPr>
          <w:b/>
          <w:bCs/>
        </w:rPr>
        <w:t>people who are drug dependent</w:t>
      </w:r>
      <w:r w:rsidR="00811161">
        <w:rPr>
          <w:b/>
          <w:bCs/>
        </w:rPr>
        <w:t xml:space="preserve"> and are</w:t>
      </w:r>
      <w:r w:rsidR="0065579B">
        <w:rPr>
          <w:b/>
          <w:bCs/>
        </w:rPr>
        <w:t xml:space="preserve"> </w:t>
      </w:r>
      <w:r w:rsidR="00693C28">
        <w:rPr>
          <w:b/>
          <w:bCs/>
        </w:rPr>
        <w:t xml:space="preserve">kept in rehabilitation centres or prisons. </w:t>
      </w:r>
      <w:r w:rsidRPr="00D75FF1">
        <w:rPr>
          <w:b/>
          <w:bCs/>
        </w:rPr>
        <w:t>The State party should also take the necessary measures to combat social stigma ag</w:t>
      </w:r>
      <w:r w:rsidR="00235466" w:rsidRPr="00D75FF1">
        <w:rPr>
          <w:b/>
          <w:bCs/>
        </w:rPr>
        <w:t xml:space="preserve">ainst </w:t>
      </w:r>
      <w:r w:rsidR="00F7511A">
        <w:rPr>
          <w:b/>
          <w:bCs/>
        </w:rPr>
        <w:t>people who use drugs</w:t>
      </w:r>
      <w:r w:rsidR="00235466" w:rsidRPr="00D75FF1">
        <w:rPr>
          <w:b/>
          <w:bCs/>
        </w:rPr>
        <w:t>, by training la</w:t>
      </w:r>
      <w:r w:rsidRPr="00D75FF1">
        <w:rPr>
          <w:b/>
          <w:bCs/>
        </w:rPr>
        <w:t xml:space="preserve">w enforcement officers and medical professionals and by raising public awareness, especially about </w:t>
      </w:r>
      <w:r w:rsidR="00F7511A">
        <w:rPr>
          <w:b/>
          <w:bCs/>
        </w:rPr>
        <w:t>the</w:t>
      </w:r>
      <w:r w:rsidRPr="00D75FF1">
        <w:rPr>
          <w:b/>
          <w:bCs/>
        </w:rPr>
        <w:t xml:space="preserve"> right to health</w:t>
      </w:r>
      <w:r w:rsidR="00F7511A">
        <w:rPr>
          <w:b/>
          <w:bCs/>
        </w:rPr>
        <w:t xml:space="preserve"> of people who use drugs</w:t>
      </w:r>
      <w:r w:rsidRPr="00D75FF1">
        <w:rPr>
          <w:b/>
          <w:bCs/>
        </w:rPr>
        <w:t>.</w:t>
      </w:r>
    </w:p>
    <w:p w14:paraId="445A8BD7" w14:textId="77777777" w:rsidR="00A51395" w:rsidRPr="00D75FF1" w:rsidRDefault="00A51395" w:rsidP="00B81137">
      <w:pPr>
        <w:pStyle w:val="H23G"/>
        <w:ind w:firstLine="0"/>
      </w:pPr>
      <w:r w:rsidRPr="00D75FF1">
        <w:t>Right to education</w:t>
      </w:r>
    </w:p>
    <w:p w14:paraId="60B3888D" w14:textId="77777777" w:rsidR="00A51395" w:rsidRPr="00D75FF1" w:rsidRDefault="00A51395" w:rsidP="007232B8">
      <w:pPr>
        <w:pStyle w:val="SingleTxtG"/>
        <w:numPr>
          <w:ilvl w:val="0"/>
          <w:numId w:val="28"/>
        </w:numPr>
        <w:tabs>
          <w:tab w:val="clear" w:pos="1701"/>
          <w:tab w:val="clear" w:pos="2268"/>
          <w:tab w:val="clear" w:pos="2835"/>
        </w:tabs>
        <w:ind w:left="1134" w:firstLine="0"/>
      </w:pPr>
      <w:r w:rsidRPr="00D75FF1">
        <w:t xml:space="preserve">While the Committee notes that </w:t>
      </w:r>
      <w:r w:rsidR="006C0395">
        <w:t xml:space="preserve">the </w:t>
      </w:r>
      <w:r w:rsidRPr="00D75FF1">
        <w:t xml:space="preserve">access to </w:t>
      </w:r>
      <w:r w:rsidR="006C0395">
        <w:t xml:space="preserve">preschool and primary </w:t>
      </w:r>
      <w:r w:rsidRPr="00D75FF1">
        <w:t>education has been i</w:t>
      </w:r>
      <w:r w:rsidR="006C0395">
        <w:t>mproved</w:t>
      </w:r>
      <w:r w:rsidRPr="00D75FF1">
        <w:t xml:space="preserve"> in the State party, </w:t>
      </w:r>
      <w:r w:rsidR="006C0395">
        <w:t>it is nevertheless</w:t>
      </w:r>
      <w:r w:rsidRPr="00D75FF1">
        <w:t xml:space="preserve"> concerned about: </w:t>
      </w:r>
    </w:p>
    <w:p w14:paraId="628A7412" w14:textId="77777777" w:rsidR="00A51395" w:rsidRPr="00D75FF1" w:rsidRDefault="00EB4DCD" w:rsidP="00B81137">
      <w:pPr>
        <w:pStyle w:val="SingleTxtG"/>
        <w:ind w:firstLine="567"/>
      </w:pPr>
      <w:r>
        <w:t>(</w:t>
      </w:r>
      <w:proofErr w:type="spellStart"/>
      <w:r w:rsidR="00A51395" w:rsidRPr="00D75FF1">
        <w:t>a</w:t>
      </w:r>
      <w:proofErr w:type="spellEnd"/>
      <w:r w:rsidR="00A51395" w:rsidRPr="00D75FF1">
        <w:t xml:space="preserve">) </w:t>
      </w:r>
      <w:r w:rsidR="00B81137">
        <w:tab/>
      </w:r>
      <w:r w:rsidR="00A51395" w:rsidRPr="00D75FF1">
        <w:t xml:space="preserve">The high </w:t>
      </w:r>
      <w:r w:rsidR="008528DB">
        <w:t xml:space="preserve">level of school </w:t>
      </w:r>
      <w:r w:rsidR="00A51395" w:rsidRPr="00D75FF1">
        <w:t xml:space="preserve">dropout rates, </w:t>
      </w:r>
      <w:r w:rsidR="006C0395">
        <w:t>especially in</w:t>
      </w:r>
      <w:r w:rsidR="00A51395" w:rsidRPr="00D75FF1">
        <w:t xml:space="preserve"> secondary education</w:t>
      </w:r>
      <w:r w:rsidR="008528DB">
        <w:t xml:space="preserve"> and among students belonging to marginalized, disadvantaged groups and indigenous children</w:t>
      </w:r>
      <w:r w:rsidR="00A51395" w:rsidRPr="00D75FF1">
        <w:t xml:space="preserve">; </w:t>
      </w:r>
    </w:p>
    <w:p w14:paraId="7493B120" w14:textId="77777777" w:rsidR="00A51395" w:rsidRPr="00D75FF1" w:rsidRDefault="00EB4DCD" w:rsidP="00B81137">
      <w:pPr>
        <w:pStyle w:val="SingleTxtG"/>
        <w:ind w:firstLine="567"/>
      </w:pPr>
      <w:r>
        <w:t>(</w:t>
      </w:r>
      <w:r w:rsidR="00A51395" w:rsidRPr="00D75FF1">
        <w:t xml:space="preserve">b) </w:t>
      </w:r>
      <w:r w:rsidR="00B81137">
        <w:tab/>
      </w:r>
      <w:r w:rsidR="00A51395" w:rsidRPr="00D75FF1">
        <w:t xml:space="preserve">The shortcomings in the quality of school infrastructure, including the lack of sanitation facilities affecting in particular girls’ access to education; </w:t>
      </w:r>
    </w:p>
    <w:p w14:paraId="60FF099D" w14:textId="77777777" w:rsidR="00A51395" w:rsidRPr="00D75FF1" w:rsidRDefault="00EB4DCD" w:rsidP="00B81137">
      <w:pPr>
        <w:pStyle w:val="SingleTxtG"/>
        <w:ind w:firstLine="567"/>
      </w:pPr>
      <w:r>
        <w:t>(</w:t>
      </w:r>
      <w:r w:rsidR="00A51395" w:rsidRPr="00D75FF1">
        <w:t xml:space="preserve">c) </w:t>
      </w:r>
      <w:r w:rsidR="00B81137">
        <w:tab/>
      </w:r>
      <w:r w:rsidR="00A51395" w:rsidRPr="00D75FF1">
        <w:t>The lack of adequate number of trained teachers, and their inadequate working conditions</w:t>
      </w:r>
      <w:r w:rsidR="00BC2012">
        <w:t xml:space="preserve">; </w:t>
      </w:r>
    </w:p>
    <w:p w14:paraId="3320C8F1" w14:textId="77777777" w:rsidR="00A51395" w:rsidRPr="00D75FF1" w:rsidRDefault="00EB4DCD" w:rsidP="00B81137">
      <w:pPr>
        <w:pStyle w:val="SingleTxtG"/>
        <w:ind w:firstLine="567"/>
      </w:pPr>
      <w:r>
        <w:t>(</w:t>
      </w:r>
      <w:r w:rsidR="00A51395" w:rsidRPr="00D75FF1">
        <w:t>d)</w:t>
      </w:r>
      <w:r w:rsidR="00B81137">
        <w:tab/>
      </w:r>
      <w:r w:rsidR="00A51395" w:rsidRPr="00D75FF1">
        <w:t xml:space="preserve">The </w:t>
      </w:r>
      <w:r w:rsidR="00937224" w:rsidRPr="00D75FF1">
        <w:t xml:space="preserve">lack of information on the inclusive education available for children with disabilities; </w:t>
      </w:r>
    </w:p>
    <w:p w14:paraId="0BC99787" w14:textId="77777777" w:rsidR="00A51395" w:rsidRPr="00D75FF1" w:rsidRDefault="00EB4DCD" w:rsidP="00B81137">
      <w:pPr>
        <w:pStyle w:val="SingleTxtG"/>
        <w:ind w:firstLine="567"/>
      </w:pPr>
      <w:r>
        <w:t>(</w:t>
      </w:r>
      <w:r w:rsidR="00937224" w:rsidRPr="00D75FF1">
        <w:t>e)</w:t>
      </w:r>
      <w:r w:rsidR="00B81137">
        <w:tab/>
      </w:r>
      <w:r w:rsidR="00937224" w:rsidRPr="00D75FF1">
        <w:t xml:space="preserve">The lack of information on the access to education by </w:t>
      </w:r>
      <w:r w:rsidR="006C0395">
        <w:t xml:space="preserve">migrant, </w:t>
      </w:r>
      <w:r w:rsidR="00937224" w:rsidRPr="00D75FF1">
        <w:t xml:space="preserve">asylum-seeker and refugee children </w:t>
      </w:r>
      <w:r w:rsidR="00A51395" w:rsidRPr="00D75FF1">
        <w:t>(art. 13).</w:t>
      </w:r>
    </w:p>
    <w:p w14:paraId="4FC6BE94" w14:textId="77777777" w:rsidR="00A51395" w:rsidRPr="00D75FF1" w:rsidRDefault="00A51395" w:rsidP="007232B8">
      <w:pPr>
        <w:pStyle w:val="SingleTxtG"/>
        <w:numPr>
          <w:ilvl w:val="0"/>
          <w:numId w:val="28"/>
        </w:numPr>
        <w:tabs>
          <w:tab w:val="clear" w:pos="1701"/>
          <w:tab w:val="clear" w:pos="2268"/>
          <w:tab w:val="clear" w:pos="2835"/>
        </w:tabs>
        <w:ind w:left="1134" w:firstLine="0"/>
      </w:pPr>
      <w:r w:rsidRPr="00D75FF1">
        <w:rPr>
          <w:b/>
          <w:bCs/>
        </w:rPr>
        <w:t>The Committee recommends that the State party:</w:t>
      </w:r>
    </w:p>
    <w:p w14:paraId="168A17DF" w14:textId="77777777" w:rsidR="00A51395" w:rsidRPr="00B81137" w:rsidRDefault="00A51395" w:rsidP="00B81137">
      <w:pPr>
        <w:pStyle w:val="SingleTxtG"/>
        <w:rPr>
          <w:b/>
          <w:bCs/>
        </w:rPr>
      </w:pPr>
      <w:r w:rsidRPr="00B81137">
        <w:rPr>
          <w:b/>
          <w:bCs/>
        </w:rPr>
        <w:tab/>
        <w:t>(</w:t>
      </w:r>
      <w:proofErr w:type="spellStart"/>
      <w:r w:rsidRPr="00B81137">
        <w:rPr>
          <w:b/>
          <w:bCs/>
        </w:rPr>
        <w:t>a</w:t>
      </w:r>
      <w:proofErr w:type="spellEnd"/>
      <w:r w:rsidRPr="00B81137">
        <w:rPr>
          <w:b/>
          <w:bCs/>
        </w:rPr>
        <w:t>)</w:t>
      </w:r>
      <w:r w:rsidRPr="00B81137">
        <w:rPr>
          <w:b/>
          <w:bCs/>
        </w:rPr>
        <w:tab/>
        <w:t xml:space="preserve">Adopt the appropriate measures to reduce the school dropout and repetition rates at all levels of education, especially at </w:t>
      </w:r>
      <w:r w:rsidR="008528DB" w:rsidRPr="00B81137">
        <w:rPr>
          <w:b/>
          <w:bCs/>
        </w:rPr>
        <w:t>secondary</w:t>
      </w:r>
      <w:r w:rsidRPr="00B81137">
        <w:rPr>
          <w:b/>
          <w:bCs/>
        </w:rPr>
        <w:t xml:space="preserve"> level and among students belonging to marginalized</w:t>
      </w:r>
      <w:r w:rsidR="000B06BE" w:rsidRPr="00B81137">
        <w:rPr>
          <w:b/>
          <w:bCs/>
        </w:rPr>
        <w:t xml:space="preserve">, </w:t>
      </w:r>
      <w:r w:rsidRPr="00B81137">
        <w:rPr>
          <w:b/>
          <w:bCs/>
        </w:rPr>
        <w:t>disadvantaged groups</w:t>
      </w:r>
      <w:r w:rsidR="000B06BE" w:rsidRPr="00B81137">
        <w:rPr>
          <w:b/>
          <w:bCs/>
        </w:rPr>
        <w:t xml:space="preserve"> and indigenous children</w:t>
      </w:r>
      <w:r w:rsidRPr="00B81137">
        <w:rPr>
          <w:b/>
          <w:bCs/>
        </w:rPr>
        <w:t xml:space="preserve">; </w:t>
      </w:r>
    </w:p>
    <w:p w14:paraId="4AC29343" w14:textId="77777777" w:rsidR="008528DB" w:rsidRPr="00B81137" w:rsidRDefault="00A51395" w:rsidP="00B81137">
      <w:pPr>
        <w:pStyle w:val="SingleTxtG"/>
        <w:rPr>
          <w:b/>
          <w:bCs/>
        </w:rPr>
      </w:pPr>
      <w:r w:rsidRPr="00B81137">
        <w:rPr>
          <w:b/>
          <w:bCs/>
        </w:rPr>
        <w:tab/>
        <w:t xml:space="preserve">(b) </w:t>
      </w:r>
      <w:r w:rsidRPr="00B81137">
        <w:rPr>
          <w:b/>
          <w:bCs/>
        </w:rPr>
        <w:tab/>
      </w:r>
      <w:r w:rsidR="008528DB" w:rsidRPr="00B81137">
        <w:rPr>
          <w:b/>
          <w:bCs/>
        </w:rPr>
        <w:t>Evaluate, adopt and implement adequate measures in order to improve the school infrastructure, especially the sanitation facilities;</w:t>
      </w:r>
    </w:p>
    <w:p w14:paraId="25985599" w14:textId="77777777" w:rsidR="00A51395" w:rsidRPr="00B81137" w:rsidRDefault="008528DB" w:rsidP="00B81137">
      <w:pPr>
        <w:pStyle w:val="SingleTxtG"/>
        <w:rPr>
          <w:b/>
          <w:bCs/>
        </w:rPr>
      </w:pPr>
      <w:r w:rsidRPr="00B81137">
        <w:rPr>
          <w:b/>
          <w:bCs/>
        </w:rPr>
        <w:tab/>
        <w:t>c)</w:t>
      </w:r>
      <w:r w:rsidR="00B81137" w:rsidRPr="00B81137">
        <w:rPr>
          <w:b/>
          <w:bCs/>
        </w:rPr>
        <w:tab/>
      </w:r>
      <w:r w:rsidR="00A51395" w:rsidRPr="00B81137">
        <w:rPr>
          <w:b/>
          <w:bCs/>
        </w:rPr>
        <w:t xml:space="preserve">Adopt all necessary measures to improve the quality of education by increasing the number of qualified teachers and their participation in continuous training programmes and by </w:t>
      </w:r>
      <w:r w:rsidRPr="00B81137">
        <w:rPr>
          <w:b/>
          <w:bCs/>
        </w:rPr>
        <w:t>developing and making ava</w:t>
      </w:r>
      <w:r w:rsidR="00CA10F9" w:rsidRPr="00B81137">
        <w:rPr>
          <w:b/>
          <w:bCs/>
        </w:rPr>
        <w:t>i</w:t>
      </w:r>
      <w:r w:rsidRPr="00B81137">
        <w:rPr>
          <w:b/>
          <w:bCs/>
        </w:rPr>
        <w:t>lable</w:t>
      </w:r>
      <w:r w:rsidR="00A51395" w:rsidRPr="00B81137">
        <w:rPr>
          <w:b/>
          <w:bCs/>
        </w:rPr>
        <w:t xml:space="preserve"> educational materials, particularly in rural areas</w:t>
      </w:r>
      <w:bookmarkStart w:id="10" w:name="_Hlk87023808"/>
      <w:bookmarkEnd w:id="10"/>
      <w:r w:rsidR="00937224" w:rsidRPr="00B81137">
        <w:rPr>
          <w:b/>
          <w:bCs/>
        </w:rPr>
        <w:t xml:space="preserve">; </w:t>
      </w:r>
    </w:p>
    <w:p w14:paraId="60188368" w14:textId="77777777" w:rsidR="00937224" w:rsidRPr="00B81137" w:rsidRDefault="00937224" w:rsidP="00B81137">
      <w:pPr>
        <w:pStyle w:val="SingleTxtG"/>
        <w:rPr>
          <w:b/>
          <w:bCs/>
        </w:rPr>
      </w:pPr>
      <w:r w:rsidRPr="00B81137">
        <w:rPr>
          <w:b/>
          <w:bCs/>
        </w:rPr>
        <w:tab/>
        <w:t>(</w:t>
      </w:r>
      <w:r w:rsidR="00B81137" w:rsidRPr="00B81137">
        <w:rPr>
          <w:b/>
          <w:bCs/>
        </w:rPr>
        <w:t>d</w:t>
      </w:r>
      <w:r w:rsidRPr="00B81137">
        <w:rPr>
          <w:b/>
          <w:bCs/>
        </w:rPr>
        <w:t>)</w:t>
      </w:r>
      <w:r w:rsidR="00B81137" w:rsidRPr="00B81137">
        <w:rPr>
          <w:b/>
          <w:bCs/>
        </w:rPr>
        <w:tab/>
      </w:r>
      <w:r w:rsidRPr="00B81137">
        <w:rPr>
          <w:b/>
          <w:bCs/>
        </w:rPr>
        <w:t xml:space="preserve">Develop and implement a comprehensive policy to ensure inclusive education </w:t>
      </w:r>
      <w:r w:rsidR="006C0395" w:rsidRPr="00B81137">
        <w:rPr>
          <w:b/>
          <w:bCs/>
        </w:rPr>
        <w:t xml:space="preserve">for </w:t>
      </w:r>
      <w:r w:rsidRPr="00B81137">
        <w:rPr>
          <w:b/>
          <w:bCs/>
        </w:rPr>
        <w:t xml:space="preserve">children with disabilities; </w:t>
      </w:r>
    </w:p>
    <w:p w14:paraId="277608CC" w14:textId="77777777" w:rsidR="00937224" w:rsidRPr="00B81137" w:rsidRDefault="00937224" w:rsidP="00B81137">
      <w:pPr>
        <w:pStyle w:val="SingleTxtG"/>
        <w:rPr>
          <w:b/>
          <w:bCs/>
        </w:rPr>
      </w:pPr>
      <w:r w:rsidRPr="00B81137">
        <w:rPr>
          <w:b/>
          <w:bCs/>
        </w:rPr>
        <w:tab/>
        <w:t>(</w:t>
      </w:r>
      <w:r w:rsidR="00B81137" w:rsidRPr="00B81137">
        <w:rPr>
          <w:b/>
          <w:bCs/>
        </w:rPr>
        <w:t>e</w:t>
      </w:r>
      <w:r w:rsidRPr="00B81137">
        <w:rPr>
          <w:b/>
          <w:bCs/>
        </w:rPr>
        <w:t xml:space="preserve">) </w:t>
      </w:r>
      <w:r w:rsidRPr="00B81137">
        <w:rPr>
          <w:b/>
          <w:bCs/>
        </w:rPr>
        <w:tab/>
        <w:t xml:space="preserve">Guarantee that migrant, asylum seekers and refugee children have effective access to education. </w:t>
      </w:r>
    </w:p>
    <w:p w14:paraId="763C2FAE" w14:textId="77777777" w:rsidR="00926A0A" w:rsidRPr="00D75FF1" w:rsidRDefault="00926A0A" w:rsidP="00B81137">
      <w:pPr>
        <w:pStyle w:val="H23G"/>
        <w:ind w:firstLine="0"/>
      </w:pPr>
      <w:r w:rsidRPr="00D75FF1">
        <w:t>Impact of the COVID-19 pandemic on the right to education</w:t>
      </w:r>
    </w:p>
    <w:p w14:paraId="7DFE218A" w14:textId="77777777" w:rsidR="00926A0A" w:rsidRPr="00D75FF1" w:rsidRDefault="00926A0A" w:rsidP="007232B8">
      <w:pPr>
        <w:pStyle w:val="SingleTxtG"/>
        <w:numPr>
          <w:ilvl w:val="0"/>
          <w:numId w:val="28"/>
        </w:numPr>
        <w:tabs>
          <w:tab w:val="clear" w:pos="1701"/>
          <w:tab w:val="clear" w:pos="2268"/>
          <w:tab w:val="clear" w:pos="2835"/>
        </w:tabs>
        <w:ind w:left="1134" w:firstLine="0"/>
        <w:rPr>
          <w:rFonts w:ascii="Times New Roman,Bold" w:eastAsia="Times New Roman" w:hAnsi="Times New Roman,Bold"/>
          <w:lang w:val="en-US"/>
        </w:rPr>
      </w:pPr>
      <w:r w:rsidRPr="00D75FF1">
        <w:t>The Committee notes with concern the negative</w:t>
      </w:r>
      <w:r w:rsidR="000B06BE">
        <w:t xml:space="preserve"> and disproportionate</w:t>
      </w:r>
      <w:r w:rsidRPr="00D75FF1">
        <w:t xml:space="preserve"> impact of the </w:t>
      </w:r>
      <w:r w:rsidR="002E27BE">
        <w:t>preventive</w:t>
      </w:r>
      <w:r w:rsidRPr="00D75FF1">
        <w:t xml:space="preserve"> measures adopted in the context of the COVID-19 pandemic on the right to education given that most students did not, and still do not, have access to the Internet or technological and digital resources to pursue their studies online.</w:t>
      </w:r>
      <w:r w:rsidR="001F01B5">
        <w:t xml:space="preserve"> </w:t>
      </w:r>
      <w:r w:rsidR="000B06BE">
        <w:t xml:space="preserve">Moreover, the Committee </w:t>
      </w:r>
      <w:r w:rsidR="000B06BE">
        <w:lastRenderedPageBreak/>
        <w:t>notes</w:t>
      </w:r>
      <w:r w:rsidR="00B73779">
        <w:t xml:space="preserve"> with concern </w:t>
      </w:r>
      <w:r w:rsidR="000B06BE">
        <w:t xml:space="preserve">that the </w:t>
      </w:r>
      <w:r w:rsidR="001F01B5">
        <w:t>COVID 19 measures have contributed to increase the overall situation of</w:t>
      </w:r>
      <w:r w:rsidR="000B06BE" w:rsidRPr="000B06BE">
        <w:rPr>
          <w:rFonts w:ascii="Arial" w:hAnsi="Arial" w:cs="Arial"/>
          <w:color w:val="202124"/>
          <w:shd w:val="clear" w:color="auto" w:fill="FFFFFF"/>
        </w:rPr>
        <w:t xml:space="preserve"> </w:t>
      </w:r>
      <w:r w:rsidR="000B06BE" w:rsidRPr="00C44AC7">
        <w:rPr>
          <w:color w:val="202124"/>
          <w:shd w:val="clear" w:color="auto" w:fill="FFFFFF"/>
        </w:rPr>
        <w:t>indebtedness</w:t>
      </w:r>
      <w:r w:rsidR="000B06BE">
        <w:rPr>
          <w:rStyle w:val="apple-converted-space"/>
          <w:rFonts w:ascii="Arial" w:hAnsi="Arial" w:cs="Arial"/>
          <w:color w:val="202124"/>
          <w:shd w:val="clear" w:color="auto" w:fill="FFFFFF"/>
        </w:rPr>
        <w:t> </w:t>
      </w:r>
      <w:r w:rsidR="00B73779">
        <w:t xml:space="preserve">affecting the access to education of children from poor households </w:t>
      </w:r>
      <w:r w:rsidR="00B73779" w:rsidRPr="00D75FF1">
        <w:t>(arts. 13 and 14)</w:t>
      </w:r>
      <w:r w:rsidR="001F01B5">
        <w:t>.</w:t>
      </w:r>
    </w:p>
    <w:p w14:paraId="1959AABD" w14:textId="77777777" w:rsidR="00926A0A" w:rsidRPr="00D75FF1" w:rsidRDefault="00926A0A" w:rsidP="007232B8">
      <w:pPr>
        <w:pStyle w:val="SingleTxtG"/>
        <w:numPr>
          <w:ilvl w:val="0"/>
          <w:numId w:val="28"/>
        </w:numPr>
        <w:tabs>
          <w:tab w:val="clear" w:pos="1701"/>
          <w:tab w:val="clear" w:pos="2268"/>
          <w:tab w:val="clear" w:pos="2835"/>
        </w:tabs>
        <w:ind w:left="1134" w:firstLine="0"/>
        <w:rPr>
          <w:rFonts w:eastAsia="SimSun"/>
          <w:b/>
          <w:shd w:val="clear" w:color="auto" w:fill="FFFFFF"/>
          <w:lang w:val="en-US"/>
        </w:rPr>
      </w:pPr>
      <w:r w:rsidRPr="00D75FF1">
        <w:rPr>
          <w:b/>
        </w:rPr>
        <w:t>The Committee recommends that the State party take all the measures necessary to improve access to the Internet and technological and digital resources for students, especially those from low-income families</w:t>
      </w:r>
      <w:r w:rsidR="000B06BE">
        <w:rPr>
          <w:b/>
        </w:rPr>
        <w:t xml:space="preserve">, </w:t>
      </w:r>
      <w:r w:rsidRPr="00D75FF1">
        <w:rPr>
          <w:b/>
        </w:rPr>
        <w:t>those living in rural or remote areas</w:t>
      </w:r>
      <w:r w:rsidR="000B06BE">
        <w:rPr>
          <w:b/>
        </w:rPr>
        <w:t xml:space="preserve"> and indigenous children</w:t>
      </w:r>
      <w:r w:rsidRPr="00D75FF1">
        <w:rPr>
          <w:b/>
        </w:rPr>
        <w:t>, to ensure that education is accessible, available and affordable without discrimination.</w:t>
      </w:r>
      <w:r w:rsidR="00B73779">
        <w:rPr>
          <w:b/>
        </w:rPr>
        <w:t xml:space="preserve"> The Committee recommends that the State party adopt appropriate measures to ensure that children from families living in poverty affected by indebtedness have adequate and effective access to education. </w:t>
      </w:r>
    </w:p>
    <w:p w14:paraId="1FF7D507" w14:textId="77777777" w:rsidR="00DC46C2" w:rsidRPr="00D75FF1" w:rsidRDefault="00DC46C2" w:rsidP="00B81137">
      <w:pPr>
        <w:pStyle w:val="H23G"/>
        <w:ind w:firstLine="0"/>
      </w:pPr>
      <w:r w:rsidRPr="00D75FF1">
        <w:t xml:space="preserve">Cultural rights </w:t>
      </w:r>
    </w:p>
    <w:p w14:paraId="01B42226" w14:textId="77777777" w:rsidR="00302B6B" w:rsidRPr="00D75FF1" w:rsidRDefault="00302B6B" w:rsidP="007232B8">
      <w:pPr>
        <w:pStyle w:val="SingleTxtG"/>
        <w:numPr>
          <w:ilvl w:val="0"/>
          <w:numId w:val="28"/>
        </w:numPr>
        <w:tabs>
          <w:tab w:val="clear" w:pos="1701"/>
          <w:tab w:val="clear" w:pos="2268"/>
          <w:tab w:val="clear" w:pos="2835"/>
        </w:tabs>
        <w:ind w:left="1134" w:firstLine="0"/>
      </w:pPr>
      <w:r w:rsidRPr="00D75FF1">
        <w:t>The Committee regrets not having received information on the concrete measures adopted to ensure respect for the cultural diversity and participation</w:t>
      </w:r>
      <w:r w:rsidR="00BC2012">
        <w:t xml:space="preserve"> in cultural life</w:t>
      </w:r>
      <w:r w:rsidRPr="00D75FF1">
        <w:t xml:space="preserve"> of indigenous peoples, and </w:t>
      </w:r>
      <w:r w:rsidR="00BC2012">
        <w:t xml:space="preserve">on the </w:t>
      </w:r>
      <w:r w:rsidRPr="00D75FF1">
        <w:t>measures to promote their traditions</w:t>
      </w:r>
      <w:r w:rsidR="00C44AC7">
        <w:t>, languages</w:t>
      </w:r>
      <w:r w:rsidRPr="00D75FF1">
        <w:t xml:space="preserve"> and culture. The Committee is concerned </w:t>
      </w:r>
      <w:r w:rsidR="00BF2453">
        <w:t>a</w:t>
      </w:r>
      <w:r w:rsidR="00421D2C">
        <w:t>t</w:t>
      </w:r>
      <w:r w:rsidR="00BF2453" w:rsidRPr="00D75FF1">
        <w:t xml:space="preserve"> </w:t>
      </w:r>
      <w:r w:rsidRPr="00D75FF1">
        <w:t xml:space="preserve">the negative impact that the failure to protect and demarcate the ancestral lands and territories of indigenous peoples has on </w:t>
      </w:r>
      <w:r w:rsidR="00BF2453">
        <w:t>the</w:t>
      </w:r>
      <w:r w:rsidR="00BF2453" w:rsidRPr="00D75FF1">
        <w:t xml:space="preserve"> </w:t>
      </w:r>
      <w:r w:rsidRPr="00D75FF1">
        <w:t xml:space="preserve">exercise of their cultural rights (art. 15). </w:t>
      </w:r>
    </w:p>
    <w:p w14:paraId="768EAC8C" w14:textId="77777777" w:rsidR="00DC46C2" w:rsidRPr="00D75FF1" w:rsidRDefault="00302B6B" w:rsidP="007232B8">
      <w:pPr>
        <w:pStyle w:val="SingleTxtG"/>
        <w:numPr>
          <w:ilvl w:val="0"/>
          <w:numId w:val="28"/>
        </w:numPr>
        <w:tabs>
          <w:tab w:val="clear" w:pos="1701"/>
          <w:tab w:val="clear" w:pos="2268"/>
          <w:tab w:val="clear" w:pos="2835"/>
        </w:tabs>
        <w:ind w:left="1134" w:firstLine="0"/>
        <w:rPr>
          <w:b/>
        </w:rPr>
      </w:pPr>
      <w:r w:rsidRPr="000347A5">
        <w:rPr>
          <w:b/>
        </w:rPr>
        <w:t>The Committee recommends that the State party take the necessary steps to strengthen the protection of cultural rights and respect for cultural diversity</w:t>
      </w:r>
      <w:r w:rsidR="002E27BE" w:rsidRPr="00706776">
        <w:rPr>
          <w:b/>
        </w:rPr>
        <w:t>. The Committee also recommends</w:t>
      </w:r>
      <w:r w:rsidR="000347A5" w:rsidRPr="000347A5">
        <w:rPr>
          <w:b/>
        </w:rPr>
        <w:t xml:space="preserve"> the State party to</w:t>
      </w:r>
      <w:r w:rsidR="002E27BE" w:rsidRPr="000347A5">
        <w:rPr>
          <w:b/>
        </w:rPr>
        <w:t xml:space="preserve"> </w:t>
      </w:r>
      <w:r w:rsidR="000347A5" w:rsidRPr="000347A5">
        <w:rPr>
          <w:b/>
        </w:rPr>
        <w:t>promote</w:t>
      </w:r>
      <w:r w:rsidRPr="000347A5">
        <w:rPr>
          <w:b/>
        </w:rPr>
        <w:t xml:space="preserve"> an enabling environment for indigenous peoples to preserve, develop, express and share their identity, history, culture,</w:t>
      </w:r>
      <w:r w:rsidR="00C44AC7">
        <w:rPr>
          <w:b/>
        </w:rPr>
        <w:t xml:space="preserve"> languages,</w:t>
      </w:r>
      <w:r w:rsidRPr="000347A5">
        <w:rPr>
          <w:b/>
        </w:rPr>
        <w:t xml:space="preserve"> traditions</w:t>
      </w:r>
      <w:r w:rsidR="002E27BE" w:rsidRPr="000347A5">
        <w:rPr>
          <w:b/>
        </w:rPr>
        <w:t>,</w:t>
      </w:r>
      <w:r w:rsidRPr="000347A5">
        <w:rPr>
          <w:b/>
        </w:rPr>
        <w:t xml:space="preserve"> and customs</w:t>
      </w:r>
      <w:r w:rsidR="002E27BE" w:rsidRPr="000347A5">
        <w:rPr>
          <w:b/>
        </w:rPr>
        <w:t>,</w:t>
      </w:r>
      <w:r w:rsidR="00ED6154" w:rsidRPr="000347A5">
        <w:rPr>
          <w:b/>
        </w:rPr>
        <w:t xml:space="preserve"> </w:t>
      </w:r>
      <w:r w:rsidR="000347A5" w:rsidRPr="000347A5">
        <w:rPr>
          <w:b/>
        </w:rPr>
        <w:t xml:space="preserve">as well as to maintain </w:t>
      </w:r>
      <w:r w:rsidR="00ED6154" w:rsidRPr="000347A5">
        <w:rPr>
          <w:b/>
        </w:rPr>
        <w:t>t</w:t>
      </w:r>
      <w:r w:rsidR="00ED6154" w:rsidRPr="00421D2C">
        <w:rPr>
          <w:b/>
        </w:rPr>
        <w:t>heir spiritual relationship with their lands, territories and resource</w:t>
      </w:r>
      <w:r w:rsidR="000347A5" w:rsidRPr="00421D2C">
        <w:rPr>
          <w:b/>
        </w:rPr>
        <w:t>s</w:t>
      </w:r>
      <w:r w:rsidR="008528DB">
        <w:rPr>
          <w:b/>
        </w:rPr>
        <w:t>.</w:t>
      </w:r>
      <w:r w:rsidRPr="00D75FF1">
        <w:rPr>
          <w:b/>
        </w:rPr>
        <w:t xml:space="preserve"> </w:t>
      </w:r>
    </w:p>
    <w:p w14:paraId="5A7E5F29" w14:textId="77777777" w:rsidR="00DC46C2" w:rsidRPr="00D75FF1" w:rsidRDefault="00DC46C2" w:rsidP="00DC46C2">
      <w:pPr>
        <w:pStyle w:val="H1G"/>
        <w:rPr>
          <w:b w:val="0"/>
          <w:bCs/>
          <w:i/>
          <w:iCs/>
        </w:rPr>
      </w:pPr>
      <w:r w:rsidRPr="00D75FF1">
        <w:tab/>
        <w:t>D.</w:t>
      </w:r>
      <w:r w:rsidRPr="00D75FF1">
        <w:tab/>
        <w:t xml:space="preserve">Other recommendations </w:t>
      </w:r>
    </w:p>
    <w:p w14:paraId="3D1592D1" w14:textId="77777777" w:rsidR="00DC46C2" w:rsidRPr="00D75FF1" w:rsidRDefault="00DC46C2" w:rsidP="007232B8">
      <w:pPr>
        <w:pStyle w:val="SingleTxtG"/>
        <w:numPr>
          <w:ilvl w:val="0"/>
          <w:numId w:val="28"/>
        </w:numPr>
        <w:tabs>
          <w:tab w:val="clear" w:pos="1701"/>
          <w:tab w:val="clear" w:pos="2268"/>
          <w:tab w:val="clear" w:pos="2835"/>
        </w:tabs>
        <w:ind w:left="1134" w:firstLine="0"/>
        <w:rPr>
          <w:b/>
        </w:rPr>
      </w:pPr>
      <w:r w:rsidRPr="00D75FF1">
        <w:rPr>
          <w:b/>
        </w:rPr>
        <w:t>The Committee encourages the State party to ratify the Optional Protocol to the International Covenant on Economic, Social and Cultural Rights.</w:t>
      </w:r>
    </w:p>
    <w:p w14:paraId="7FAE3D7B" w14:textId="77777777" w:rsidR="00DC46C2" w:rsidRPr="00D75FF1" w:rsidRDefault="00DC46C2" w:rsidP="007232B8">
      <w:pPr>
        <w:pStyle w:val="SingleTxtG"/>
        <w:numPr>
          <w:ilvl w:val="0"/>
          <w:numId w:val="28"/>
        </w:numPr>
        <w:tabs>
          <w:tab w:val="clear" w:pos="1701"/>
          <w:tab w:val="clear" w:pos="2268"/>
          <w:tab w:val="clear" w:pos="2835"/>
        </w:tabs>
        <w:ind w:left="1134" w:firstLine="0"/>
        <w:rPr>
          <w:b/>
        </w:rPr>
      </w:pPr>
      <w:r w:rsidRPr="00D75FF1">
        <w:rPr>
          <w:b/>
        </w:rPr>
        <w:t>The Committee recommends that the State party consider ratifying the core human rights instruments to which it is not yet a party, namely the</w:t>
      </w:r>
      <w:r w:rsidR="004E031A" w:rsidRPr="00D75FF1">
        <w:rPr>
          <w:b/>
        </w:rPr>
        <w:t xml:space="preserve"> </w:t>
      </w:r>
      <w:r w:rsidRPr="00D75FF1">
        <w:rPr>
          <w:b/>
        </w:rPr>
        <w:t>International Convention on the Protection of the Rights of All Migrant Workers and Members of Their Families</w:t>
      </w:r>
      <w:r w:rsidR="004E031A" w:rsidRPr="00D75FF1">
        <w:rPr>
          <w:b/>
        </w:rPr>
        <w:t>;</w:t>
      </w:r>
      <w:r w:rsidR="000A577B" w:rsidRPr="00D75FF1">
        <w:rPr>
          <w:b/>
        </w:rPr>
        <w:t xml:space="preserve"> the</w:t>
      </w:r>
      <w:r w:rsidR="004E031A" w:rsidRPr="00D75FF1">
        <w:rPr>
          <w:b/>
        </w:rPr>
        <w:t xml:space="preserve"> Optional </w:t>
      </w:r>
      <w:r w:rsidR="002E27BE">
        <w:rPr>
          <w:b/>
        </w:rPr>
        <w:t>P</w:t>
      </w:r>
      <w:r w:rsidR="002E27BE" w:rsidRPr="00D75FF1">
        <w:rPr>
          <w:b/>
        </w:rPr>
        <w:t xml:space="preserve">rotocol </w:t>
      </w:r>
      <w:r w:rsidR="004E031A" w:rsidRPr="00D75FF1">
        <w:rPr>
          <w:b/>
        </w:rPr>
        <w:t xml:space="preserve">to the Convention on the Rights of Persons with Disabilities; and </w:t>
      </w:r>
      <w:r w:rsidR="000A577B" w:rsidRPr="00D75FF1">
        <w:rPr>
          <w:b/>
        </w:rPr>
        <w:t xml:space="preserve">the </w:t>
      </w:r>
      <w:r w:rsidR="004E031A" w:rsidRPr="00D75FF1">
        <w:rPr>
          <w:b/>
        </w:rPr>
        <w:t>Optional Protocol to the Convention on the Rights of the Child</w:t>
      </w:r>
      <w:r w:rsidR="000A577B" w:rsidRPr="00D75FF1">
        <w:rPr>
          <w:b/>
        </w:rPr>
        <w:t xml:space="preserve"> on a Communications Procedures</w:t>
      </w:r>
      <w:r w:rsidRPr="00D75FF1">
        <w:rPr>
          <w:b/>
          <w:i/>
          <w:iCs/>
        </w:rPr>
        <w:t>.</w:t>
      </w:r>
      <w:r w:rsidRPr="00D75FF1">
        <w:rPr>
          <w:b/>
        </w:rPr>
        <w:t xml:space="preserve"> </w:t>
      </w:r>
    </w:p>
    <w:p w14:paraId="5A79848E" w14:textId="77777777" w:rsidR="00DC46C2" w:rsidRPr="00D75FF1" w:rsidRDefault="00DC46C2" w:rsidP="007232B8">
      <w:pPr>
        <w:pStyle w:val="SingleTxtG"/>
        <w:numPr>
          <w:ilvl w:val="0"/>
          <w:numId w:val="28"/>
        </w:numPr>
        <w:tabs>
          <w:tab w:val="clear" w:pos="1701"/>
          <w:tab w:val="clear" w:pos="2268"/>
          <w:tab w:val="clear" w:pos="2835"/>
        </w:tabs>
        <w:ind w:left="1134" w:firstLine="0"/>
        <w:rPr>
          <w:b/>
          <w:bCs/>
        </w:rPr>
      </w:pPr>
      <w:r w:rsidRPr="00D75FF1">
        <w:rPr>
          <w:b/>
          <w:bCs/>
        </w:rPr>
        <w:t>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by treating beneficiaries of public programmes as rights holders who can claim entitlements. Moreover, the Committee recommends that the State party support the global commitment of the decade of action to achieve the Sustainable Development Goals. Implementing the Goals on the basis of the principles of participation, accountability and non-discrimination would ensure that no one is left behind. In this regard, the Committee draws the State party’s attention to its statement on the pledge to leave no one behind.</w:t>
      </w:r>
      <w:r w:rsidRPr="00D75FF1">
        <w:rPr>
          <w:rStyle w:val="FootnoteReference"/>
        </w:rPr>
        <w:footnoteReference w:id="12"/>
      </w:r>
    </w:p>
    <w:p w14:paraId="02DF1295" w14:textId="77777777" w:rsidR="00DC46C2" w:rsidRPr="00D75FF1" w:rsidRDefault="00DC46C2" w:rsidP="007232B8">
      <w:pPr>
        <w:pStyle w:val="SingleTxtG"/>
        <w:numPr>
          <w:ilvl w:val="0"/>
          <w:numId w:val="28"/>
        </w:numPr>
        <w:tabs>
          <w:tab w:val="clear" w:pos="1701"/>
          <w:tab w:val="clear" w:pos="2268"/>
          <w:tab w:val="clear" w:pos="2835"/>
        </w:tabs>
        <w:ind w:left="1134" w:firstLine="0"/>
        <w:rPr>
          <w:b/>
          <w:bCs/>
        </w:rPr>
      </w:pPr>
      <w:r w:rsidRPr="00D75FF1">
        <w:rPr>
          <w:b/>
          <w:bCs/>
        </w:rPr>
        <w:t xml:space="preserve">The Committee requests that the State party disseminate the present concluding observations widely at all levels of society, including </w:t>
      </w:r>
      <w:r w:rsidRPr="00D75FF1">
        <w:rPr>
          <w:b/>
        </w:rPr>
        <w:t>at</w:t>
      </w:r>
      <w:r w:rsidRPr="00D75FF1">
        <w:rPr>
          <w:bCs/>
          <w:i/>
          <w:iCs/>
        </w:rPr>
        <w:t xml:space="preserve"> </w:t>
      </w:r>
      <w:r w:rsidR="00182C9A" w:rsidRPr="00D75FF1">
        <w:rPr>
          <w:b/>
          <w:bCs/>
          <w:iCs/>
        </w:rPr>
        <w:t xml:space="preserve">the provincial levels, </w:t>
      </w:r>
      <w:r w:rsidRPr="00D75FF1">
        <w:rPr>
          <w:b/>
        </w:rPr>
        <w:t>in particular among parliamentarians, public officials and judicial authorities, and that it inform the Committee in its next periodic report about the steps taken to implement them</w:t>
      </w:r>
      <w:r w:rsidRPr="00D75FF1">
        <w:rPr>
          <w:b/>
          <w:bCs/>
        </w:rPr>
        <w:t xml:space="preserve">. The Committee emphasizes the crucial role that Parliament plays in </w:t>
      </w:r>
      <w:r w:rsidRPr="00D75FF1">
        <w:rPr>
          <w:b/>
          <w:bCs/>
        </w:rPr>
        <w:lastRenderedPageBreak/>
        <w:t xml:space="preserve">implementing the present concluding observations and encourages the State party to ensure its involvement in future reporting and </w:t>
      </w:r>
      <w:r w:rsidR="00B04B9F">
        <w:rPr>
          <w:b/>
          <w:bCs/>
        </w:rPr>
        <w:t>follow-up</w:t>
      </w:r>
      <w:r w:rsidRPr="00D75FF1">
        <w:rPr>
          <w:b/>
          <w:bCs/>
        </w:rPr>
        <w:t xml:space="preserve"> procedures. The Committee encourages the State party to engage with non-governmental organizations and other members of civil society in the follow-up to the present concluding observations and in the process of consultation at the national level prior to the submission of its next periodic report.</w:t>
      </w:r>
    </w:p>
    <w:p w14:paraId="42D88D2F" w14:textId="77777777" w:rsidR="00DC46C2" w:rsidRPr="00D75FF1" w:rsidRDefault="00DC46C2" w:rsidP="007232B8">
      <w:pPr>
        <w:pStyle w:val="SingleTxtG"/>
        <w:numPr>
          <w:ilvl w:val="0"/>
          <w:numId w:val="28"/>
        </w:numPr>
        <w:tabs>
          <w:tab w:val="clear" w:pos="1701"/>
          <w:tab w:val="clear" w:pos="2268"/>
          <w:tab w:val="clear" w:pos="2835"/>
        </w:tabs>
        <w:ind w:left="1134" w:firstLine="0"/>
        <w:rPr>
          <w:b/>
        </w:rPr>
      </w:pPr>
      <w:r w:rsidRPr="00D75FF1">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w:t>
      </w:r>
      <w:r w:rsidR="00E54907" w:rsidRPr="00B07F11">
        <w:rPr>
          <w:b/>
          <w:bCs/>
        </w:rPr>
        <w:t>9 (a) (Human Rights Defenders and civil society organisations</w:t>
      </w:r>
      <w:r w:rsidR="0059350D" w:rsidRPr="00B07F11">
        <w:rPr>
          <w:b/>
          <w:bCs/>
        </w:rPr>
        <w:t>)</w:t>
      </w:r>
      <w:r w:rsidR="00F7511A" w:rsidRPr="00B07F11">
        <w:rPr>
          <w:b/>
          <w:bCs/>
        </w:rPr>
        <w:t>;</w:t>
      </w:r>
      <w:r w:rsidR="00B63F6A">
        <w:rPr>
          <w:b/>
          <w:bCs/>
        </w:rPr>
        <w:t xml:space="preserve"> </w:t>
      </w:r>
      <w:r w:rsidR="00880550" w:rsidRPr="00B07F11">
        <w:rPr>
          <w:b/>
          <w:bCs/>
        </w:rPr>
        <w:t>15 (a)</w:t>
      </w:r>
      <w:r w:rsidR="008F1704" w:rsidRPr="00B07F11">
        <w:rPr>
          <w:b/>
          <w:bCs/>
        </w:rPr>
        <w:t xml:space="preserve"> (Rights of Indigenous peoples)</w:t>
      </w:r>
      <w:r w:rsidR="00F7511A" w:rsidRPr="00B07F11">
        <w:rPr>
          <w:b/>
          <w:bCs/>
        </w:rPr>
        <w:t>;</w:t>
      </w:r>
      <w:r w:rsidR="00880550" w:rsidRPr="00B07F11">
        <w:rPr>
          <w:b/>
          <w:bCs/>
        </w:rPr>
        <w:t xml:space="preserve"> and 39 (b and c) </w:t>
      </w:r>
      <w:r w:rsidR="008F1704" w:rsidRPr="00B07F11">
        <w:rPr>
          <w:b/>
          <w:bCs/>
        </w:rPr>
        <w:t>(Poverty)</w:t>
      </w:r>
      <w:r w:rsidR="00E54907" w:rsidRPr="00B07F11">
        <w:rPr>
          <w:b/>
          <w:bCs/>
        </w:rPr>
        <w:t xml:space="preserve"> </w:t>
      </w:r>
      <w:r w:rsidRPr="00D75FF1">
        <w:rPr>
          <w:b/>
          <w:bCs/>
        </w:rPr>
        <w:t>above.</w:t>
      </w:r>
    </w:p>
    <w:p w14:paraId="08AD209E" w14:textId="77777777" w:rsidR="00DC46C2" w:rsidRDefault="00DC46C2" w:rsidP="007232B8">
      <w:pPr>
        <w:pStyle w:val="SingleTxtG"/>
        <w:numPr>
          <w:ilvl w:val="0"/>
          <w:numId w:val="28"/>
        </w:numPr>
        <w:tabs>
          <w:tab w:val="clear" w:pos="1701"/>
          <w:tab w:val="clear" w:pos="2268"/>
          <w:tab w:val="clear" w:pos="2835"/>
        </w:tabs>
        <w:ind w:left="1134" w:firstLine="0"/>
        <w:rPr>
          <w:b/>
        </w:rPr>
      </w:pPr>
      <w:r w:rsidRPr="00D75FF1">
        <w:rPr>
          <w:b/>
          <w:bCs/>
        </w:rPr>
        <w:t xml:space="preserve">The Committee requests the State party to submit its </w:t>
      </w:r>
      <w:r w:rsidR="00F462FB" w:rsidRPr="00D75FF1">
        <w:rPr>
          <w:b/>
          <w:bCs/>
        </w:rPr>
        <w:t>third</w:t>
      </w:r>
      <w:r w:rsidRPr="00D75FF1">
        <w:rPr>
          <w:b/>
          <w:bCs/>
        </w:rPr>
        <w:t xml:space="preserve"> periodic report in accordance with article 16 of the Covenant by </w:t>
      </w:r>
      <w:bookmarkStart w:id="12" w:name="_Hlk122024206"/>
      <w:r w:rsidR="00F462FB" w:rsidRPr="00D75FF1">
        <w:rPr>
          <w:b/>
          <w:bCs/>
        </w:rPr>
        <w:t>31 March 2028</w:t>
      </w:r>
      <w:bookmarkEnd w:id="12"/>
      <w:r w:rsidRPr="00D75FF1">
        <w:rPr>
          <w:i/>
          <w:iCs/>
        </w:rPr>
        <w:t>,</w:t>
      </w:r>
      <w:r w:rsidRPr="00D75FF1">
        <w:rPr>
          <w:b/>
          <w:bCs/>
        </w:rPr>
        <w:t xml:space="preserve"> unless otherwise notified as a result of a change in the review cycle. In accordance with General Assembly resolution 68/268, the word limit for the report is 21,200 words.</w:t>
      </w:r>
    </w:p>
    <w:p w14:paraId="74C8FE06" w14:textId="77777777" w:rsidR="003C2539" w:rsidRPr="00DC46C2" w:rsidRDefault="00DC46C2" w:rsidP="00DC46C2">
      <w:pPr>
        <w:pStyle w:val="SingleTxtG"/>
        <w:spacing w:before="240" w:after="0"/>
        <w:jc w:val="center"/>
        <w:rPr>
          <w:u w:val="single"/>
        </w:rPr>
      </w:pPr>
      <w:r>
        <w:rPr>
          <w:u w:val="single"/>
        </w:rPr>
        <w:tab/>
      </w:r>
      <w:r>
        <w:rPr>
          <w:u w:val="single"/>
        </w:rPr>
        <w:tab/>
      </w:r>
      <w:r>
        <w:rPr>
          <w:u w:val="single"/>
        </w:rPr>
        <w:tab/>
      </w:r>
    </w:p>
    <w:sectPr w:rsidR="003C2539" w:rsidRPr="00DC46C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10F4" w14:textId="77777777" w:rsidR="005E425B" w:rsidRDefault="005E425B"/>
  </w:endnote>
  <w:endnote w:type="continuationSeparator" w:id="0">
    <w:p w14:paraId="24202AEE" w14:textId="77777777" w:rsidR="005E425B" w:rsidRDefault="005E425B">
      <w:pPr>
        <w:pStyle w:val="Footer"/>
      </w:pPr>
    </w:p>
  </w:endnote>
  <w:endnote w:type="continuationNotice" w:id="1">
    <w:p w14:paraId="1E1DF17B" w14:textId="77777777" w:rsidR="005E425B" w:rsidRDefault="005E4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imes New Roman,Bold">
    <w:altName w:val="Times"/>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58A2" w14:textId="77777777" w:rsidR="007F6F8C" w:rsidRDefault="007F6F8C">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D11A20">
      <w:rPr>
        <w:b/>
        <w:noProof/>
        <w:sz w:val="18"/>
      </w:rPr>
      <w:t>2</w:t>
    </w:r>
    <w:r>
      <w:rPr>
        <w:b/>
        <w:sz w:val="18"/>
      </w:rPr>
      <w:fldChar w:fldCharType="end"/>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CFB7" w14:textId="77777777" w:rsidR="007F6F8C" w:rsidRDefault="007F6F8C">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D11A20">
      <w:rPr>
        <w:b/>
        <w:noProof/>
        <w:sz w:val="18"/>
      </w:rPr>
      <w:t>3</w:t>
    </w:r>
    <w:r>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52AF" w14:textId="77777777" w:rsidR="007F6F8C" w:rsidRDefault="007F6F8C">
    <w:pPr>
      <w:pStyle w:val="Footer"/>
      <w:spacing w:before="120"/>
      <w:rPr>
        <w:noProof/>
        <w:sz w:val="20"/>
        <w:lang w:eastAsia="fr-FR"/>
      </w:rPr>
    </w:pPr>
    <w:r>
      <w:rPr>
        <w:noProof/>
        <w:sz w:val="20"/>
        <w:lang w:val="en-US"/>
      </w:rPr>
      <w:drawing>
        <wp:anchor distT="0" distB="0" distL="114300" distR="114300" simplePos="0" relativeHeight="251658240" behindDoc="0" locked="1" layoutInCell="1" allowOverlap="1" wp14:anchorId="7DFC3D7E" wp14:editId="50CFFF36">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7F6F8C" w14:paraId="06256F7D" w14:textId="77777777">
      <w:tc>
        <w:tcPr>
          <w:tcW w:w="1848" w:type="dxa"/>
          <w:vAlign w:val="bottom"/>
        </w:tcPr>
        <w:p w14:paraId="71DEC1D6" w14:textId="77777777" w:rsidR="007F6F8C" w:rsidRDefault="007F6F8C">
          <w:pPr>
            <w:pStyle w:val="Footer"/>
            <w:spacing w:before="120" w:after="120"/>
            <w:jc w:val="right"/>
          </w:pPr>
          <w:r>
            <w:rPr>
              <w:noProof/>
              <w:sz w:val="20"/>
              <w:lang w:val="en-US"/>
            </w:rPr>
            <w:drawing>
              <wp:inline distT="0" distB="0" distL="0" distR="0" wp14:anchorId="567E9EF2" wp14:editId="52A48C12">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09BF2CC6" w14:textId="77777777" w:rsidR="007F6F8C" w:rsidRDefault="007F6F8C">
          <w:pPr>
            <w:pStyle w:val="Footer"/>
            <w:jc w:val="right"/>
          </w:pPr>
        </w:p>
      </w:tc>
    </w:tr>
  </w:tbl>
  <w:p w14:paraId="6532D3CB" w14:textId="77777777" w:rsidR="007F6F8C" w:rsidRDefault="007F6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88269" w14:textId="77777777" w:rsidR="005E425B" w:rsidRDefault="005E425B">
      <w:pPr>
        <w:pStyle w:val="Footer"/>
        <w:tabs>
          <w:tab w:val="right" w:pos="2155"/>
        </w:tabs>
        <w:spacing w:after="80" w:line="240" w:lineRule="atLeast"/>
        <w:ind w:left="680"/>
        <w:rPr>
          <w:u w:val="single"/>
        </w:rPr>
      </w:pPr>
      <w:r>
        <w:rPr>
          <w:u w:val="single"/>
        </w:rPr>
        <w:tab/>
      </w:r>
    </w:p>
  </w:footnote>
  <w:footnote w:type="continuationSeparator" w:id="0">
    <w:p w14:paraId="55C63726" w14:textId="77777777" w:rsidR="005E425B" w:rsidRDefault="005E425B">
      <w:pPr>
        <w:pStyle w:val="Footer"/>
        <w:tabs>
          <w:tab w:val="right" w:pos="2155"/>
        </w:tabs>
        <w:spacing w:after="80" w:line="240" w:lineRule="atLeast"/>
        <w:ind w:left="680"/>
        <w:rPr>
          <w:u w:val="single"/>
        </w:rPr>
      </w:pPr>
      <w:r>
        <w:rPr>
          <w:u w:val="single"/>
        </w:rPr>
        <w:tab/>
      </w:r>
    </w:p>
  </w:footnote>
  <w:footnote w:type="continuationNotice" w:id="1">
    <w:p w14:paraId="68A68649" w14:textId="77777777" w:rsidR="005E425B" w:rsidRDefault="005E425B">
      <w:pPr>
        <w:rPr>
          <w:sz w:val="2"/>
          <w:szCs w:val="2"/>
        </w:rPr>
      </w:pPr>
    </w:p>
  </w:footnote>
  <w:footnote w:id="2">
    <w:p w14:paraId="24B9F3CC" w14:textId="21953DEB" w:rsidR="006B7BA3" w:rsidRPr="00E06F94" w:rsidRDefault="006B7BA3" w:rsidP="006B7BA3">
      <w:pPr>
        <w:pStyle w:val="FootnoteText"/>
      </w:pPr>
      <w:r>
        <w:rPr>
          <w:rStyle w:val="FootnoteReference"/>
        </w:rPr>
        <w:tab/>
      </w:r>
      <w:r w:rsidRPr="00E06F94">
        <w:rPr>
          <w:rStyle w:val="FootnoteReference"/>
          <w:sz w:val="20"/>
        </w:rPr>
        <w:t>*</w:t>
      </w:r>
      <w:r>
        <w:rPr>
          <w:rStyle w:val="FootnoteReference"/>
          <w:sz w:val="20"/>
        </w:rPr>
        <w:tab/>
      </w:r>
      <w:r>
        <w:t>Adopted by the Committee at its seventy-third session (1</w:t>
      </w:r>
      <w:r w:rsidR="00BB65E1">
        <w:t>3</w:t>
      </w:r>
      <w:r>
        <w:t xml:space="preserve"> February –3 March 2023).</w:t>
      </w:r>
    </w:p>
  </w:footnote>
  <w:footnote w:id="3">
    <w:p w14:paraId="10CC6647" w14:textId="77777777" w:rsidR="007F6F8C" w:rsidRPr="009F2709" w:rsidRDefault="007F6F8C" w:rsidP="00DC46C2">
      <w:pPr>
        <w:pStyle w:val="FootnoteText"/>
        <w:rPr>
          <w:lang w:val="es-419"/>
        </w:rPr>
      </w:pPr>
      <w:r>
        <w:tab/>
      </w:r>
      <w:r>
        <w:rPr>
          <w:rStyle w:val="FootnoteReference"/>
        </w:rPr>
        <w:footnoteRef/>
      </w:r>
      <w:r w:rsidRPr="009F2709">
        <w:rPr>
          <w:lang w:val="es-419"/>
        </w:rPr>
        <w:t xml:space="preserve"> </w:t>
      </w:r>
      <w:r w:rsidRPr="009F2709">
        <w:rPr>
          <w:lang w:val="es-419"/>
        </w:rPr>
        <w:tab/>
      </w:r>
      <w:bookmarkStart w:id="2" w:name="_Hlk122025192"/>
      <w:r>
        <w:fldChar w:fldCharType="begin"/>
      </w:r>
      <w:r w:rsidRPr="009F2709">
        <w:rPr>
          <w:lang w:val="es-419"/>
        </w:rPr>
        <w:instrText xml:space="preserve"> HYPERLINK "http://undocs.org/en/E/C.12/KHM/2" </w:instrText>
      </w:r>
      <w:r>
        <w:fldChar w:fldCharType="separate"/>
      </w:r>
      <w:r w:rsidRPr="009F2709">
        <w:rPr>
          <w:rStyle w:val="Hyperlink"/>
          <w:lang w:val="es-419"/>
        </w:rPr>
        <w:t>E/C.12/KHM/2</w:t>
      </w:r>
      <w:r>
        <w:rPr>
          <w:rStyle w:val="Hyperlink"/>
        </w:rPr>
        <w:fldChar w:fldCharType="end"/>
      </w:r>
      <w:bookmarkEnd w:id="2"/>
    </w:p>
  </w:footnote>
  <w:footnote w:id="4">
    <w:p w14:paraId="0C7C5CE1" w14:textId="77777777" w:rsidR="007F6F8C" w:rsidRPr="009F2709" w:rsidRDefault="007F6F8C" w:rsidP="00DC46C2">
      <w:pPr>
        <w:pStyle w:val="FootnoteText"/>
        <w:rPr>
          <w:lang w:val="es-419"/>
        </w:rPr>
      </w:pPr>
      <w:r w:rsidRPr="009F2709">
        <w:rPr>
          <w:lang w:val="es-419"/>
        </w:rPr>
        <w:tab/>
      </w:r>
      <w:r>
        <w:rPr>
          <w:rStyle w:val="FootnoteReference"/>
        </w:rPr>
        <w:footnoteRef/>
      </w:r>
      <w:r w:rsidRPr="009F2709">
        <w:rPr>
          <w:lang w:val="es-419"/>
        </w:rPr>
        <w:t xml:space="preserve"> </w:t>
      </w:r>
      <w:r w:rsidRPr="009F2709">
        <w:rPr>
          <w:lang w:val="es-419"/>
        </w:rPr>
        <w:tab/>
      </w:r>
      <w:bookmarkStart w:id="3" w:name="_Hlk122025911"/>
      <w:bookmarkStart w:id="4" w:name="_Hlk122025197"/>
      <w:r>
        <w:fldChar w:fldCharType="begin"/>
      </w:r>
      <w:r w:rsidRPr="009F2709">
        <w:rPr>
          <w:lang w:val="es-419"/>
        </w:rPr>
        <w:instrText xml:space="preserve"> HYPERLINK "http://undocs.org/en/E/C.12/2023/SR.13" </w:instrText>
      </w:r>
      <w:r>
        <w:fldChar w:fldCharType="separate"/>
      </w:r>
      <w:r w:rsidRPr="00EF36A3">
        <w:rPr>
          <w:rStyle w:val="Hyperlink"/>
          <w:szCs w:val="18"/>
          <w:lang w:val="es-ES"/>
        </w:rPr>
        <w:t>E/C</w:t>
      </w:r>
      <w:r w:rsidRPr="00E17FFB">
        <w:rPr>
          <w:rStyle w:val="Hyperlink"/>
          <w:lang w:val="es-ES" w:eastAsia="en-GB"/>
        </w:rPr>
        <w:t>.</w:t>
      </w:r>
      <w:r w:rsidRPr="00EF36A3">
        <w:rPr>
          <w:rStyle w:val="Hyperlink"/>
          <w:szCs w:val="18"/>
          <w:lang w:val="es-ES"/>
        </w:rPr>
        <w:t>12/202</w:t>
      </w:r>
      <w:r>
        <w:rPr>
          <w:rStyle w:val="Hyperlink"/>
          <w:szCs w:val="18"/>
          <w:lang w:val="es-ES"/>
        </w:rPr>
        <w:t>3</w:t>
      </w:r>
      <w:r w:rsidRPr="00EF36A3">
        <w:rPr>
          <w:rStyle w:val="Hyperlink"/>
          <w:szCs w:val="18"/>
          <w:lang w:val="es-ES"/>
        </w:rPr>
        <w:t>/SR</w:t>
      </w:r>
      <w:r w:rsidRPr="00E17FFB">
        <w:rPr>
          <w:rStyle w:val="Hyperlink"/>
          <w:lang w:val="es-ES" w:eastAsia="en-GB"/>
        </w:rPr>
        <w:t>.</w:t>
      </w:r>
      <w:r>
        <w:rPr>
          <w:rStyle w:val="Hyperlink"/>
          <w:lang w:val="es-ES" w:eastAsia="en-GB"/>
        </w:rPr>
        <w:t>1</w:t>
      </w:r>
      <w:r w:rsidRPr="00E17FFB">
        <w:rPr>
          <w:rStyle w:val="Hyperlink"/>
          <w:lang w:val="es-ES" w:eastAsia="en-GB"/>
        </w:rPr>
        <w:t>3</w:t>
      </w:r>
      <w:r>
        <w:rPr>
          <w:rStyle w:val="Hyperlink"/>
          <w:lang w:val="es-ES" w:eastAsia="en-GB"/>
        </w:rPr>
        <w:fldChar w:fldCharType="end"/>
      </w:r>
      <w:r w:rsidRPr="00A35791">
        <w:rPr>
          <w:color w:val="000000"/>
          <w:szCs w:val="18"/>
          <w:lang w:val="es-ES"/>
        </w:rPr>
        <w:t xml:space="preserve"> </w:t>
      </w:r>
      <w:r w:rsidRPr="00A35791">
        <w:rPr>
          <w:szCs w:val="18"/>
          <w:lang w:val="es-ES"/>
        </w:rPr>
        <w:t xml:space="preserve">and </w:t>
      </w:r>
      <w:hyperlink r:id="rId1" w:history="1">
        <w:r w:rsidRPr="00EF36A3">
          <w:rPr>
            <w:rStyle w:val="Hyperlink"/>
            <w:szCs w:val="18"/>
            <w:lang w:val="es-ES"/>
          </w:rPr>
          <w:t>E/C</w:t>
        </w:r>
        <w:r w:rsidRPr="00DF77C7">
          <w:rPr>
            <w:rStyle w:val="Hyperlink"/>
            <w:szCs w:val="18"/>
            <w:lang w:val="es-ES"/>
          </w:rPr>
          <w:t>.</w:t>
        </w:r>
        <w:r w:rsidRPr="00EF36A3">
          <w:rPr>
            <w:rStyle w:val="Hyperlink"/>
            <w:szCs w:val="18"/>
            <w:lang w:val="es-ES"/>
          </w:rPr>
          <w:t>12/202</w:t>
        </w:r>
        <w:r>
          <w:rPr>
            <w:rStyle w:val="Hyperlink"/>
            <w:szCs w:val="18"/>
            <w:lang w:val="es-ES"/>
          </w:rPr>
          <w:t>3</w:t>
        </w:r>
        <w:r w:rsidRPr="00EF36A3">
          <w:rPr>
            <w:rStyle w:val="Hyperlink"/>
            <w:szCs w:val="18"/>
            <w:lang w:val="es-ES"/>
          </w:rPr>
          <w:t>/SR</w:t>
        </w:r>
        <w:r w:rsidRPr="00E17FFB">
          <w:rPr>
            <w:rStyle w:val="Hyperlink"/>
            <w:lang w:val="es-ES" w:eastAsia="en-GB"/>
          </w:rPr>
          <w:t>.</w:t>
        </w:r>
        <w:r>
          <w:rPr>
            <w:rStyle w:val="Hyperlink"/>
            <w:lang w:val="es-ES" w:eastAsia="en-GB"/>
          </w:rPr>
          <w:t>14</w:t>
        </w:r>
      </w:hyperlink>
      <w:bookmarkEnd w:id="3"/>
      <w:r w:rsidRPr="006361CD">
        <w:rPr>
          <w:lang w:val="es-ES"/>
        </w:rPr>
        <w:t>.</w:t>
      </w:r>
      <w:bookmarkEnd w:id="4"/>
    </w:p>
  </w:footnote>
  <w:footnote w:id="5">
    <w:p w14:paraId="1A03E83A" w14:textId="77777777" w:rsidR="007F6F8C" w:rsidRPr="00A44D91" w:rsidRDefault="007F6F8C" w:rsidP="00DC46C2">
      <w:pPr>
        <w:pStyle w:val="FootnoteText"/>
        <w:rPr>
          <w:lang w:val="es-419"/>
        </w:rPr>
      </w:pPr>
      <w:r w:rsidRPr="009F2709">
        <w:rPr>
          <w:lang w:val="es-419"/>
        </w:rPr>
        <w:tab/>
      </w:r>
      <w:r>
        <w:rPr>
          <w:rStyle w:val="FootnoteReference"/>
        </w:rPr>
        <w:footnoteRef/>
      </w:r>
      <w:r w:rsidRPr="00A44D91">
        <w:rPr>
          <w:lang w:val="es-419"/>
        </w:rPr>
        <w:t xml:space="preserve"> </w:t>
      </w:r>
      <w:r w:rsidRPr="00A44D91">
        <w:rPr>
          <w:lang w:val="es-419"/>
        </w:rPr>
        <w:tab/>
      </w:r>
      <w:bookmarkStart w:id="8" w:name="_Hlk122025202"/>
      <w:r>
        <w:fldChar w:fldCharType="begin"/>
      </w:r>
      <w:r w:rsidRPr="00A44D91">
        <w:rPr>
          <w:lang w:val="es-419"/>
        </w:rPr>
        <w:instrText xml:space="preserve"> HYPERLINK "http://undocs.org/en/E/C.12/KHM/RQ/2" </w:instrText>
      </w:r>
      <w:r>
        <w:fldChar w:fldCharType="separate"/>
      </w:r>
      <w:r w:rsidRPr="00A44D91">
        <w:rPr>
          <w:rStyle w:val="Hyperlink"/>
          <w:lang w:val="es-419"/>
        </w:rPr>
        <w:t>E/C.12/KHM/RQ/2</w:t>
      </w:r>
      <w:r>
        <w:rPr>
          <w:rStyle w:val="Hyperlink"/>
        </w:rPr>
        <w:fldChar w:fldCharType="end"/>
      </w:r>
      <w:bookmarkEnd w:id="8"/>
    </w:p>
  </w:footnote>
  <w:footnote w:id="6">
    <w:p w14:paraId="22F0AD4C" w14:textId="77777777" w:rsidR="007F6F8C" w:rsidRPr="00A44D91" w:rsidRDefault="007F6F8C">
      <w:pPr>
        <w:pStyle w:val="FootnoteText"/>
        <w:rPr>
          <w:lang w:val="es-419"/>
        </w:rPr>
      </w:pPr>
      <w:r>
        <w:rPr>
          <w:lang w:val="es-419"/>
        </w:rPr>
        <w:tab/>
      </w:r>
      <w:r>
        <w:rPr>
          <w:rStyle w:val="FootnoteReference"/>
        </w:rPr>
        <w:footnoteRef/>
      </w:r>
      <w:r w:rsidRPr="00A44D91">
        <w:rPr>
          <w:lang w:val="es-419"/>
        </w:rPr>
        <w:t xml:space="preserve"> </w:t>
      </w:r>
      <w:r>
        <w:rPr>
          <w:lang w:val="es-419"/>
        </w:rPr>
        <w:tab/>
      </w:r>
      <w:hyperlink r:id="rId2" w:history="1">
        <w:r w:rsidRPr="00A44D91">
          <w:rPr>
            <w:rStyle w:val="Hyperlink"/>
            <w:lang w:val="es-419"/>
          </w:rPr>
          <w:tab/>
        </w:r>
        <w:r w:rsidRPr="00A44D91">
          <w:rPr>
            <w:rStyle w:val="Hyperlink"/>
            <w:lang w:val="es-419"/>
          </w:rPr>
          <w:t>E/C.12/KHM/CO/1</w:t>
        </w:r>
      </w:hyperlink>
      <w:r>
        <w:rPr>
          <w:lang w:val="es-419"/>
        </w:rPr>
        <w:t>, para 12</w:t>
      </w:r>
    </w:p>
  </w:footnote>
  <w:footnote w:id="7">
    <w:p w14:paraId="0635073E" w14:textId="77777777" w:rsidR="007F6F8C" w:rsidRPr="00CD7E52" w:rsidRDefault="007F6F8C" w:rsidP="001B3657">
      <w:pPr>
        <w:pStyle w:val="FootnoteText"/>
        <w:rPr>
          <w:szCs w:val="18"/>
          <w:lang w:val="es-419"/>
        </w:rPr>
      </w:pPr>
      <w:r w:rsidRPr="00A45B2E">
        <w:rPr>
          <w:szCs w:val="18"/>
          <w:lang w:val="es-419"/>
        </w:rPr>
        <w:tab/>
      </w:r>
      <w:r w:rsidRPr="006F138D">
        <w:rPr>
          <w:rStyle w:val="FootnoteReference"/>
        </w:rPr>
        <w:footnoteRef/>
      </w:r>
      <w:r w:rsidRPr="00CD7E52">
        <w:rPr>
          <w:rStyle w:val="FootnoteReference"/>
          <w:lang w:val="es-419"/>
        </w:rPr>
        <w:t xml:space="preserve"> </w:t>
      </w:r>
      <w:r w:rsidRPr="00CD7E52">
        <w:rPr>
          <w:lang w:val="es-419"/>
        </w:rPr>
        <w:tab/>
      </w:r>
      <w:hyperlink r:id="rId3" w:history="1">
        <w:r w:rsidRPr="00CD7E52">
          <w:rPr>
            <w:rStyle w:val="Hyperlink"/>
            <w:lang w:val="es-419"/>
          </w:rPr>
          <w:t>E/C.12/2016/2</w:t>
        </w:r>
      </w:hyperlink>
      <w:r w:rsidRPr="00CD7E52">
        <w:rPr>
          <w:lang w:val="es-419"/>
        </w:rPr>
        <w:t>.</w:t>
      </w:r>
    </w:p>
  </w:footnote>
  <w:footnote w:id="8">
    <w:p w14:paraId="3B6385B4" w14:textId="77777777" w:rsidR="00043F79" w:rsidRPr="00B07F11" w:rsidRDefault="00043F79">
      <w:pPr>
        <w:pStyle w:val="FootnoteText"/>
        <w:rPr>
          <w:lang w:val="es-419"/>
        </w:rPr>
      </w:pPr>
      <w:r>
        <w:rPr>
          <w:lang w:val="es-419"/>
        </w:rPr>
        <w:tab/>
      </w:r>
      <w:r>
        <w:rPr>
          <w:rStyle w:val="FootnoteReference"/>
        </w:rPr>
        <w:footnoteRef/>
      </w:r>
      <w:r w:rsidRPr="00B07F11">
        <w:rPr>
          <w:lang w:val="es-419"/>
        </w:rPr>
        <w:t xml:space="preserve"> </w:t>
      </w:r>
      <w:r w:rsidRPr="00B07F11">
        <w:rPr>
          <w:lang w:val="es-419"/>
        </w:rPr>
        <w:tab/>
      </w:r>
      <w:r w:rsidRPr="00B07F11">
        <w:rPr>
          <w:lang w:val="es-419"/>
        </w:rPr>
        <w:tab/>
      </w:r>
      <w:hyperlink r:id="rId4" w:history="1">
        <w:r>
          <w:rPr>
            <w:rStyle w:val="Hyperlink"/>
            <w:lang w:val="es-ES"/>
          </w:rPr>
          <w:t>E/C</w:t>
        </w:r>
        <w:r>
          <w:rPr>
            <w:rStyle w:val="Hyperlink"/>
            <w:lang w:val="es-ES" w:eastAsia="en-GB"/>
          </w:rPr>
          <w:t>.</w:t>
        </w:r>
        <w:r>
          <w:rPr>
            <w:rStyle w:val="Hyperlink"/>
            <w:lang w:val="es-ES"/>
          </w:rPr>
          <w:t>12/2018/1</w:t>
        </w:r>
      </w:hyperlink>
    </w:p>
  </w:footnote>
  <w:footnote w:id="9">
    <w:p w14:paraId="740D1C5C" w14:textId="77777777" w:rsidR="007F6F8C" w:rsidRPr="00CD7E52" w:rsidRDefault="007F6F8C">
      <w:pPr>
        <w:pStyle w:val="FootnoteText"/>
        <w:rPr>
          <w:lang w:val="es-419"/>
        </w:rPr>
      </w:pPr>
      <w:r>
        <w:rPr>
          <w:lang w:val="es-419"/>
        </w:rPr>
        <w:tab/>
      </w:r>
      <w:r>
        <w:rPr>
          <w:rStyle w:val="FootnoteReference"/>
        </w:rPr>
        <w:footnoteRef/>
      </w:r>
      <w:r w:rsidRPr="00CD7E52">
        <w:rPr>
          <w:lang w:val="es-419"/>
        </w:rPr>
        <w:t xml:space="preserve"> </w:t>
      </w:r>
      <w:r>
        <w:rPr>
          <w:lang w:val="es-419"/>
        </w:rPr>
        <w:tab/>
      </w:r>
      <w:hyperlink r:id="rId5" w:history="1">
        <w:r w:rsidRPr="00A44D91">
          <w:rPr>
            <w:rStyle w:val="Hyperlink"/>
            <w:lang w:val="es-419"/>
          </w:rPr>
          <w:tab/>
        </w:r>
        <w:r w:rsidRPr="00A44D91">
          <w:rPr>
            <w:rStyle w:val="Hyperlink"/>
            <w:lang w:val="es-419"/>
          </w:rPr>
          <w:t>E/C.12/KHM/CO/1</w:t>
        </w:r>
      </w:hyperlink>
      <w:r>
        <w:rPr>
          <w:lang w:val="es-419"/>
        </w:rPr>
        <w:t>, para 24</w:t>
      </w:r>
    </w:p>
  </w:footnote>
  <w:footnote w:id="10">
    <w:p w14:paraId="3605EAB0" w14:textId="77777777" w:rsidR="00043F79" w:rsidRDefault="00043F79">
      <w:pPr>
        <w:pStyle w:val="FootnoteText"/>
      </w:pPr>
      <w:r w:rsidRPr="00801A25">
        <w:rPr>
          <w:lang w:val="es-419"/>
        </w:rPr>
        <w:tab/>
      </w:r>
      <w:r>
        <w:rPr>
          <w:rStyle w:val="FootnoteReference"/>
        </w:rPr>
        <w:footnoteRef/>
      </w:r>
      <w:r>
        <w:t xml:space="preserve"> </w:t>
      </w:r>
      <w:r>
        <w:tab/>
      </w:r>
      <w:r>
        <w:tab/>
      </w:r>
      <w:hyperlink r:id="rId6" w:history="1">
        <w:r w:rsidRPr="00043F79">
          <w:rPr>
            <w:rStyle w:val="Hyperlink"/>
          </w:rPr>
          <w:t>E/C.12/2015/1</w:t>
        </w:r>
      </w:hyperlink>
    </w:p>
  </w:footnote>
  <w:footnote w:id="11">
    <w:p w14:paraId="1C091FC2" w14:textId="77777777" w:rsidR="007F6F8C" w:rsidRPr="00421D2C" w:rsidRDefault="007F6F8C">
      <w:pPr>
        <w:pStyle w:val="FootnoteText"/>
      </w:pPr>
      <w:r w:rsidRPr="00801A25">
        <w:tab/>
      </w:r>
      <w:r>
        <w:rPr>
          <w:rStyle w:val="FootnoteReference"/>
        </w:rPr>
        <w:footnoteRef/>
      </w:r>
      <w:r w:rsidRPr="00801A25">
        <w:t xml:space="preserve"> </w:t>
      </w:r>
      <w:r w:rsidRPr="00801A25">
        <w:tab/>
      </w:r>
      <w:r w:rsidRPr="00801A25">
        <w:tab/>
      </w:r>
      <w:hyperlink r:id="rId7" w:history="1">
        <w:r w:rsidRPr="00421D2C">
          <w:rPr>
            <w:rStyle w:val="Hyperlink"/>
          </w:rPr>
          <w:t>CEDAW/C/KHM/CO/6</w:t>
        </w:r>
      </w:hyperlink>
      <w:r w:rsidRPr="00421D2C">
        <w:t xml:space="preserve">, para 25 b) and </w:t>
      </w:r>
      <w:hyperlink r:id="rId8" w:history="1">
        <w:r w:rsidRPr="000B7D4C">
          <w:rPr>
            <w:rStyle w:val="Hyperlink"/>
          </w:rPr>
          <w:t>CEDAW/C/KHM/FCO/6</w:t>
        </w:r>
      </w:hyperlink>
    </w:p>
  </w:footnote>
  <w:footnote w:id="12">
    <w:p w14:paraId="25140356" w14:textId="5B7E86F9" w:rsidR="007F6F8C" w:rsidRPr="00A44D91" w:rsidRDefault="007F6F8C" w:rsidP="00DC46C2">
      <w:pPr>
        <w:pStyle w:val="FootnoteText"/>
        <w:rPr>
          <w:lang w:val="es-419"/>
        </w:rPr>
      </w:pPr>
      <w:r w:rsidRPr="00421D2C">
        <w:tab/>
      </w:r>
      <w:r>
        <w:rPr>
          <w:rStyle w:val="FootnoteReference"/>
        </w:rPr>
        <w:footnoteRef/>
      </w:r>
      <w:r w:rsidRPr="00A44D91">
        <w:rPr>
          <w:lang w:val="es-419"/>
        </w:rPr>
        <w:t xml:space="preserve"> </w:t>
      </w:r>
      <w:r w:rsidRPr="00A44D91">
        <w:rPr>
          <w:lang w:val="es-419"/>
        </w:rPr>
        <w:tab/>
      </w:r>
      <w:bookmarkStart w:id="11" w:name="_Hlk122025482"/>
      <w:r>
        <w:fldChar w:fldCharType="begin"/>
      </w:r>
      <w:r w:rsidRPr="00A44D91">
        <w:rPr>
          <w:lang w:val="es-419"/>
        </w:rPr>
        <w:instrText xml:space="preserve"> HYPERLINK "http://undocs.org/en/E/C.12/2019/1" </w:instrText>
      </w:r>
      <w:r>
        <w:fldChar w:fldCharType="separate"/>
      </w:r>
      <w:r w:rsidRPr="00A44D91">
        <w:rPr>
          <w:rStyle w:val="Hyperlink"/>
          <w:lang w:val="es-419"/>
        </w:rPr>
        <w:t>E/C</w:t>
      </w:r>
      <w:r>
        <w:rPr>
          <w:rStyle w:val="Hyperlink"/>
          <w:lang w:val="es-ES" w:eastAsia="en-GB"/>
        </w:rPr>
        <w:t>.</w:t>
      </w:r>
      <w:r w:rsidRPr="00A44D91">
        <w:rPr>
          <w:rStyle w:val="Hyperlink"/>
          <w:lang w:val="es-419"/>
        </w:rPr>
        <w:t>12/2019/1</w:t>
      </w:r>
      <w:r>
        <w:fldChar w:fldCharType="end"/>
      </w:r>
      <w:bookmarkEnd w:id="1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D85F" w14:textId="7BA194D5" w:rsidR="007F6F8C" w:rsidRDefault="007F6F8C">
    <w:pPr>
      <w:pStyle w:val="Header"/>
    </w:pPr>
    <w:r>
      <w:t>E/C.12/KHM/CO/2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5ABF" w14:textId="00D7B5E1" w:rsidR="007F6F8C" w:rsidRDefault="007F6F8C">
    <w:pPr>
      <w:pStyle w:val="Header"/>
      <w:jc w:val="right"/>
    </w:pPr>
    <w:r>
      <w:t>E/C.12/KHM/CO/2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9F76" w14:textId="77777777" w:rsidR="007F6F8C" w:rsidRDefault="007F6F8C">
    <w:pPr>
      <w:pStyle w:val="Header"/>
      <w:pBdr>
        <w:bottom w:val="none" w:sz="0" w:space="0" w:color="auto"/>
      </w:pBdr>
      <w:rPr>
        <w:b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74E04B18">
      <w:start w:val="1"/>
      <w:numFmt w:val="decimal"/>
      <w:lvlText w:val="%1."/>
      <w:lvlJc w:val="left"/>
      <w:pPr>
        <w:tabs>
          <w:tab w:val="num" w:pos="0"/>
        </w:tabs>
        <w:ind w:left="1134" w:firstLine="0"/>
      </w:pPr>
      <w:rPr>
        <w:rFonts w:ascii="Times New Roman" w:hAnsi="Times New Roman" w:hint="default"/>
        <w:b w:val="0"/>
        <w:i w:val="0"/>
        <w:sz w:val="20"/>
      </w:rPr>
    </w:lvl>
    <w:lvl w:ilvl="1" w:tplc="66009E0C" w:tentative="1">
      <w:start w:val="1"/>
      <w:numFmt w:val="lowerLetter"/>
      <w:lvlText w:val="%2."/>
      <w:lvlJc w:val="left"/>
      <w:pPr>
        <w:tabs>
          <w:tab w:val="num" w:pos="1440"/>
        </w:tabs>
        <w:ind w:left="1440" w:hanging="360"/>
      </w:pPr>
    </w:lvl>
    <w:lvl w:ilvl="2" w:tplc="ADE8400C" w:tentative="1">
      <w:start w:val="1"/>
      <w:numFmt w:val="lowerRoman"/>
      <w:lvlText w:val="%3."/>
      <w:lvlJc w:val="right"/>
      <w:pPr>
        <w:tabs>
          <w:tab w:val="num" w:pos="2160"/>
        </w:tabs>
        <w:ind w:left="2160" w:hanging="180"/>
      </w:pPr>
    </w:lvl>
    <w:lvl w:ilvl="3" w:tplc="9C4A56D2" w:tentative="1">
      <w:start w:val="1"/>
      <w:numFmt w:val="decimal"/>
      <w:lvlText w:val="%4."/>
      <w:lvlJc w:val="left"/>
      <w:pPr>
        <w:tabs>
          <w:tab w:val="num" w:pos="2880"/>
        </w:tabs>
        <w:ind w:left="2880" w:hanging="360"/>
      </w:pPr>
    </w:lvl>
    <w:lvl w:ilvl="4" w:tplc="434AEF06" w:tentative="1">
      <w:start w:val="1"/>
      <w:numFmt w:val="lowerLetter"/>
      <w:lvlText w:val="%5."/>
      <w:lvlJc w:val="left"/>
      <w:pPr>
        <w:tabs>
          <w:tab w:val="num" w:pos="3600"/>
        </w:tabs>
        <w:ind w:left="3600" w:hanging="360"/>
      </w:pPr>
    </w:lvl>
    <w:lvl w:ilvl="5" w:tplc="667C1266" w:tentative="1">
      <w:start w:val="1"/>
      <w:numFmt w:val="lowerRoman"/>
      <w:lvlText w:val="%6."/>
      <w:lvlJc w:val="right"/>
      <w:pPr>
        <w:tabs>
          <w:tab w:val="num" w:pos="4320"/>
        </w:tabs>
        <w:ind w:left="4320" w:hanging="180"/>
      </w:pPr>
    </w:lvl>
    <w:lvl w:ilvl="6" w:tplc="3FEEFFEE" w:tentative="1">
      <w:start w:val="1"/>
      <w:numFmt w:val="decimal"/>
      <w:lvlText w:val="%7."/>
      <w:lvlJc w:val="left"/>
      <w:pPr>
        <w:tabs>
          <w:tab w:val="num" w:pos="5040"/>
        </w:tabs>
        <w:ind w:left="5040" w:hanging="360"/>
      </w:pPr>
    </w:lvl>
    <w:lvl w:ilvl="7" w:tplc="F100408A" w:tentative="1">
      <w:start w:val="1"/>
      <w:numFmt w:val="lowerLetter"/>
      <w:lvlText w:val="%8."/>
      <w:lvlJc w:val="left"/>
      <w:pPr>
        <w:tabs>
          <w:tab w:val="num" w:pos="5760"/>
        </w:tabs>
        <w:ind w:left="5760" w:hanging="360"/>
      </w:pPr>
    </w:lvl>
    <w:lvl w:ilvl="8" w:tplc="6B18CF70" w:tentative="1">
      <w:start w:val="1"/>
      <w:numFmt w:val="lowerRoman"/>
      <w:lvlText w:val="%9."/>
      <w:lvlJc w:val="right"/>
      <w:pPr>
        <w:tabs>
          <w:tab w:val="num" w:pos="6480"/>
        </w:tabs>
        <w:ind w:left="6480" w:hanging="180"/>
      </w:pPr>
    </w:lvl>
  </w:abstractNum>
  <w:abstractNum w:abstractNumId="11">
    <w:nsid w:val="0D954887"/>
    <w:multiLevelType w:val="hybridMultilevel"/>
    <w:tmpl w:val="2B362816"/>
    <w:lvl w:ilvl="0" w:tplc="5538958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5324924" w:tentative="1">
      <w:start w:val="1"/>
      <w:numFmt w:val="lowerLetter"/>
      <w:lvlText w:val="%2."/>
      <w:lvlJc w:val="left"/>
      <w:pPr>
        <w:tabs>
          <w:tab w:val="num" w:pos="1440"/>
        </w:tabs>
        <w:ind w:left="1440" w:hanging="360"/>
      </w:pPr>
    </w:lvl>
    <w:lvl w:ilvl="2" w:tplc="6D4C7CEA" w:tentative="1">
      <w:start w:val="1"/>
      <w:numFmt w:val="lowerRoman"/>
      <w:lvlText w:val="%3."/>
      <w:lvlJc w:val="right"/>
      <w:pPr>
        <w:tabs>
          <w:tab w:val="num" w:pos="2160"/>
        </w:tabs>
        <w:ind w:left="2160" w:hanging="180"/>
      </w:pPr>
    </w:lvl>
    <w:lvl w:ilvl="3" w:tplc="AADA0400" w:tentative="1">
      <w:start w:val="1"/>
      <w:numFmt w:val="decimal"/>
      <w:lvlText w:val="%4."/>
      <w:lvlJc w:val="left"/>
      <w:pPr>
        <w:tabs>
          <w:tab w:val="num" w:pos="2880"/>
        </w:tabs>
        <w:ind w:left="2880" w:hanging="360"/>
      </w:pPr>
    </w:lvl>
    <w:lvl w:ilvl="4" w:tplc="ACB64978" w:tentative="1">
      <w:start w:val="1"/>
      <w:numFmt w:val="lowerLetter"/>
      <w:lvlText w:val="%5."/>
      <w:lvlJc w:val="left"/>
      <w:pPr>
        <w:tabs>
          <w:tab w:val="num" w:pos="3600"/>
        </w:tabs>
        <w:ind w:left="3600" w:hanging="360"/>
      </w:pPr>
    </w:lvl>
    <w:lvl w:ilvl="5" w:tplc="CDE8E2F0" w:tentative="1">
      <w:start w:val="1"/>
      <w:numFmt w:val="lowerRoman"/>
      <w:lvlText w:val="%6."/>
      <w:lvlJc w:val="right"/>
      <w:pPr>
        <w:tabs>
          <w:tab w:val="num" w:pos="4320"/>
        </w:tabs>
        <w:ind w:left="4320" w:hanging="180"/>
      </w:pPr>
    </w:lvl>
    <w:lvl w:ilvl="6" w:tplc="BDE8ECD2" w:tentative="1">
      <w:start w:val="1"/>
      <w:numFmt w:val="decimal"/>
      <w:lvlText w:val="%7."/>
      <w:lvlJc w:val="left"/>
      <w:pPr>
        <w:tabs>
          <w:tab w:val="num" w:pos="5040"/>
        </w:tabs>
        <w:ind w:left="5040" w:hanging="360"/>
      </w:pPr>
    </w:lvl>
    <w:lvl w:ilvl="7" w:tplc="CE14592E" w:tentative="1">
      <w:start w:val="1"/>
      <w:numFmt w:val="lowerLetter"/>
      <w:lvlText w:val="%8."/>
      <w:lvlJc w:val="left"/>
      <w:pPr>
        <w:tabs>
          <w:tab w:val="num" w:pos="5760"/>
        </w:tabs>
        <w:ind w:left="5760" w:hanging="360"/>
      </w:pPr>
    </w:lvl>
    <w:lvl w:ilvl="8" w:tplc="AC3E3D12" w:tentative="1">
      <w:start w:val="1"/>
      <w:numFmt w:val="lowerRoman"/>
      <w:lvlText w:val="%9."/>
      <w:lvlJc w:val="right"/>
      <w:pPr>
        <w:tabs>
          <w:tab w:val="num" w:pos="6480"/>
        </w:tabs>
        <w:ind w:left="6480" w:hanging="180"/>
      </w:pPr>
    </w:lvl>
  </w:abstractNum>
  <w:abstractNum w:abstractNumId="12">
    <w:nsid w:val="1BF96686"/>
    <w:multiLevelType w:val="hybridMultilevel"/>
    <w:tmpl w:val="89841270"/>
    <w:lvl w:ilvl="0" w:tplc="A0320DA4">
      <w:start w:val="1"/>
      <w:numFmt w:val="decimal"/>
      <w:lvlText w:val="%1."/>
      <w:lvlJc w:val="left"/>
      <w:pPr>
        <w:ind w:left="1854" w:hanging="360"/>
      </w:pPr>
      <w:rPr>
        <w:b w:val="0"/>
        <w:b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E253887"/>
    <w:multiLevelType w:val="hybridMultilevel"/>
    <w:tmpl w:val="497EC7CC"/>
    <w:lvl w:ilvl="0" w:tplc="CF64E162">
      <w:start w:val="1"/>
      <w:numFmt w:val="bullet"/>
      <w:lvlText w:val="•"/>
      <w:lvlJc w:val="left"/>
      <w:pPr>
        <w:tabs>
          <w:tab w:val="num" w:pos="2268"/>
        </w:tabs>
        <w:ind w:left="2268" w:hanging="170"/>
      </w:pPr>
      <w:rPr>
        <w:rFonts w:ascii="Times New Roman" w:hAnsi="Times New Roman" w:cs="Times New Roman" w:hint="default"/>
      </w:rPr>
    </w:lvl>
    <w:lvl w:ilvl="1" w:tplc="129E7D1E" w:tentative="1">
      <w:start w:val="1"/>
      <w:numFmt w:val="bullet"/>
      <w:lvlText w:val="o"/>
      <w:lvlJc w:val="left"/>
      <w:pPr>
        <w:tabs>
          <w:tab w:val="num" w:pos="1440"/>
        </w:tabs>
        <w:ind w:left="1440" w:hanging="360"/>
      </w:pPr>
      <w:rPr>
        <w:rFonts w:ascii="Courier New" w:hAnsi="Courier New" w:hint="default"/>
      </w:rPr>
    </w:lvl>
    <w:lvl w:ilvl="2" w:tplc="57D026AE" w:tentative="1">
      <w:start w:val="1"/>
      <w:numFmt w:val="bullet"/>
      <w:lvlText w:val=""/>
      <w:lvlJc w:val="left"/>
      <w:pPr>
        <w:tabs>
          <w:tab w:val="num" w:pos="2160"/>
        </w:tabs>
        <w:ind w:left="2160" w:hanging="360"/>
      </w:pPr>
      <w:rPr>
        <w:rFonts w:ascii="Wingdings" w:hAnsi="Wingdings" w:hint="default"/>
      </w:rPr>
    </w:lvl>
    <w:lvl w:ilvl="3" w:tplc="38185E40" w:tentative="1">
      <w:start w:val="1"/>
      <w:numFmt w:val="bullet"/>
      <w:lvlText w:val=""/>
      <w:lvlJc w:val="left"/>
      <w:pPr>
        <w:tabs>
          <w:tab w:val="num" w:pos="2880"/>
        </w:tabs>
        <w:ind w:left="2880" w:hanging="360"/>
      </w:pPr>
      <w:rPr>
        <w:rFonts w:ascii="Symbol" w:hAnsi="Symbol" w:hint="default"/>
      </w:rPr>
    </w:lvl>
    <w:lvl w:ilvl="4" w:tplc="3D58DCAA" w:tentative="1">
      <w:start w:val="1"/>
      <w:numFmt w:val="bullet"/>
      <w:lvlText w:val="o"/>
      <w:lvlJc w:val="left"/>
      <w:pPr>
        <w:tabs>
          <w:tab w:val="num" w:pos="3600"/>
        </w:tabs>
        <w:ind w:left="3600" w:hanging="360"/>
      </w:pPr>
      <w:rPr>
        <w:rFonts w:ascii="Courier New" w:hAnsi="Courier New" w:hint="default"/>
      </w:rPr>
    </w:lvl>
    <w:lvl w:ilvl="5" w:tplc="15E20466" w:tentative="1">
      <w:start w:val="1"/>
      <w:numFmt w:val="bullet"/>
      <w:lvlText w:val=""/>
      <w:lvlJc w:val="left"/>
      <w:pPr>
        <w:tabs>
          <w:tab w:val="num" w:pos="4320"/>
        </w:tabs>
        <w:ind w:left="4320" w:hanging="360"/>
      </w:pPr>
      <w:rPr>
        <w:rFonts w:ascii="Wingdings" w:hAnsi="Wingdings" w:hint="default"/>
      </w:rPr>
    </w:lvl>
    <w:lvl w:ilvl="6" w:tplc="37148A26" w:tentative="1">
      <w:start w:val="1"/>
      <w:numFmt w:val="bullet"/>
      <w:lvlText w:val=""/>
      <w:lvlJc w:val="left"/>
      <w:pPr>
        <w:tabs>
          <w:tab w:val="num" w:pos="5040"/>
        </w:tabs>
        <w:ind w:left="5040" w:hanging="360"/>
      </w:pPr>
      <w:rPr>
        <w:rFonts w:ascii="Symbol" w:hAnsi="Symbol" w:hint="default"/>
      </w:rPr>
    </w:lvl>
    <w:lvl w:ilvl="7" w:tplc="5016F0E4" w:tentative="1">
      <w:start w:val="1"/>
      <w:numFmt w:val="bullet"/>
      <w:lvlText w:val="o"/>
      <w:lvlJc w:val="left"/>
      <w:pPr>
        <w:tabs>
          <w:tab w:val="num" w:pos="5760"/>
        </w:tabs>
        <w:ind w:left="5760" w:hanging="360"/>
      </w:pPr>
      <w:rPr>
        <w:rFonts w:ascii="Courier New" w:hAnsi="Courier New" w:hint="default"/>
      </w:rPr>
    </w:lvl>
    <w:lvl w:ilvl="8" w:tplc="F998CB02"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744C13C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4D8E9B6" w:tentative="1">
      <w:start w:val="1"/>
      <w:numFmt w:val="bullet"/>
      <w:lvlText w:val="o"/>
      <w:lvlJc w:val="left"/>
      <w:pPr>
        <w:tabs>
          <w:tab w:val="num" w:pos="1440"/>
        </w:tabs>
        <w:ind w:left="1440" w:hanging="360"/>
      </w:pPr>
      <w:rPr>
        <w:rFonts w:ascii="Courier New" w:hAnsi="Courier New" w:hint="default"/>
      </w:rPr>
    </w:lvl>
    <w:lvl w:ilvl="2" w:tplc="9AE24B66" w:tentative="1">
      <w:start w:val="1"/>
      <w:numFmt w:val="bullet"/>
      <w:lvlText w:val=""/>
      <w:lvlJc w:val="left"/>
      <w:pPr>
        <w:tabs>
          <w:tab w:val="num" w:pos="2160"/>
        </w:tabs>
        <w:ind w:left="2160" w:hanging="360"/>
      </w:pPr>
      <w:rPr>
        <w:rFonts w:ascii="Wingdings" w:hAnsi="Wingdings" w:hint="default"/>
      </w:rPr>
    </w:lvl>
    <w:lvl w:ilvl="3" w:tplc="EE98DD62" w:tentative="1">
      <w:start w:val="1"/>
      <w:numFmt w:val="bullet"/>
      <w:lvlText w:val=""/>
      <w:lvlJc w:val="left"/>
      <w:pPr>
        <w:tabs>
          <w:tab w:val="num" w:pos="2880"/>
        </w:tabs>
        <w:ind w:left="2880" w:hanging="360"/>
      </w:pPr>
      <w:rPr>
        <w:rFonts w:ascii="Symbol" w:hAnsi="Symbol" w:hint="default"/>
      </w:rPr>
    </w:lvl>
    <w:lvl w:ilvl="4" w:tplc="AFA610F8" w:tentative="1">
      <w:start w:val="1"/>
      <w:numFmt w:val="bullet"/>
      <w:lvlText w:val="o"/>
      <w:lvlJc w:val="left"/>
      <w:pPr>
        <w:tabs>
          <w:tab w:val="num" w:pos="3600"/>
        </w:tabs>
        <w:ind w:left="3600" w:hanging="360"/>
      </w:pPr>
      <w:rPr>
        <w:rFonts w:ascii="Courier New" w:hAnsi="Courier New" w:hint="default"/>
      </w:rPr>
    </w:lvl>
    <w:lvl w:ilvl="5" w:tplc="7B6EA44C" w:tentative="1">
      <w:start w:val="1"/>
      <w:numFmt w:val="bullet"/>
      <w:lvlText w:val=""/>
      <w:lvlJc w:val="left"/>
      <w:pPr>
        <w:tabs>
          <w:tab w:val="num" w:pos="4320"/>
        </w:tabs>
        <w:ind w:left="4320" w:hanging="360"/>
      </w:pPr>
      <w:rPr>
        <w:rFonts w:ascii="Wingdings" w:hAnsi="Wingdings" w:hint="default"/>
      </w:rPr>
    </w:lvl>
    <w:lvl w:ilvl="6" w:tplc="8532638E" w:tentative="1">
      <w:start w:val="1"/>
      <w:numFmt w:val="bullet"/>
      <w:lvlText w:val=""/>
      <w:lvlJc w:val="left"/>
      <w:pPr>
        <w:tabs>
          <w:tab w:val="num" w:pos="5040"/>
        </w:tabs>
        <w:ind w:left="5040" w:hanging="360"/>
      </w:pPr>
      <w:rPr>
        <w:rFonts w:ascii="Symbol" w:hAnsi="Symbol" w:hint="default"/>
      </w:rPr>
    </w:lvl>
    <w:lvl w:ilvl="7" w:tplc="BB5A0098" w:tentative="1">
      <w:start w:val="1"/>
      <w:numFmt w:val="bullet"/>
      <w:lvlText w:val="o"/>
      <w:lvlJc w:val="left"/>
      <w:pPr>
        <w:tabs>
          <w:tab w:val="num" w:pos="5760"/>
        </w:tabs>
        <w:ind w:left="5760" w:hanging="360"/>
      </w:pPr>
      <w:rPr>
        <w:rFonts w:ascii="Courier New" w:hAnsi="Courier New" w:hint="default"/>
      </w:rPr>
    </w:lvl>
    <w:lvl w:ilvl="8" w:tplc="352432DC"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CB6C816A"/>
    <w:lvl w:ilvl="0" w:tplc="43A20EC2">
      <w:start w:val="1"/>
      <w:numFmt w:val="bullet"/>
      <w:pStyle w:val="Bullet2G"/>
      <w:lvlText w:val="•"/>
      <w:lvlJc w:val="left"/>
      <w:pPr>
        <w:tabs>
          <w:tab w:val="num" w:pos="2268"/>
        </w:tabs>
        <w:ind w:left="2268" w:hanging="170"/>
      </w:pPr>
      <w:rPr>
        <w:rFonts w:ascii="Times New Roman" w:hAnsi="Times New Roman" w:cs="Times New Roman" w:hint="default"/>
      </w:rPr>
    </w:lvl>
    <w:lvl w:ilvl="1" w:tplc="8D465F44" w:tentative="1">
      <w:start w:val="1"/>
      <w:numFmt w:val="bullet"/>
      <w:lvlText w:val="o"/>
      <w:lvlJc w:val="left"/>
      <w:pPr>
        <w:tabs>
          <w:tab w:val="num" w:pos="3708"/>
        </w:tabs>
        <w:ind w:left="3708" w:hanging="360"/>
      </w:pPr>
      <w:rPr>
        <w:rFonts w:ascii="Courier New" w:hAnsi="Courier New" w:hint="default"/>
      </w:rPr>
    </w:lvl>
    <w:lvl w:ilvl="2" w:tplc="2D880D0E" w:tentative="1">
      <w:start w:val="1"/>
      <w:numFmt w:val="bullet"/>
      <w:lvlText w:val=""/>
      <w:lvlJc w:val="left"/>
      <w:pPr>
        <w:tabs>
          <w:tab w:val="num" w:pos="4428"/>
        </w:tabs>
        <w:ind w:left="4428" w:hanging="360"/>
      </w:pPr>
      <w:rPr>
        <w:rFonts w:ascii="Wingdings" w:hAnsi="Wingdings" w:hint="default"/>
      </w:rPr>
    </w:lvl>
    <w:lvl w:ilvl="3" w:tplc="16F05132" w:tentative="1">
      <w:start w:val="1"/>
      <w:numFmt w:val="bullet"/>
      <w:lvlText w:val=""/>
      <w:lvlJc w:val="left"/>
      <w:pPr>
        <w:tabs>
          <w:tab w:val="num" w:pos="5148"/>
        </w:tabs>
        <w:ind w:left="5148" w:hanging="360"/>
      </w:pPr>
      <w:rPr>
        <w:rFonts w:ascii="Symbol" w:hAnsi="Symbol" w:hint="default"/>
      </w:rPr>
    </w:lvl>
    <w:lvl w:ilvl="4" w:tplc="576C2F8A" w:tentative="1">
      <w:start w:val="1"/>
      <w:numFmt w:val="bullet"/>
      <w:lvlText w:val="o"/>
      <w:lvlJc w:val="left"/>
      <w:pPr>
        <w:tabs>
          <w:tab w:val="num" w:pos="5868"/>
        </w:tabs>
        <w:ind w:left="5868" w:hanging="360"/>
      </w:pPr>
      <w:rPr>
        <w:rFonts w:ascii="Courier New" w:hAnsi="Courier New" w:hint="default"/>
      </w:rPr>
    </w:lvl>
    <w:lvl w:ilvl="5" w:tplc="1048D6D4" w:tentative="1">
      <w:start w:val="1"/>
      <w:numFmt w:val="bullet"/>
      <w:lvlText w:val=""/>
      <w:lvlJc w:val="left"/>
      <w:pPr>
        <w:tabs>
          <w:tab w:val="num" w:pos="6588"/>
        </w:tabs>
        <w:ind w:left="6588" w:hanging="360"/>
      </w:pPr>
      <w:rPr>
        <w:rFonts w:ascii="Wingdings" w:hAnsi="Wingdings" w:hint="default"/>
      </w:rPr>
    </w:lvl>
    <w:lvl w:ilvl="6" w:tplc="099867F0" w:tentative="1">
      <w:start w:val="1"/>
      <w:numFmt w:val="bullet"/>
      <w:lvlText w:val=""/>
      <w:lvlJc w:val="left"/>
      <w:pPr>
        <w:tabs>
          <w:tab w:val="num" w:pos="7308"/>
        </w:tabs>
        <w:ind w:left="7308" w:hanging="360"/>
      </w:pPr>
      <w:rPr>
        <w:rFonts w:ascii="Symbol" w:hAnsi="Symbol" w:hint="default"/>
      </w:rPr>
    </w:lvl>
    <w:lvl w:ilvl="7" w:tplc="F190EC04" w:tentative="1">
      <w:start w:val="1"/>
      <w:numFmt w:val="bullet"/>
      <w:lvlText w:val="o"/>
      <w:lvlJc w:val="left"/>
      <w:pPr>
        <w:tabs>
          <w:tab w:val="num" w:pos="8028"/>
        </w:tabs>
        <w:ind w:left="8028" w:hanging="360"/>
      </w:pPr>
      <w:rPr>
        <w:rFonts w:ascii="Courier New" w:hAnsi="Courier New" w:hint="default"/>
      </w:rPr>
    </w:lvl>
    <w:lvl w:ilvl="8" w:tplc="D428B14C" w:tentative="1">
      <w:start w:val="1"/>
      <w:numFmt w:val="bullet"/>
      <w:lvlText w:val=""/>
      <w:lvlJc w:val="left"/>
      <w:pPr>
        <w:tabs>
          <w:tab w:val="num" w:pos="8748"/>
        </w:tabs>
        <w:ind w:left="8748" w:hanging="360"/>
      </w:pPr>
      <w:rPr>
        <w:rFonts w:ascii="Wingdings" w:hAnsi="Wingdings" w:hint="default"/>
      </w:rPr>
    </w:lvl>
  </w:abstractNum>
  <w:abstractNum w:abstractNumId="16">
    <w:nsid w:val="48797DA2"/>
    <w:multiLevelType w:val="hybridMultilevel"/>
    <w:tmpl w:val="F130799E"/>
    <w:lvl w:ilvl="0" w:tplc="EB8AB3B6">
      <w:start w:val="1"/>
      <w:numFmt w:val="lowerLetter"/>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7E01CC"/>
    <w:multiLevelType w:val="hybridMultilevel"/>
    <w:tmpl w:val="C23ADACC"/>
    <w:lvl w:ilvl="0" w:tplc="D4B0001E">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D87EDD"/>
    <w:multiLevelType w:val="hybridMultilevel"/>
    <w:tmpl w:val="00262A38"/>
    <w:lvl w:ilvl="0" w:tplc="06ECF8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AD07B2"/>
    <w:multiLevelType w:val="hybridMultilevel"/>
    <w:tmpl w:val="7FEE3222"/>
    <w:lvl w:ilvl="0" w:tplc="5B5C729C">
      <w:start w:val="1"/>
      <w:numFmt w:val="bullet"/>
      <w:pStyle w:val="Bullet1G"/>
      <w:lvlText w:val="•"/>
      <w:lvlJc w:val="left"/>
      <w:pPr>
        <w:tabs>
          <w:tab w:val="num" w:pos="1701"/>
        </w:tabs>
        <w:ind w:left="1701" w:hanging="170"/>
      </w:pPr>
      <w:rPr>
        <w:rFonts w:ascii="Times New Roman" w:hAnsi="Times New Roman" w:cs="Times New Roman" w:hint="default"/>
      </w:rPr>
    </w:lvl>
    <w:lvl w:ilvl="1" w:tplc="387420E6" w:tentative="1">
      <w:start w:val="1"/>
      <w:numFmt w:val="bullet"/>
      <w:lvlText w:val="o"/>
      <w:lvlJc w:val="left"/>
      <w:pPr>
        <w:tabs>
          <w:tab w:val="num" w:pos="3141"/>
        </w:tabs>
        <w:ind w:left="3141" w:hanging="360"/>
      </w:pPr>
      <w:rPr>
        <w:rFonts w:ascii="Courier New" w:hAnsi="Courier New" w:hint="default"/>
      </w:rPr>
    </w:lvl>
    <w:lvl w:ilvl="2" w:tplc="986CF804" w:tentative="1">
      <w:start w:val="1"/>
      <w:numFmt w:val="bullet"/>
      <w:lvlText w:val=""/>
      <w:lvlJc w:val="left"/>
      <w:pPr>
        <w:tabs>
          <w:tab w:val="num" w:pos="3861"/>
        </w:tabs>
        <w:ind w:left="3861" w:hanging="360"/>
      </w:pPr>
      <w:rPr>
        <w:rFonts w:ascii="Wingdings" w:hAnsi="Wingdings" w:hint="default"/>
      </w:rPr>
    </w:lvl>
    <w:lvl w:ilvl="3" w:tplc="41860B2C" w:tentative="1">
      <w:start w:val="1"/>
      <w:numFmt w:val="bullet"/>
      <w:lvlText w:val=""/>
      <w:lvlJc w:val="left"/>
      <w:pPr>
        <w:tabs>
          <w:tab w:val="num" w:pos="4581"/>
        </w:tabs>
        <w:ind w:left="4581" w:hanging="360"/>
      </w:pPr>
      <w:rPr>
        <w:rFonts w:ascii="Symbol" w:hAnsi="Symbol" w:hint="default"/>
      </w:rPr>
    </w:lvl>
    <w:lvl w:ilvl="4" w:tplc="EA402B40" w:tentative="1">
      <w:start w:val="1"/>
      <w:numFmt w:val="bullet"/>
      <w:lvlText w:val="o"/>
      <w:lvlJc w:val="left"/>
      <w:pPr>
        <w:tabs>
          <w:tab w:val="num" w:pos="5301"/>
        </w:tabs>
        <w:ind w:left="5301" w:hanging="360"/>
      </w:pPr>
      <w:rPr>
        <w:rFonts w:ascii="Courier New" w:hAnsi="Courier New" w:hint="default"/>
      </w:rPr>
    </w:lvl>
    <w:lvl w:ilvl="5" w:tplc="BB5C7128" w:tentative="1">
      <w:start w:val="1"/>
      <w:numFmt w:val="bullet"/>
      <w:lvlText w:val=""/>
      <w:lvlJc w:val="left"/>
      <w:pPr>
        <w:tabs>
          <w:tab w:val="num" w:pos="6021"/>
        </w:tabs>
        <w:ind w:left="6021" w:hanging="360"/>
      </w:pPr>
      <w:rPr>
        <w:rFonts w:ascii="Wingdings" w:hAnsi="Wingdings" w:hint="default"/>
      </w:rPr>
    </w:lvl>
    <w:lvl w:ilvl="6" w:tplc="893EB966" w:tentative="1">
      <w:start w:val="1"/>
      <w:numFmt w:val="bullet"/>
      <w:lvlText w:val=""/>
      <w:lvlJc w:val="left"/>
      <w:pPr>
        <w:tabs>
          <w:tab w:val="num" w:pos="6741"/>
        </w:tabs>
        <w:ind w:left="6741" w:hanging="360"/>
      </w:pPr>
      <w:rPr>
        <w:rFonts w:ascii="Symbol" w:hAnsi="Symbol" w:hint="default"/>
      </w:rPr>
    </w:lvl>
    <w:lvl w:ilvl="7" w:tplc="29F063E4" w:tentative="1">
      <w:start w:val="1"/>
      <w:numFmt w:val="bullet"/>
      <w:lvlText w:val="o"/>
      <w:lvlJc w:val="left"/>
      <w:pPr>
        <w:tabs>
          <w:tab w:val="num" w:pos="7461"/>
        </w:tabs>
        <w:ind w:left="7461" w:hanging="360"/>
      </w:pPr>
      <w:rPr>
        <w:rFonts w:ascii="Courier New" w:hAnsi="Courier New" w:hint="default"/>
      </w:rPr>
    </w:lvl>
    <w:lvl w:ilvl="8" w:tplc="7848F74C" w:tentative="1">
      <w:start w:val="1"/>
      <w:numFmt w:val="bullet"/>
      <w:lvlText w:val=""/>
      <w:lvlJc w:val="left"/>
      <w:pPr>
        <w:tabs>
          <w:tab w:val="num" w:pos="8181"/>
        </w:tabs>
        <w:ind w:left="8181" w:hanging="360"/>
      </w:pPr>
      <w:rPr>
        <w:rFonts w:ascii="Wingdings" w:hAnsi="Wingdings" w:hint="default"/>
      </w:rPr>
    </w:lvl>
  </w:abstractNum>
  <w:abstractNum w:abstractNumId="23">
    <w:nsid w:val="695369DE"/>
    <w:multiLevelType w:val="hybridMultilevel"/>
    <w:tmpl w:val="D034D9A2"/>
    <w:lvl w:ilvl="0" w:tplc="C19AA198">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4">
    <w:nsid w:val="6C140996"/>
    <w:multiLevelType w:val="hybridMultilevel"/>
    <w:tmpl w:val="DDE89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D14F69"/>
    <w:multiLevelType w:val="hybridMultilevel"/>
    <w:tmpl w:val="43904330"/>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8"/>
  </w:num>
  <w:num w:numId="18">
    <w:abstractNumId w:val="21"/>
  </w:num>
  <w:num w:numId="19">
    <w:abstractNumId w:val="17"/>
  </w:num>
  <w:num w:numId="20">
    <w:abstractNumId w:val="26"/>
  </w:num>
  <w:num w:numId="21">
    <w:abstractNumId w:val="22"/>
  </w:num>
  <w:num w:numId="22">
    <w:abstractNumId w:val="15"/>
  </w:num>
  <w:num w:numId="23">
    <w:abstractNumId w:val="11"/>
  </w:num>
  <w:num w:numId="24">
    <w:abstractNumId w:val="24"/>
  </w:num>
  <w:num w:numId="25">
    <w:abstractNumId w:val="20"/>
  </w:num>
  <w:num w:numId="26">
    <w:abstractNumId w:val="19"/>
  </w:num>
  <w:num w:numId="27">
    <w:abstractNumId w:val="25"/>
  </w:num>
  <w:num w:numId="28">
    <w:abstractNumId w:val="12"/>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es-419"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s-419"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D8E"/>
    <w:rsid w:val="0002131B"/>
    <w:rsid w:val="00027930"/>
    <w:rsid w:val="00030659"/>
    <w:rsid w:val="000341D8"/>
    <w:rsid w:val="000347A5"/>
    <w:rsid w:val="00036B25"/>
    <w:rsid w:val="0004234D"/>
    <w:rsid w:val="00043F79"/>
    <w:rsid w:val="000511AB"/>
    <w:rsid w:val="000553F2"/>
    <w:rsid w:val="00061DD5"/>
    <w:rsid w:val="00070D55"/>
    <w:rsid w:val="00071790"/>
    <w:rsid w:val="00080508"/>
    <w:rsid w:val="00081F36"/>
    <w:rsid w:val="000852AE"/>
    <w:rsid w:val="00085771"/>
    <w:rsid w:val="000A38D7"/>
    <w:rsid w:val="000A3B65"/>
    <w:rsid w:val="000A577B"/>
    <w:rsid w:val="000A706A"/>
    <w:rsid w:val="000B05A3"/>
    <w:rsid w:val="000B06BE"/>
    <w:rsid w:val="000B4EFC"/>
    <w:rsid w:val="000B4F77"/>
    <w:rsid w:val="000B7D4C"/>
    <w:rsid w:val="000C247A"/>
    <w:rsid w:val="000C2F5E"/>
    <w:rsid w:val="000D52A0"/>
    <w:rsid w:val="000E0C82"/>
    <w:rsid w:val="000E5A50"/>
    <w:rsid w:val="000E75C3"/>
    <w:rsid w:val="000F7E94"/>
    <w:rsid w:val="00103A20"/>
    <w:rsid w:val="00112E4C"/>
    <w:rsid w:val="00113EAE"/>
    <w:rsid w:val="0012305B"/>
    <w:rsid w:val="00123CDF"/>
    <w:rsid w:val="0013086A"/>
    <w:rsid w:val="00131CEE"/>
    <w:rsid w:val="001362E8"/>
    <w:rsid w:val="00140281"/>
    <w:rsid w:val="00143EF0"/>
    <w:rsid w:val="001511CD"/>
    <w:rsid w:val="0016198B"/>
    <w:rsid w:val="00175E10"/>
    <w:rsid w:val="00176149"/>
    <w:rsid w:val="00182C9A"/>
    <w:rsid w:val="001971D9"/>
    <w:rsid w:val="001B12F7"/>
    <w:rsid w:val="001B3657"/>
    <w:rsid w:val="001B7495"/>
    <w:rsid w:val="001D03F7"/>
    <w:rsid w:val="001E0F78"/>
    <w:rsid w:val="001F01B5"/>
    <w:rsid w:val="00200280"/>
    <w:rsid w:val="00235466"/>
    <w:rsid w:val="002414F5"/>
    <w:rsid w:val="002453B8"/>
    <w:rsid w:val="002468A8"/>
    <w:rsid w:val="0025751C"/>
    <w:rsid w:val="00281674"/>
    <w:rsid w:val="002822B3"/>
    <w:rsid w:val="0029429D"/>
    <w:rsid w:val="002A61A0"/>
    <w:rsid w:val="002B469B"/>
    <w:rsid w:val="002C1519"/>
    <w:rsid w:val="002C4DE2"/>
    <w:rsid w:val="002C63C8"/>
    <w:rsid w:val="002C7A87"/>
    <w:rsid w:val="002D0531"/>
    <w:rsid w:val="002E27BE"/>
    <w:rsid w:val="002E44CD"/>
    <w:rsid w:val="002E6691"/>
    <w:rsid w:val="002F0B88"/>
    <w:rsid w:val="00302B6B"/>
    <w:rsid w:val="00320DB0"/>
    <w:rsid w:val="003309C9"/>
    <w:rsid w:val="003339C2"/>
    <w:rsid w:val="00334B3D"/>
    <w:rsid w:val="00365669"/>
    <w:rsid w:val="00366305"/>
    <w:rsid w:val="00380A13"/>
    <w:rsid w:val="0038107B"/>
    <w:rsid w:val="0038166E"/>
    <w:rsid w:val="0038262D"/>
    <w:rsid w:val="00387F60"/>
    <w:rsid w:val="00394F5E"/>
    <w:rsid w:val="003959FF"/>
    <w:rsid w:val="00396153"/>
    <w:rsid w:val="003A3F57"/>
    <w:rsid w:val="003B15B5"/>
    <w:rsid w:val="003B68A9"/>
    <w:rsid w:val="003B6CA4"/>
    <w:rsid w:val="003C2539"/>
    <w:rsid w:val="003D51D3"/>
    <w:rsid w:val="003D6AE2"/>
    <w:rsid w:val="00401CD8"/>
    <w:rsid w:val="004206E3"/>
    <w:rsid w:val="00421D2C"/>
    <w:rsid w:val="00431A37"/>
    <w:rsid w:val="00442928"/>
    <w:rsid w:val="00471A82"/>
    <w:rsid w:val="004D5DF6"/>
    <w:rsid w:val="004E031A"/>
    <w:rsid w:val="004E5254"/>
    <w:rsid w:val="00500D4D"/>
    <w:rsid w:val="005018B1"/>
    <w:rsid w:val="00504863"/>
    <w:rsid w:val="00536E28"/>
    <w:rsid w:val="00546EFF"/>
    <w:rsid w:val="005543A3"/>
    <w:rsid w:val="00555FE2"/>
    <w:rsid w:val="0056549F"/>
    <w:rsid w:val="00570C43"/>
    <w:rsid w:val="005717C4"/>
    <w:rsid w:val="00577392"/>
    <w:rsid w:val="0059350D"/>
    <w:rsid w:val="005A4D88"/>
    <w:rsid w:val="005B4EE3"/>
    <w:rsid w:val="005D1102"/>
    <w:rsid w:val="005D56C9"/>
    <w:rsid w:val="005D716C"/>
    <w:rsid w:val="005E425B"/>
    <w:rsid w:val="005E46FD"/>
    <w:rsid w:val="005E75B0"/>
    <w:rsid w:val="005F4DFB"/>
    <w:rsid w:val="005F7962"/>
    <w:rsid w:val="00606DDD"/>
    <w:rsid w:val="00623031"/>
    <w:rsid w:val="00631ABE"/>
    <w:rsid w:val="00646DCC"/>
    <w:rsid w:val="006470B4"/>
    <w:rsid w:val="00647F11"/>
    <w:rsid w:val="00650E61"/>
    <w:rsid w:val="00651E0D"/>
    <w:rsid w:val="00652139"/>
    <w:rsid w:val="0065579B"/>
    <w:rsid w:val="006628B2"/>
    <w:rsid w:val="0066310E"/>
    <w:rsid w:val="006678BA"/>
    <w:rsid w:val="0067128F"/>
    <w:rsid w:val="006726EF"/>
    <w:rsid w:val="00686A81"/>
    <w:rsid w:val="00693C28"/>
    <w:rsid w:val="006A4374"/>
    <w:rsid w:val="006B2A21"/>
    <w:rsid w:val="006B2E63"/>
    <w:rsid w:val="006B7BA3"/>
    <w:rsid w:val="006C0395"/>
    <w:rsid w:val="006C094A"/>
    <w:rsid w:val="006C28C7"/>
    <w:rsid w:val="006C6F8B"/>
    <w:rsid w:val="006D3E4E"/>
    <w:rsid w:val="006E2A28"/>
    <w:rsid w:val="006F0443"/>
    <w:rsid w:val="006F488A"/>
    <w:rsid w:val="00706776"/>
    <w:rsid w:val="007232B8"/>
    <w:rsid w:val="00727805"/>
    <w:rsid w:val="00752A72"/>
    <w:rsid w:val="007573C1"/>
    <w:rsid w:val="007778C5"/>
    <w:rsid w:val="007A28CE"/>
    <w:rsid w:val="007A6727"/>
    <w:rsid w:val="007B4D81"/>
    <w:rsid w:val="007C0313"/>
    <w:rsid w:val="007C38A3"/>
    <w:rsid w:val="007C4219"/>
    <w:rsid w:val="007D3924"/>
    <w:rsid w:val="007D7549"/>
    <w:rsid w:val="007E01C7"/>
    <w:rsid w:val="007E5C44"/>
    <w:rsid w:val="007F3B1A"/>
    <w:rsid w:val="007F6F8C"/>
    <w:rsid w:val="00801A25"/>
    <w:rsid w:val="008048AE"/>
    <w:rsid w:val="00811161"/>
    <w:rsid w:val="008145A8"/>
    <w:rsid w:val="0081500B"/>
    <w:rsid w:val="00822CCC"/>
    <w:rsid w:val="00830343"/>
    <w:rsid w:val="008321A2"/>
    <w:rsid w:val="008429A5"/>
    <w:rsid w:val="00843517"/>
    <w:rsid w:val="0084562F"/>
    <w:rsid w:val="008528DB"/>
    <w:rsid w:val="008577DE"/>
    <w:rsid w:val="008611ED"/>
    <w:rsid w:val="008720E0"/>
    <w:rsid w:val="008742EB"/>
    <w:rsid w:val="00880550"/>
    <w:rsid w:val="00883A56"/>
    <w:rsid w:val="00886F4E"/>
    <w:rsid w:val="008A37B4"/>
    <w:rsid w:val="008B11DD"/>
    <w:rsid w:val="008B3F05"/>
    <w:rsid w:val="008B7FB2"/>
    <w:rsid w:val="008C19ED"/>
    <w:rsid w:val="008E1F9E"/>
    <w:rsid w:val="008F1704"/>
    <w:rsid w:val="009040D2"/>
    <w:rsid w:val="0090553A"/>
    <w:rsid w:val="00906398"/>
    <w:rsid w:val="00915397"/>
    <w:rsid w:val="009218CA"/>
    <w:rsid w:val="00926A0A"/>
    <w:rsid w:val="009348D9"/>
    <w:rsid w:val="00937224"/>
    <w:rsid w:val="009529A6"/>
    <w:rsid w:val="009554D1"/>
    <w:rsid w:val="00966492"/>
    <w:rsid w:val="009742DD"/>
    <w:rsid w:val="0098268E"/>
    <w:rsid w:val="00994AF0"/>
    <w:rsid w:val="009A23E8"/>
    <w:rsid w:val="009A3BB0"/>
    <w:rsid w:val="009A5AD5"/>
    <w:rsid w:val="009B1AC5"/>
    <w:rsid w:val="009B2AA1"/>
    <w:rsid w:val="009D02A0"/>
    <w:rsid w:val="009D27C8"/>
    <w:rsid w:val="009E0C20"/>
    <w:rsid w:val="009F2709"/>
    <w:rsid w:val="00A02FB0"/>
    <w:rsid w:val="00A03E72"/>
    <w:rsid w:val="00A243E9"/>
    <w:rsid w:val="00A32622"/>
    <w:rsid w:val="00A37999"/>
    <w:rsid w:val="00A403B8"/>
    <w:rsid w:val="00A44D91"/>
    <w:rsid w:val="00A45B2E"/>
    <w:rsid w:val="00A51395"/>
    <w:rsid w:val="00A773C5"/>
    <w:rsid w:val="00A82319"/>
    <w:rsid w:val="00A86B30"/>
    <w:rsid w:val="00A921F7"/>
    <w:rsid w:val="00A97B4D"/>
    <w:rsid w:val="00AB2C87"/>
    <w:rsid w:val="00AC263F"/>
    <w:rsid w:val="00AD1D37"/>
    <w:rsid w:val="00AD5A61"/>
    <w:rsid w:val="00AF362C"/>
    <w:rsid w:val="00B04B9F"/>
    <w:rsid w:val="00B07F11"/>
    <w:rsid w:val="00B21DD1"/>
    <w:rsid w:val="00B221E0"/>
    <w:rsid w:val="00B3504C"/>
    <w:rsid w:val="00B63F6A"/>
    <w:rsid w:val="00B64226"/>
    <w:rsid w:val="00B6468C"/>
    <w:rsid w:val="00B73779"/>
    <w:rsid w:val="00B81137"/>
    <w:rsid w:val="00B8787C"/>
    <w:rsid w:val="00B97669"/>
    <w:rsid w:val="00BA20FD"/>
    <w:rsid w:val="00BA3834"/>
    <w:rsid w:val="00BA4A67"/>
    <w:rsid w:val="00BB09F7"/>
    <w:rsid w:val="00BB253B"/>
    <w:rsid w:val="00BB65E1"/>
    <w:rsid w:val="00BC2012"/>
    <w:rsid w:val="00BC6BB1"/>
    <w:rsid w:val="00BE6C50"/>
    <w:rsid w:val="00BE713C"/>
    <w:rsid w:val="00BF2453"/>
    <w:rsid w:val="00C06BBC"/>
    <w:rsid w:val="00C17EA0"/>
    <w:rsid w:val="00C315AC"/>
    <w:rsid w:val="00C32455"/>
    <w:rsid w:val="00C43A3B"/>
    <w:rsid w:val="00C44AC7"/>
    <w:rsid w:val="00C46FEC"/>
    <w:rsid w:val="00C564DF"/>
    <w:rsid w:val="00C65E35"/>
    <w:rsid w:val="00C868A5"/>
    <w:rsid w:val="00C86EE2"/>
    <w:rsid w:val="00C923E3"/>
    <w:rsid w:val="00C94043"/>
    <w:rsid w:val="00C941DC"/>
    <w:rsid w:val="00CA10F9"/>
    <w:rsid w:val="00CA584A"/>
    <w:rsid w:val="00CB1237"/>
    <w:rsid w:val="00CB4838"/>
    <w:rsid w:val="00CC5AC5"/>
    <w:rsid w:val="00CD6671"/>
    <w:rsid w:val="00CD7E52"/>
    <w:rsid w:val="00CF1616"/>
    <w:rsid w:val="00CF69D9"/>
    <w:rsid w:val="00D04ED1"/>
    <w:rsid w:val="00D11A20"/>
    <w:rsid w:val="00D2510E"/>
    <w:rsid w:val="00D30E8A"/>
    <w:rsid w:val="00D315EF"/>
    <w:rsid w:val="00D34657"/>
    <w:rsid w:val="00D40AEE"/>
    <w:rsid w:val="00D42F2F"/>
    <w:rsid w:val="00D4382C"/>
    <w:rsid w:val="00D55C05"/>
    <w:rsid w:val="00D61183"/>
    <w:rsid w:val="00D67878"/>
    <w:rsid w:val="00D75FF1"/>
    <w:rsid w:val="00D768D9"/>
    <w:rsid w:val="00D82714"/>
    <w:rsid w:val="00D84357"/>
    <w:rsid w:val="00D9518F"/>
    <w:rsid w:val="00DB17D5"/>
    <w:rsid w:val="00DB1A11"/>
    <w:rsid w:val="00DB2098"/>
    <w:rsid w:val="00DB64CD"/>
    <w:rsid w:val="00DC24E9"/>
    <w:rsid w:val="00DC46C2"/>
    <w:rsid w:val="00DD4033"/>
    <w:rsid w:val="00E12281"/>
    <w:rsid w:val="00E1242F"/>
    <w:rsid w:val="00E1364B"/>
    <w:rsid w:val="00E1624F"/>
    <w:rsid w:val="00E16BA8"/>
    <w:rsid w:val="00E32A12"/>
    <w:rsid w:val="00E4482C"/>
    <w:rsid w:val="00E54907"/>
    <w:rsid w:val="00E72A2B"/>
    <w:rsid w:val="00E7562E"/>
    <w:rsid w:val="00E84842"/>
    <w:rsid w:val="00EB0A9C"/>
    <w:rsid w:val="00EB4DCD"/>
    <w:rsid w:val="00ED0F50"/>
    <w:rsid w:val="00ED1574"/>
    <w:rsid w:val="00ED5494"/>
    <w:rsid w:val="00ED6154"/>
    <w:rsid w:val="00EE27DE"/>
    <w:rsid w:val="00EE6628"/>
    <w:rsid w:val="00EF300F"/>
    <w:rsid w:val="00EF3912"/>
    <w:rsid w:val="00EF682F"/>
    <w:rsid w:val="00F00084"/>
    <w:rsid w:val="00F05232"/>
    <w:rsid w:val="00F0713D"/>
    <w:rsid w:val="00F0770A"/>
    <w:rsid w:val="00F13813"/>
    <w:rsid w:val="00F262A2"/>
    <w:rsid w:val="00F40837"/>
    <w:rsid w:val="00F40D3F"/>
    <w:rsid w:val="00F42F33"/>
    <w:rsid w:val="00F462FB"/>
    <w:rsid w:val="00F50672"/>
    <w:rsid w:val="00F553E6"/>
    <w:rsid w:val="00F65CCD"/>
    <w:rsid w:val="00F7511A"/>
    <w:rsid w:val="00F84CBE"/>
    <w:rsid w:val="00FB0D9B"/>
    <w:rsid w:val="00FD7ECA"/>
    <w:rsid w:val="00FE60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8929"/>
  <w15:docId w15:val="{FAD6652D-43BE-48E2-8221-4A07979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49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Exposant 3 Point,-E Fußnotenzeichen,EN Footnote Reference,Fn Ref,Footnote Reference (Alt+R),Footnote Reference Number,Footnote Reference Superscript,Footnote symbol,Footnotes refss,Ref,Times 10 Point,callout,de nota al pie"/>
    <w:basedOn w:val="DefaultParagraphFont"/>
    <w:link w:val="BVIfnrCar1CarCarCarC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Footnote Text Char1 Char,Footnote Text Char2,Footnote Text Char2 Char Char,Fußnote,Fußnote Char,Schriftart: 10 pt,Schriftart: 8 pt,Schriftart: 9 pt,Text poznámky pod čiarou 007,_Poznámka pod čiarou"/>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Char,Footnote Text Char1 Char Char,Footnote Text Char2 Char,Footnote Text Char2 Char Char Char,Fußnote Char1,Fußnote Char Char,Schriftart: 10 pt Char,Schriftart: 8 pt Char,Schriftart: 9 pt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A97B4D"/>
    <w:rPr>
      <w:color w:val="605E5C"/>
      <w:shd w:val="clear" w:color="auto" w:fill="E1DFDD"/>
    </w:rPr>
  </w:style>
  <w:style w:type="paragraph" w:styleId="ListParagraph">
    <w:name w:val="List Paragraph"/>
    <w:basedOn w:val="Normal"/>
    <w:link w:val="ListParagraphChar"/>
    <w:uiPriority w:val="1"/>
    <w:qFormat/>
    <w:rsid w:val="00176149"/>
    <w:pPr>
      <w:suppressAutoHyphens w:val="0"/>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8611ED"/>
    <w:pPr>
      <w:suppressAutoHyphens w:val="0"/>
      <w:spacing w:line="240" w:lineRule="auto"/>
    </w:pPr>
    <w:rPr>
      <w:lang w:val="en-US"/>
    </w:rPr>
  </w:style>
  <w:style w:type="character" w:customStyle="1" w:styleId="CommentTextChar">
    <w:name w:val="Comment Text Char"/>
    <w:basedOn w:val="DefaultParagraphFont"/>
    <w:link w:val="CommentText"/>
    <w:uiPriority w:val="99"/>
    <w:rsid w:val="008611ED"/>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611ED"/>
    <w:rPr>
      <w:sz w:val="16"/>
      <w:szCs w:val="16"/>
    </w:rPr>
  </w:style>
  <w:style w:type="paragraph" w:styleId="CommentSubject">
    <w:name w:val="annotation subject"/>
    <w:basedOn w:val="CommentText"/>
    <w:next w:val="CommentText"/>
    <w:link w:val="CommentSubjectChar"/>
    <w:uiPriority w:val="99"/>
    <w:semiHidden/>
    <w:unhideWhenUsed/>
    <w:rsid w:val="001511CD"/>
    <w:pPr>
      <w:suppressAutoHyphens/>
    </w:pPr>
    <w:rPr>
      <w:b/>
      <w:bCs/>
      <w:lang w:val="en-GB"/>
    </w:rPr>
  </w:style>
  <w:style w:type="character" w:customStyle="1" w:styleId="CommentSubjectChar">
    <w:name w:val="Comment Subject Char"/>
    <w:basedOn w:val="CommentTextChar"/>
    <w:link w:val="CommentSubject"/>
    <w:uiPriority w:val="99"/>
    <w:semiHidden/>
    <w:rsid w:val="001511CD"/>
    <w:rPr>
      <w:rFonts w:ascii="Times New Roman" w:eastAsia="Times New Roman" w:hAnsi="Times New Roman" w:cs="Times New Roman"/>
      <w:b/>
      <w:bCs/>
      <w:sz w:val="20"/>
      <w:szCs w:val="20"/>
      <w:lang w:val="en-GB"/>
    </w:rPr>
  </w:style>
  <w:style w:type="paragraph" w:styleId="Revision">
    <w:name w:val="Revision"/>
    <w:hidden/>
    <w:uiPriority w:val="99"/>
    <w:semiHidden/>
    <w:rsid w:val="001511CD"/>
    <w:pPr>
      <w:spacing w:after="0" w:line="240" w:lineRule="auto"/>
    </w:pPr>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1"/>
    <w:rsid w:val="009A5AD5"/>
    <w:rPr>
      <w:lang w:val="en-GB"/>
    </w:rPr>
  </w:style>
  <w:style w:type="character" w:customStyle="1" w:styleId="markedcontent">
    <w:name w:val="markedcontent"/>
    <w:basedOn w:val="DefaultParagraphFont"/>
    <w:rsid w:val="009A5AD5"/>
  </w:style>
  <w:style w:type="character" w:customStyle="1" w:styleId="apple-converted-space">
    <w:name w:val="apple-converted-space"/>
    <w:basedOn w:val="DefaultParagraphFont"/>
    <w:rsid w:val="000B06BE"/>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6B7BA3"/>
    <w:pPr>
      <w:suppressAutoHyphens w:val="0"/>
      <w:spacing w:before="200"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263">
      <w:bodyDiv w:val="1"/>
      <w:marLeft w:val="0"/>
      <w:marRight w:val="0"/>
      <w:marTop w:val="0"/>
      <w:marBottom w:val="0"/>
      <w:divBdr>
        <w:top w:val="none" w:sz="0" w:space="0" w:color="auto"/>
        <w:left w:val="none" w:sz="0" w:space="0" w:color="auto"/>
        <w:bottom w:val="none" w:sz="0" w:space="0" w:color="auto"/>
        <w:right w:val="none" w:sz="0" w:space="0" w:color="auto"/>
      </w:divBdr>
    </w:div>
    <w:div w:id="496388538">
      <w:bodyDiv w:val="1"/>
      <w:marLeft w:val="0"/>
      <w:marRight w:val="0"/>
      <w:marTop w:val="0"/>
      <w:marBottom w:val="0"/>
      <w:divBdr>
        <w:top w:val="none" w:sz="0" w:space="0" w:color="auto"/>
        <w:left w:val="none" w:sz="0" w:space="0" w:color="auto"/>
        <w:bottom w:val="none" w:sz="0" w:space="0" w:color="auto"/>
        <w:right w:val="none" w:sz="0" w:space="0" w:color="auto"/>
      </w:divBdr>
    </w:div>
    <w:div w:id="1112164977">
      <w:bodyDiv w:val="1"/>
      <w:marLeft w:val="0"/>
      <w:marRight w:val="0"/>
      <w:marTop w:val="0"/>
      <w:marBottom w:val="0"/>
      <w:divBdr>
        <w:top w:val="none" w:sz="0" w:space="0" w:color="auto"/>
        <w:left w:val="none" w:sz="0" w:space="0" w:color="auto"/>
        <w:bottom w:val="none" w:sz="0" w:space="0" w:color="auto"/>
        <w:right w:val="none" w:sz="0" w:space="0" w:color="auto"/>
      </w:divBdr>
    </w:div>
    <w:div w:id="1121803730">
      <w:bodyDiv w:val="1"/>
      <w:marLeft w:val="0"/>
      <w:marRight w:val="0"/>
      <w:marTop w:val="0"/>
      <w:marBottom w:val="0"/>
      <w:divBdr>
        <w:top w:val="none" w:sz="0" w:space="0" w:color="auto"/>
        <w:left w:val="none" w:sz="0" w:space="0" w:color="auto"/>
        <w:bottom w:val="none" w:sz="0" w:space="0" w:color="auto"/>
        <w:right w:val="none" w:sz="0" w:space="0" w:color="auto"/>
      </w:divBdr>
    </w:div>
    <w:div w:id="1203715565">
      <w:bodyDiv w:val="1"/>
      <w:marLeft w:val="0"/>
      <w:marRight w:val="0"/>
      <w:marTop w:val="0"/>
      <w:marBottom w:val="0"/>
      <w:divBdr>
        <w:top w:val="none" w:sz="0" w:space="0" w:color="auto"/>
        <w:left w:val="none" w:sz="0" w:space="0" w:color="auto"/>
        <w:bottom w:val="none" w:sz="0" w:space="0" w:color="auto"/>
        <w:right w:val="none" w:sz="0" w:space="0" w:color="auto"/>
      </w:divBdr>
    </w:div>
    <w:div w:id="1404451074">
      <w:bodyDiv w:val="1"/>
      <w:marLeft w:val="0"/>
      <w:marRight w:val="0"/>
      <w:marTop w:val="0"/>
      <w:marBottom w:val="0"/>
      <w:divBdr>
        <w:top w:val="none" w:sz="0" w:space="0" w:color="auto"/>
        <w:left w:val="none" w:sz="0" w:space="0" w:color="auto"/>
        <w:bottom w:val="none" w:sz="0" w:space="0" w:color="auto"/>
        <w:right w:val="none" w:sz="0" w:space="0" w:color="auto"/>
      </w:divBdr>
    </w:div>
    <w:div w:id="1531062655">
      <w:bodyDiv w:val="1"/>
      <w:marLeft w:val="0"/>
      <w:marRight w:val="0"/>
      <w:marTop w:val="0"/>
      <w:marBottom w:val="0"/>
      <w:divBdr>
        <w:top w:val="none" w:sz="0" w:space="0" w:color="auto"/>
        <w:left w:val="none" w:sz="0" w:space="0" w:color="auto"/>
        <w:bottom w:val="none" w:sz="0" w:space="0" w:color="auto"/>
        <w:right w:val="none" w:sz="0" w:space="0" w:color="auto"/>
      </w:divBdr>
    </w:div>
    <w:div w:id="1628897558">
      <w:bodyDiv w:val="1"/>
      <w:marLeft w:val="0"/>
      <w:marRight w:val="0"/>
      <w:marTop w:val="0"/>
      <w:marBottom w:val="0"/>
      <w:divBdr>
        <w:top w:val="none" w:sz="0" w:space="0" w:color="auto"/>
        <w:left w:val="none" w:sz="0" w:space="0" w:color="auto"/>
        <w:bottom w:val="none" w:sz="0" w:space="0" w:color="auto"/>
        <w:right w:val="none" w:sz="0" w:space="0" w:color="auto"/>
      </w:divBdr>
    </w:div>
    <w:div w:id="1768691401">
      <w:bodyDiv w:val="1"/>
      <w:marLeft w:val="0"/>
      <w:marRight w:val="0"/>
      <w:marTop w:val="0"/>
      <w:marBottom w:val="0"/>
      <w:divBdr>
        <w:top w:val="none" w:sz="0" w:space="0" w:color="auto"/>
        <w:left w:val="none" w:sz="0" w:space="0" w:color="auto"/>
        <w:bottom w:val="none" w:sz="0" w:space="0" w:color="auto"/>
        <w:right w:val="none" w:sz="0" w:space="0" w:color="auto"/>
      </w:divBdr>
    </w:div>
    <w:div w:id="1807314940">
      <w:bodyDiv w:val="1"/>
      <w:marLeft w:val="0"/>
      <w:marRight w:val="0"/>
      <w:marTop w:val="0"/>
      <w:marBottom w:val="0"/>
      <w:divBdr>
        <w:top w:val="none" w:sz="0" w:space="0" w:color="auto"/>
        <w:left w:val="none" w:sz="0" w:space="0" w:color="auto"/>
        <w:bottom w:val="none" w:sz="0" w:space="0" w:color="auto"/>
        <w:right w:val="none" w:sz="0" w:space="0" w:color="auto"/>
      </w:divBdr>
    </w:div>
    <w:div w:id="1890413443">
      <w:bodyDiv w:val="1"/>
      <w:marLeft w:val="0"/>
      <w:marRight w:val="0"/>
      <w:marTop w:val="0"/>
      <w:marBottom w:val="0"/>
      <w:divBdr>
        <w:top w:val="none" w:sz="0" w:space="0" w:color="auto"/>
        <w:left w:val="none" w:sz="0" w:space="0" w:color="auto"/>
        <w:bottom w:val="none" w:sz="0" w:space="0" w:color="auto"/>
        <w:right w:val="none" w:sz="0" w:space="0" w:color="auto"/>
      </w:divBdr>
    </w:div>
    <w:div w:id="1899970432">
      <w:bodyDiv w:val="1"/>
      <w:marLeft w:val="0"/>
      <w:marRight w:val="0"/>
      <w:marTop w:val="0"/>
      <w:marBottom w:val="0"/>
      <w:divBdr>
        <w:top w:val="none" w:sz="0" w:space="0" w:color="auto"/>
        <w:left w:val="none" w:sz="0" w:space="0" w:color="auto"/>
        <w:bottom w:val="none" w:sz="0" w:space="0" w:color="auto"/>
        <w:right w:val="none" w:sz="0" w:space="0" w:color="auto"/>
      </w:divBdr>
    </w:div>
    <w:div w:id="20719232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E/C.12/2016/2" TargetMode="External"/><Relationship Id="rId4" Type="http://schemas.openxmlformats.org/officeDocument/2006/relationships/hyperlink" Target="http://undocs.org/en/E/C.12/2018/1" TargetMode="External"/><Relationship Id="rId5" Type="http://schemas.openxmlformats.org/officeDocument/2006/relationships/hyperlink" Target="https://tbinternet.ohchr.org/_layouts/15/treatybodyexternal/Download.aspx?symbolno=E/C.12/KHM/CO/1&amp;Lang=en" TargetMode="External"/><Relationship Id="rId6" Type="http://schemas.openxmlformats.org/officeDocument/2006/relationships/hyperlink" Target="https://tbinternet.ohchr.org/_layouts/15/treatybodyexternal/Download.aspx?symbolno=E%2FC.12%2F2015%2F1&amp;Lang=en" TargetMode="External"/><Relationship Id="rId7" Type="http://schemas.openxmlformats.org/officeDocument/2006/relationships/hyperlink" Target="https://tbinternet.ohchr.org/_layouts/15/treatybodyexternal/Download.aspx?symbolno=CEDAW/C/KHM/CO/6&amp;Lang=en" TargetMode="External"/><Relationship Id="rId8" Type="http://schemas.openxmlformats.org/officeDocument/2006/relationships/hyperlink" Target="https://tbinternet.ohchr.org/_layouts/15/treatybodyexternal/Download.aspx?symbolno=CEDAW/C/KHM/FCO/6&amp;Lang=en" TargetMode="External"/><Relationship Id="rId1" Type="http://schemas.openxmlformats.org/officeDocument/2006/relationships/hyperlink" Target="http://undocs.org/en/E/C.12/2023/SR.14" TargetMode="External"/><Relationship Id="rId2" Type="http://schemas.openxmlformats.org/officeDocument/2006/relationships/hyperlink" Target="https://tbinternet.ohchr.org/_layouts/15/treatybodyexternal/Download.aspx?symbolno=E/C.12/KHM/CO/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42CC-57AB-4FEF-A0A3-C629A189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74F57-420D-4621-8173-D945B4C9B7D9}">
  <ds:schemaRefs>
    <ds:schemaRef ds:uri="http://schemas.microsoft.com/sharepoint/v3/contenttype/forms"/>
  </ds:schemaRefs>
</ds:datastoreItem>
</file>

<file path=customXml/itemProps3.xml><?xml version="1.0" encoding="utf-8"?>
<ds:datastoreItem xmlns:ds="http://schemas.openxmlformats.org/officeDocument/2006/customXml" ds:itemID="{395207CF-E480-4FA2-9F09-499CA73DB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BAEAB-1B03-754C-844E-BEC07028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5898</Words>
  <Characters>33619</Characters>
  <Application>Microsoft Macintosh Word</Application>
  <DocSecurity>0</DocSecurity>
  <Lines>280</Lines>
  <Paragraphs>78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E/C.12/KHM/CO/R.2</vt:lpstr>
      <vt:lpstr/>
      <vt:lpstr/>
    </vt:vector>
  </TitlesOfParts>
  <Company>DCM</Company>
  <LinksUpToDate>false</LinksUpToDate>
  <CharactersWithSpaces>39439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E/C.12/KHM/CO/R.2</dc:title>
  <dc:subject/>
  <dc:creator>Gloria</dc:creator>
  <cp:keywords/>
  <dc:description/>
  <cp:lastModifiedBy>Piseth Duch</cp:lastModifiedBy>
  <cp:revision>2</cp:revision>
  <cp:lastPrinted>2023-03-02T08:56:00Z</cp:lastPrinted>
  <dcterms:created xsi:type="dcterms:W3CDTF">2023-03-09T02:41:00Z</dcterms:created>
  <dcterms:modified xsi:type="dcterms:W3CDTF">2023-03-09T02:41:00Z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Cambodia</vt:lpwstr>
  </property>
  <property fmtid="{D5CDD505-2E9C-101B-9397-08002B2CF9AE}" pid="9" name="countw">
    <vt:lpwstr>Cambodia</vt:lpwstr>
  </property>
  <property fmtid="{D5CDD505-2E9C-101B-9397-08002B2CF9AE}" pid="10" name="countwd">
    <vt:lpwstr>Cambodia</vt:lpwstr>
  </property>
  <property fmtid="{D5CDD505-2E9C-101B-9397-08002B2CF9AE}" pid="11" name="date">
    <vt:lpwstr>13 December 2022</vt:lpwstr>
  </property>
  <property fmtid="{D5CDD505-2E9C-101B-9397-08002B2CF9AE}" pid="12" name="Date-Generated">
    <vt:filetime>2022-12-14T09:54:27Z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164800</vt:r8>
  </property>
  <property fmtid="{D5CDD505-2E9C-101B-9397-08002B2CF9AE}" pid="22" name="Org">
    <vt:lpwstr>OHCHR</vt:lpwstr>
  </property>
  <property fmtid="{D5CDD505-2E9C-101B-9397-08002B2CF9AE}" pid="23" name="prep">
    <vt:lpwstr>second periodic report of Cambodia</vt:lpwstr>
  </property>
  <property fmtid="{D5CDD505-2E9C-101B-9397-08002B2CF9AE}" pid="24" name="preps">
    <vt:lpwstr>second periodic report of Cambodia</vt:lpwstr>
  </property>
  <property fmtid="{D5CDD505-2E9C-101B-9397-08002B2CF9AE}" pid="25" name="prepw">
    <vt:lpwstr>second periodic report</vt:lpwstr>
  </property>
  <property fmtid="{D5CDD505-2E9C-101B-9397-08002B2CF9AE}" pid="26" name="prepwc">
    <vt:lpwstr>Second periodic report </vt:lpwstr>
  </property>
  <property fmtid="{D5CDD505-2E9C-101B-9397-08002B2CF9AE}" pid="27" name="prepws">
    <vt:lpwstr>second periodic report</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C.12/KHM/CO/R.2</vt:lpwstr>
  </property>
  <property fmtid="{D5CDD505-2E9C-101B-9397-08002B2CF9AE}" pid="32" name="symh">
    <vt:lpwstr>E/C.12/KHM/CO/R.2</vt:lpwstr>
  </property>
  <property fmtid="{D5CDD505-2E9C-101B-9397-08002B2CF9AE}" pid="33" name="Title">
    <vt:lpwstr>E/C.12/KHM/CO/R.2</vt:lpwstr>
  </property>
  <property fmtid="{D5CDD505-2E9C-101B-9397-08002B2CF9AE}" pid="34" name="tlang">
    <vt:lpwstr/>
  </property>
  <property fmtid="{D5CDD505-2E9C-101B-9397-08002B2CF9AE}" pid="35" name="virs">
    <vt:lpwstr>English, French and Spanish only</vt:lpwstr>
  </property>
  <property fmtid="{D5CDD505-2E9C-101B-9397-08002B2CF9AE}" pid="36" name="GrammarlyDocumentId">
    <vt:lpwstr>e8a58c0202efe1e887a66e271f5f1dcae62b110d75d6250f99c18f7b6f8a56c6</vt:lpwstr>
  </property>
</Properties>
</file>