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4E3E" w:rsidRDefault="00764E3E">
      <w:pPr>
        <w:spacing w:after="0" w:line="240" w:lineRule="auto"/>
        <w:jc w:val="center"/>
        <w:rPr>
          <w:rFonts w:ascii="Arial" w:eastAsia="Times New Roman" w:hAnsi="Arial" w:cs="Arial"/>
          <w:b/>
          <w:sz w:val="36"/>
          <w:szCs w:val="24"/>
        </w:rPr>
      </w:pPr>
    </w:p>
    <w:p w:rsidR="00764E3E" w:rsidRDefault="00764E3E">
      <w:pPr>
        <w:spacing w:after="0" w:line="240" w:lineRule="auto"/>
        <w:rPr>
          <w:rFonts w:ascii="Arial" w:eastAsia="Times New Roman" w:hAnsi="Arial" w:cs="Arial"/>
          <w:b/>
          <w:sz w:val="36"/>
          <w:szCs w:val="24"/>
        </w:rPr>
      </w:pPr>
    </w:p>
    <w:p w:rsidR="00764E3E" w:rsidRDefault="000B0E0E">
      <w:pPr>
        <w:spacing w:line="240" w:lineRule="auto"/>
        <w:rPr>
          <w:b/>
          <w:sz w:val="32"/>
        </w:rPr>
      </w:pPr>
      <w:r>
        <w:rPr>
          <w:b/>
          <w:sz w:val="32"/>
        </w:rPr>
        <w:t xml:space="preserve">Sociedad civil y comunidades llaman al Estado y a las empresas a cumplir con recomendaciones del Grupo de Trabajo sobre Empresas y Derechos Humanos de la ONU </w:t>
      </w:r>
    </w:p>
    <w:p w:rsidR="00764E3E" w:rsidRDefault="000B0E0E">
      <w:pPr>
        <w:spacing w:line="240" w:lineRule="auto"/>
      </w:pPr>
      <w:r>
        <w:rPr>
          <w:rFonts w:ascii="Arial" w:eastAsia="Times New Roman" w:hAnsi="Arial" w:cs="Arial"/>
          <w:szCs w:val="24"/>
        </w:rPr>
        <w:t xml:space="preserve">El 8 de junio de 2017, se presentó ante el Consejo de Derechos Humanos de las Naciones Unidas el </w:t>
      </w:r>
      <w:hyperlink r:id="rId6">
        <w:r>
          <w:rPr>
            <w:rStyle w:val="InternetLink"/>
            <w:rFonts w:ascii="Arial" w:eastAsia="Times New Roman" w:hAnsi="Arial" w:cs="Arial"/>
            <w:szCs w:val="24"/>
          </w:rPr>
          <w:t>Informe Final</w:t>
        </w:r>
      </w:hyperlink>
      <w:r>
        <w:rPr>
          <w:rFonts w:ascii="Arial" w:eastAsia="Times New Roman" w:hAnsi="Arial" w:cs="Arial"/>
          <w:szCs w:val="24"/>
        </w:rPr>
        <w:t xml:space="preserve"> del Grupo de Trabajo sobre Empresas y Derechos Humanos con relación a su visita oficial a México en 2016. </w:t>
      </w:r>
    </w:p>
    <w:p w:rsidR="00764E3E" w:rsidRDefault="000B0E0E">
      <w:pPr>
        <w:pStyle w:val="Prrafodelista"/>
        <w:numPr>
          <w:ilvl w:val="0"/>
          <w:numId w:val="1"/>
        </w:numPr>
        <w:spacing w:after="0" w:line="240" w:lineRule="auto"/>
        <w:jc w:val="both"/>
        <w:rPr>
          <w:rFonts w:ascii="Arial" w:eastAsia="Times New Roman" w:hAnsi="Arial" w:cs="Arial"/>
          <w:szCs w:val="24"/>
        </w:rPr>
      </w:pPr>
      <w:r>
        <w:rPr>
          <w:rFonts w:ascii="Arial" w:eastAsia="Times New Roman" w:hAnsi="Arial" w:cs="Arial"/>
          <w:szCs w:val="24"/>
        </w:rPr>
        <w:t xml:space="preserve">En su informe, el Grupo de Trabajo de la ONU retoma </w:t>
      </w:r>
      <w:r>
        <w:rPr>
          <w:rFonts w:ascii="Arial" w:eastAsia="Times New Roman" w:hAnsi="Arial" w:cs="Arial"/>
          <w:b/>
          <w:szCs w:val="24"/>
        </w:rPr>
        <w:t>6 casos emblemáticos</w:t>
      </w:r>
      <w:r>
        <w:rPr>
          <w:rFonts w:ascii="Arial" w:eastAsia="Times New Roman" w:hAnsi="Arial" w:cs="Arial"/>
          <w:szCs w:val="24"/>
        </w:rPr>
        <w:t xml:space="preserve"> que evidencian la violación al derecho a la consulta, previa, libre, informada y culturalmente adecuada por parte del Estado y de la debida diligencia por parte de las empresas; los ataques contra personas defensoras y los graves impactos ambientales de las actividades empresariales.</w:t>
      </w:r>
    </w:p>
    <w:p w:rsidR="00764E3E" w:rsidRDefault="000B0E0E">
      <w:pPr>
        <w:pStyle w:val="Prrafodelista"/>
        <w:numPr>
          <w:ilvl w:val="0"/>
          <w:numId w:val="1"/>
        </w:numPr>
        <w:spacing w:after="0" w:line="240" w:lineRule="auto"/>
        <w:jc w:val="both"/>
        <w:rPr>
          <w:rFonts w:ascii="Arial" w:eastAsia="Times New Roman" w:hAnsi="Arial" w:cs="Arial"/>
          <w:szCs w:val="24"/>
        </w:rPr>
      </w:pPr>
      <w:r>
        <w:rPr>
          <w:rFonts w:ascii="Arial" w:eastAsia="Times New Roman" w:hAnsi="Arial" w:cs="Arial"/>
          <w:szCs w:val="24"/>
        </w:rPr>
        <w:t>Como factores estructurales, el Grupo de Trabajo identificó la impunidad y la desigualdad.</w:t>
      </w:r>
    </w:p>
    <w:p w:rsidR="00764E3E" w:rsidRDefault="000B0E0E">
      <w:pPr>
        <w:pStyle w:val="Prrafodelista"/>
        <w:numPr>
          <w:ilvl w:val="0"/>
          <w:numId w:val="1"/>
        </w:numPr>
        <w:spacing w:after="0" w:line="240" w:lineRule="auto"/>
        <w:jc w:val="both"/>
      </w:pPr>
      <w:r>
        <w:rPr>
          <w:rFonts w:ascii="Arial" w:eastAsia="Times New Roman" w:hAnsi="Arial" w:cs="Arial"/>
          <w:szCs w:val="24"/>
        </w:rPr>
        <w:t xml:space="preserve">El Estado mexicano, subrayó en Ginebra, su voluntad de cumplir con las recomendaciones del Grupo de Trabajo de la ONU. </w:t>
      </w:r>
    </w:p>
    <w:p w:rsidR="00764E3E" w:rsidRDefault="00764E3E">
      <w:pPr>
        <w:spacing w:after="0" w:line="240" w:lineRule="auto"/>
        <w:ind w:left="714"/>
        <w:contextualSpacing/>
        <w:jc w:val="both"/>
        <w:rPr>
          <w:rFonts w:ascii="Arial" w:eastAsia="Times New Roman" w:hAnsi="Arial" w:cs="Arial"/>
          <w:b/>
        </w:rPr>
      </w:pPr>
    </w:p>
    <w:p w:rsidR="00764E3E" w:rsidRDefault="000B0E0E">
      <w:pPr>
        <w:spacing w:after="0" w:line="240" w:lineRule="auto"/>
        <w:jc w:val="both"/>
      </w:pPr>
      <w:r>
        <w:rPr>
          <w:rFonts w:ascii="Arial" w:eastAsia="Times New Roman" w:hAnsi="Arial" w:cs="Arial"/>
          <w:b/>
        </w:rPr>
        <w:t>Ciudad de México, 12 de junio de 2016.</w:t>
      </w:r>
      <w:r>
        <w:rPr>
          <w:rFonts w:ascii="Arial" w:eastAsia="Times New Roman" w:hAnsi="Arial" w:cs="Arial"/>
        </w:rPr>
        <w:t xml:space="preserve"> El Grupo de Trabajo sobre Empresas y Derechos Humanos de la ONU declaró en su Informe que: “La urgencia de atraer inversiones, la insuficiencia de las salvaguardias y la falta de capacidad para hacer cumplir la legislación vigente crean un entorno en el que los derechos humanos se pueden vulnerar con </w:t>
      </w:r>
      <w:r>
        <w:rPr>
          <w:rFonts w:ascii="Arial" w:eastAsia="Times New Roman" w:hAnsi="Arial" w:cs="Arial"/>
          <w:b/>
        </w:rPr>
        <w:t>impunidad</w:t>
      </w:r>
      <w:r>
        <w:rPr>
          <w:rFonts w:ascii="Arial" w:eastAsia="Times New Roman" w:hAnsi="Arial" w:cs="Arial"/>
        </w:rPr>
        <w:t xml:space="preserve">”. Además, durante su visita el Sr. Dante </w:t>
      </w:r>
      <w:proofErr w:type="spellStart"/>
      <w:r>
        <w:rPr>
          <w:rFonts w:ascii="Arial" w:eastAsia="Times New Roman" w:hAnsi="Arial" w:cs="Arial"/>
        </w:rPr>
        <w:t>Pesce</w:t>
      </w:r>
      <w:proofErr w:type="spellEnd"/>
      <w:r>
        <w:rPr>
          <w:rFonts w:ascii="Arial" w:eastAsia="Times New Roman" w:hAnsi="Arial" w:cs="Arial"/>
        </w:rPr>
        <w:t xml:space="preserve">, integrante del Grupo de Trabajo, señaló que se necesita un cambio en la cultura empresarial. </w:t>
      </w:r>
    </w:p>
    <w:p w:rsidR="00764E3E" w:rsidRDefault="00764E3E">
      <w:pPr>
        <w:spacing w:after="0" w:line="240" w:lineRule="auto"/>
        <w:jc w:val="both"/>
        <w:rPr>
          <w:rFonts w:ascii="Arial" w:eastAsia="Times New Roman" w:hAnsi="Arial" w:cs="Arial"/>
        </w:rPr>
      </w:pPr>
    </w:p>
    <w:p w:rsidR="00764E3E" w:rsidRDefault="000B0E0E">
      <w:pPr>
        <w:spacing w:after="0" w:line="240" w:lineRule="auto"/>
        <w:jc w:val="both"/>
      </w:pPr>
      <w:r>
        <w:rPr>
          <w:rFonts w:ascii="Arial" w:eastAsia="Times New Roman" w:hAnsi="Arial" w:cs="Arial"/>
        </w:rPr>
        <w:t>Desde sociedad civil queremos subrayar que, si bien se analizan en el Informe Final de la visita 6 casos emblemáticos de abusos a derechos humanos, desde sociedad civil documentamos más de 68 casos de abusos relacionados con el sector minero, de la construcción, agroindustrial y energético en el Informe “</w:t>
      </w:r>
      <w:hyperlink r:id="rId7">
        <w:r>
          <w:rPr>
            <w:rStyle w:val="InternetLink"/>
            <w:rFonts w:ascii="Arial" w:eastAsia="Times New Roman" w:hAnsi="Arial" w:cs="Arial"/>
          </w:rPr>
          <w:t>México: Empresas y Derechos Humanos</w:t>
        </w:r>
      </w:hyperlink>
      <w:r>
        <w:rPr>
          <w:rFonts w:ascii="Arial" w:eastAsia="Times New Roman" w:hAnsi="Arial" w:cs="Arial"/>
        </w:rPr>
        <w:t xml:space="preserve">”. Las violaciones más frecuentes fueron: al derecho a la tierra y el territorio (32 casos), al acceso a la información (28 casos) y al medio ambiente sano (22 casos). En más del 62% de los casos hubo amenazas y ataques a personas defensoras de derechos humanos. Por lo que, los 6 casos descritos en el Informe de Naciones Unidas son representativos de una problemática generalizada. </w:t>
      </w:r>
    </w:p>
    <w:p w:rsidR="00764E3E" w:rsidRDefault="00764E3E">
      <w:pPr>
        <w:spacing w:after="0" w:line="240" w:lineRule="auto"/>
        <w:jc w:val="both"/>
        <w:rPr>
          <w:rFonts w:ascii="Arial" w:eastAsia="Times New Roman" w:hAnsi="Arial" w:cs="Arial"/>
        </w:rPr>
      </w:pPr>
    </w:p>
    <w:p w:rsidR="00764E3E" w:rsidRDefault="000B0E0E">
      <w:pPr>
        <w:spacing w:after="0" w:line="240" w:lineRule="auto"/>
        <w:jc w:val="both"/>
        <w:rPr>
          <w:rFonts w:ascii="Arial" w:eastAsia="Times New Roman" w:hAnsi="Arial" w:cs="Arial"/>
        </w:rPr>
      </w:pPr>
      <w:r>
        <w:rPr>
          <w:rFonts w:ascii="Arial" w:eastAsia="Times New Roman" w:hAnsi="Arial" w:cs="Arial"/>
        </w:rPr>
        <w:t xml:space="preserve">Dado lo anterior, desde sociedad civil consideramos 3 puntos clave: </w:t>
      </w:r>
    </w:p>
    <w:p w:rsidR="00764E3E" w:rsidRDefault="00764E3E">
      <w:pPr>
        <w:spacing w:after="0" w:line="240" w:lineRule="auto"/>
        <w:jc w:val="both"/>
        <w:rPr>
          <w:rFonts w:ascii="Arial" w:eastAsia="Times New Roman" w:hAnsi="Arial" w:cs="Arial"/>
        </w:rPr>
      </w:pPr>
    </w:p>
    <w:p w:rsidR="00764E3E" w:rsidRDefault="000B0E0E">
      <w:pPr>
        <w:pStyle w:val="Prrafodelista"/>
        <w:numPr>
          <w:ilvl w:val="0"/>
          <w:numId w:val="2"/>
        </w:numPr>
        <w:spacing w:after="0" w:line="240" w:lineRule="auto"/>
        <w:ind w:left="284"/>
        <w:jc w:val="both"/>
      </w:pPr>
      <w:r>
        <w:rPr>
          <w:rFonts w:ascii="Arial" w:eastAsia="Times New Roman" w:hAnsi="Arial" w:cs="Arial"/>
        </w:rPr>
        <w:t>El Grupo de Trabajo de la ONU exige que se respete el derecho a la consulta previa, libre, informada y culturalmente adecuada.</w:t>
      </w:r>
    </w:p>
    <w:p w:rsidR="00764E3E" w:rsidRDefault="00764E3E">
      <w:pPr>
        <w:spacing w:after="0" w:line="240" w:lineRule="auto"/>
        <w:ind w:left="284"/>
        <w:jc w:val="both"/>
        <w:rPr>
          <w:rFonts w:ascii="Arial" w:eastAsia="Times New Roman" w:hAnsi="Arial" w:cs="Arial"/>
        </w:rPr>
      </w:pPr>
    </w:p>
    <w:p w:rsidR="00764E3E" w:rsidRDefault="000B0E0E">
      <w:pPr>
        <w:tabs>
          <w:tab w:val="left" w:pos="1005"/>
        </w:tabs>
        <w:spacing w:after="0" w:line="240" w:lineRule="auto"/>
        <w:jc w:val="both"/>
        <w:rPr>
          <w:rFonts w:ascii="Arial" w:eastAsia="Times New Roman" w:hAnsi="Arial" w:cs="Arial"/>
        </w:rPr>
      </w:pPr>
      <w:r>
        <w:rPr>
          <w:rFonts w:ascii="Arial" w:eastAsia="Times New Roman" w:hAnsi="Arial" w:cs="Arial"/>
        </w:rPr>
        <w:t xml:space="preserve">El </w:t>
      </w:r>
      <w:r>
        <w:rPr>
          <w:rFonts w:ascii="Arial" w:eastAsia="Times New Roman" w:hAnsi="Arial" w:cs="Arial"/>
          <w:b/>
        </w:rPr>
        <w:t>Grupo de Trabajo de la ONU</w:t>
      </w:r>
      <w:r>
        <w:rPr>
          <w:rFonts w:ascii="Arial" w:eastAsia="Times New Roman" w:hAnsi="Arial" w:cs="Arial"/>
        </w:rPr>
        <w:t xml:space="preserve"> constató: “la ausencia de diálogo con las comunidades, en la tradición y en la práctica, en el contexto de los proyectos a gran escala, así como la gran necesidad de establecer mecanismos eficaces de consulta y fortalecer una cultura de diálogo social”. </w:t>
      </w:r>
      <w:proofErr w:type="gramStart"/>
      <w:r>
        <w:rPr>
          <w:rFonts w:ascii="Arial" w:eastAsia="Times New Roman" w:hAnsi="Arial" w:cs="Arial"/>
        </w:rPr>
        <w:t>Además</w:t>
      </w:r>
      <w:proofErr w:type="gramEnd"/>
      <w:r>
        <w:rPr>
          <w:rFonts w:ascii="Arial" w:eastAsia="Times New Roman" w:hAnsi="Arial" w:cs="Arial"/>
        </w:rPr>
        <w:t xml:space="preserve"> señaló </w:t>
      </w:r>
      <w:bookmarkStart w:id="0" w:name="_GoBack"/>
      <w:bookmarkEnd w:id="0"/>
      <w:r>
        <w:rPr>
          <w:rFonts w:ascii="Arial" w:eastAsia="Times New Roman" w:hAnsi="Arial" w:cs="Arial"/>
        </w:rPr>
        <w:t xml:space="preserve">que: “las consultas deben realizarse lo antes posible en el proceso de </w:t>
      </w:r>
      <w:r>
        <w:rPr>
          <w:rFonts w:ascii="Arial" w:eastAsia="Times New Roman" w:hAnsi="Arial" w:cs="Arial"/>
          <w:b/>
        </w:rPr>
        <w:t>diseño de los proyectos</w:t>
      </w:r>
      <w:r>
        <w:rPr>
          <w:rFonts w:ascii="Arial" w:eastAsia="Times New Roman" w:hAnsi="Arial" w:cs="Arial"/>
        </w:rPr>
        <w:t xml:space="preserve"> y han de dejar abierta la posibilidad de que algunos proyectos </w:t>
      </w:r>
      <w:r>
        <w:rPr>
          <w:rFonts w:ascii="Arial" w:eastAsia="Times New Roman" w:hAnsi="Arial" w:cs="Arial"/>
          <w:b/>
        </w:rPr>
        <w:t>no sean viables</w:t>
      </w:r>
      <w:r>
        <w:rPr>
          <w:rFonts w:ascii="Arial" w:eastAsia="Times New Roman" w:hAnsi="Arial" w:cs="Arial"/>
        </w:rPr>
        <w:t>”.</w:t>
      </w:r>
    </w:p>
    <w:p w:rsidR="00764E3E" w:rsidRDefault="00764E3E">
      <w:pPr>
        <w:tabs>
          <w:tab w:val="left" w:pos="1005"/>
        </w:tabs>
        <w:spacing w:after="0" w:line="240" w:lineRule="auto"/>
        <w:jc w:val="both"/>
        <w:rPr>
          <w:rFonts w:ascii="Arial" w:eastAsia="Times New Roman" w:hAnsi="Arial" w:cs="Arial"/>
        </w:rPr>
      </w:pPr>
    </w:p>
    <w:p w:rsidR="00764E3E" w:rsidRDefault="000B0E0E">
      <w:pPr>
        <w:tabs>
          <w:tab w:val="left" w:pos="1005"/>
        </w:tabs>
        <w:spacing w:after="0" w:line="240" w:lineRule="auto"/>
        <w:jc w:val="both"/>
        <w:rPr>
          <w:rFonts w:ascii="Arial" w:eastAsia="Times New Roman" w:hAnsi="Arial" w:cs="Arial"/>
        </w:rPr>
      </w:pPr>
      <w:r>
        <w:rPr>
          <w:rFonts w:ascii="Arial" w:eastAsia="Times New Roman" w:hAnsi="Arial" w:cs="Arial"/>
        </w:rPr>
        <w:lastRenderedPageBreak/>
        <w:t xml:space="preserve">El Estado mexicano declaró, en Ginebra, que estaban trabajando para garantizar el derecho a la consulta. Desde sociedad civil recordamos que, en el </w:t>
      </w:r>
      <w:r>
        <w:rPr>
          <w:rFonts w:ascii="Arial" w:eastAsia="Times New Roman" w:hAnsi="Arial" w:cs="Arial"/>
          <w:b/>
        </w:rPr>
        <w:t>caso de los apicultores mayas</w:t>
      </w:r>
      <w:r>
        <w:rPr>
          <w:rFonts w:ascii="Arial" w:eastAsia="Times New Roman" w:hAnsi="Arial" w:cs="Arial"/>
        </w:rPr>
        <w:t xml:space="preserve"> en contra de la soya genéticamente modificada de Monsanto, las comunidades han denunciado que: “Lejos de que la ley nos ayude con la consulta está sirviendo para violar nuestros derechos. En cada una de las 6 sesiones de la consulta ésta es en un ambiente de confrontación…”. En el caso del </w:t>
      </w:r>
      <w:r>
        <w:rPr>
          <w:rFonts w:ascii="Arial" w:eastAsia="Times New Roman" w:hAnsi="Arial" w:cs="Arial"/>
          <w:b/>
        </w:rPr>
        <w:t>acueducto yaqui,</w:t>
      </w:r>
      <w:r>
        <w:rPr>
          <w:rFonts w:ascii="Arial" w:eastAsia="Times New Roman" w:hAnsi="Arial" w:cs="Arial"/>
        </w:rPr>
        <w:t xml:space="preserve"> las consultas no fueron previas, sino el resultado de una sentencia de la Suprema Corte y éstas se dieron en un ambiente de criminalización. </w:t>
      </w:r>
    </w:p>
    <w:p w:rsidR="00764E3E" w:rsidRDefault="00764E3E">
      <w:pPr>
        <w:tabs>
          <w:tab w:val="left" w:pos="1005"/>
        </w:tabs>
        <w:spacing w:after="0" w:line="240" w:lineRule="auto"/>
        <w:ind w:left="284"/>
        <w:jc w:val="both"/>
        <w:rPr>
          <w:rFonts w:ascii="Arial" w:eastAsia="Times New Roman" w:hAnsi="Arial" w:cs="Arial"/>
        </w:rPr>
      </w:pPr>
    </w:p>
    <w:p w:rsidR="00764E3E" w:rsidRDefault="000B0E0E">
      <w:pPr>
        <w:pStyle w:val="Prrafodelista"/>
        <w:numPr>
          <w:ilvl w:val="0"/>
          <w:numId w:val="2"/>
        </w:numPr>
        <w:spacing w:after="0" w:line="240" w:lineRule="auto"/>
        <w:ind w:left="284"/>
        <w:jc w:val="both"/>
        <w:rPr>
          <w:rFonts w:ascii="Arial" w:eastAsia="Times New Roman" w:hAnsi="Arial" w:cs="Arial"/>
        </w:rPr>
      </w:pPr>
      <w:r>
        <w:rPr>
          <w:rFonts w:ascii="Arial" w:eastAsia="Times New Roman" w:hAnsi="Arial" w:cs="Arial"/>
        </w:rPr>
        <w:t>El Grupo de Trabajo de la ONU recomendó que se investiguen y sancionen los ataques contra personas defensoras de derechos humanos</w:t>
      </w:r>
    </w:p>
    <w:p w:rsidR="00764E3E" w:rsidRDefault="00764E3E">
      <w:pPr>
        <w:pStyle w:val="Prrafodelista"/>
        <w:spacing w:after="0" w:line="240" w:lineRule="auto"/>
        <w:ind w:left="284"/>
        <w:jc w:val="both"/>
        <w:rPr>
          <w:rFonts w:ascii="Arial" w:eastAsia="Times New Roman" w:hAnsi="Arial" w:cs="Arial"/>
        </w:rPr>
      </w:pPr>
    </w:p>
    <w:p w:rsidR="00764E3E" w:rsidRDefault="000B0E0E">
      <w:pPr>
        <w:spacing w:after="0" w:line="240" w:lineRule="auto"/>
        <w:jc w:val="both"/>
        <w:rPr>
          <w:rFonts w:ascii="Arial" w:eastAsia="Times New Roman" w:hAnsi="Arial" w:cs="Arial"/>
        </w:rPr>
      </w:pPr>
      <w:r>
        <w:rPr>
          <w:rFonts w:ascii="Arial" w:eastAsia="Times New Roman" w:hAnsi="Arial" w:cs="Arial"/>
        </w:rPr>
        <w:t>En el Informe, el Grupo de Trabajo establece que: “Los defensores de los derechos humanos y los periodistas deben estar mejor protegidos para que puedan desempeñar su importante función. En vista de la generalización de las agresiones y los casos de intimidación contra las personas que defienden sus derechos, los más altos funcionarios del Gobierno y los directores generales de las empresas</w:t>
      </w:r>
      <w:r>
        <w:rPr>
          <w:rFonts w:ascii="Arial" w:eastAsia="Times New Roman" w:hAnsi="Arial" w:cs="Arial"/>
          <w:b/>
        </w:rPr>
        <w:t xml:space="preserve"> deben dejar muy claro que</w:t>
      </w:r>
      <w:r>
        <w:rPr>
          <w:rFonts w:ascii="Arial" w:eastAsia="Times New Roman" w:hAnsi="Arial" w:cs="Arial"/>
        </w:rPr>
        <w:t xml:space="preserve"> </w:t>
      </w:r>
      <w:r>
        <w:rPr>
          <w:rFonts w:ascii="Arial" w:eastAsia="Times New Roman" w:hAnsi="Arial" w:cs="Arial"/>
          <w:b/>
        </w:rPr>
        <w:t>la intimidación y los ataques contra los defensores de los derechos humanos son inaceptables y no se tolerarán</w:t>
      </w:r>
      <w:r>
        <w:rPr>
          <w:rFonts w:ascii="Arial" w:eastAsia="Times New Roman" w:hAnsi="Arial" w:cs="Arial"/>
        </w:rPr>
        <w:t>”.</w:t>
      </w:r>
    </w:p>
    <w:p w:rsidR="00764E3E" w:rsidRDefault="00764E3E">
      <w:pPr>
        <w:pStyle w:val="Prrafodelista"/>
        <w:spacing w:after="0" w:line="240" w:lineRule="auto"/>
        <w:ind w:left="284"/>
        <w:jc w:val="both"/>
        <w:rPr>
          <w:rFonts w:ascii="Arial" w:eastAsia="Times New Roman" w:hAnsi="Arial" w:cs="Arial"/>
        </w:rPr>
      </w:pPr>
    </w:p>
    <w:p w:rsidR="00764E3E" w:rsidRDefault="000B0E0E">
      <w:pPr>
        <w:spacing w:after="0" w:line="240" w:lineRule="auto"/>
        <w:jc w:val="both"/>
      </w:pPr>
      <w:r>
        <w:rPr>
          <w:rFonts w:ascii="Arial" w:eastAsia="Times New Roman" w:hAnsi="Arial" w:cs="Arial"/>
        </w:rPr>
        <w:t xml:space="preserve">Desde sociedad civil, en conferencia de prensa, se compartieron los testimonios del caso de </w:t>
      </w:r>
      <w:r>
        <w:rPr>
          <w:rFonts w:ascii="Arial" w:eastAsia="Times New Roman" w:hAnsi="Arial" w:cs="Arial"/>
          <w:b/>
        </w:rPr>
        <w:t>Atenco</w:t>
      </w:r>
      <w:r>
        <w:rPr>
          <w:rFonts w:ascii="Arial" w:eastAsia="Times New Roman" w:hAnsi="Arial" w:cs="Arial"/>
        </w:rPr>
        <w:t xml:space="preserve">, en donde las comunidades se oponen a la construcción del Nuevo Aeropuerto de la Ciudad de México; las amenazas y ataques en contra de personas defensoras, en </w:t>
      </w:r>
      <w:r>
        <w:rPr>
          <w:rFonts w:ascii="Arial" w:eastAsia="Times New Roman" w:hAnsi="Arial" w:cs="Arial"/>
          <w:b/>
        </w:rPr>
        <w:t>Oaxaca</w:t>
      </w:r>
      <w:r>
        <w:rPr>
          <w:rFonts w:ascii="Arial" w:eastAsia="Times New Roman" w:hAnsi="Arial" w:cs="Arial"/>
        </w:rPr>
        <w:t xml:space="preserve">, en el contexto de los proyectos eólicos, y las agresiones en el caso de la </w:t>
      </w:r>
      <w:r>
        <w:rPr>
          <w:rFonts w:ascii="Arial" w:eastAsia="Times New Roman" w:hAnsi="Arial" w:cs="Arial"/>
          <w:b/>
        </w:rPr>
        <w:t>autopista</w:t>
      </w:r>
      <w:r>
        <w:rPr>
          <w:rFonts w:ascii="Arial" w:eastAsia="Times New Roman" w:hAnsi="Arial" w:cs="Arial"/>
        </w:rPr>
        <w:t xml:space="preserve"> </w:t>
      </w:r>
      <w:r>
        <w:rPr>
          <w:rFonts w:ascii="Arial" w:eastAsia="Times New Roman" w:hAnsi="Arial" w:cs="Arial"/>
          <w:b/>
        </w:rPr>
        <w:t>Toluca-Naucalpan</w:t>
      </w:r>
      <w:r>
        <w:rPr>
          <w:rFonts w:ascii="Arial" w:eastAsia="Times New Roman" w:hAnsi="Arial" w:cs="Arial"/>
        </w:rPr>
        <w:t xml:space="preserve"> en donde: “la constructora, junto con unos 800 agentes de la policía estatal, destruyó varias propiedades, entre ellas la casa de un líder de la oposición al proyecto de la autopista…” (conforme al Informe del Grupo de Trabajo de la ONU). </w:t>
      </w:r>
    </w:p>
    <w:p w:rsidR="00764E3E" w:rsidRDefault="00764E3E">
      <w:pPr>
        <w:pStyle w:val="Prrafodelista"/>
        <w:spacing w:after="0" w:line="240" w:lineRule="auto"/>
        <w:ind w:left="284"/>
        <w:jc w:val="both"/>
        <w:rPr>
          <w:rFonts w:ascii="Arial" w:eastAsia="Times New Roman" w:hAnsi="Arial" w:cs="Arial"/>
        </w:rPr>
      </w:pPr>
    </w:p>
    <w:p w:rsidR="00764E3E" w:rsidRDefault="000B0E0E">
      <w:pPr>
        <w:pStyle w:val="Prrafodelista"/>
        <w:numPr>
          <w:ilvl w:val="0"/>
          <w:numId w:val="2"/>
        </w:numPr>
        <w:spacing w:after="0" w:line="240" w:lineRule="auto"/>
        <w:ind w:left="284"/>
        <w:jc w:val="both"/>
        <w:rPr>
          <w:rFonts w:ascii="Arial" w:eastAsia="Times New Roman" w:hAnsi="Arial" w:cs="Arial"/>
        </w:rPr>
      </w:pPr>
      <w:r>
        <w:rPr>
          <w:rFonts w:ascii="Arial" w:eastAsia="Times New Roman" w:hAnsi="Arial" w:cs="Arial"/>
        </w:rPr>
        <w:t xml:space="preserve">El Grupo de Trabajo de la ONU también recomendó que se refuerce la supervisión y la evaluación de los efectos ambientales y sociales </w:t>
      </w:r>
    </w:p>
    <w:p w:rsidR="00764E3E" w:rsidRDefault="00764E3E">
      <w:pPr>
        <w:spacing w:after="0" w:line="240" w:lineRule="auto"/>
        <w:jc w:val="both"/>
        <w:rPr>
          <w:rFonts w:ascii="Arial" w:eastAsia="Times New Roman" w:hAnsi="Arial" w:cs="Arial"/>
        </w:rPr>
      </w:pPr>
    </w:p>
    <w:p w:rsidR="00764E3E" w:rsidRDefault="000B0E0E">
      <w:pPr>
        <w:spacing w:after="0" w:line="240" w:lineRule="auto"/>
        <w:jc w:val="both"/>
      </w:pPr>
      <w:r>
        <w:rPr>
          <w:rFonts w:ascii="Arial" w:eastAsia="Times New Roman" w:hAnsi="Arial" w:cs="Arial"/>
        </w:rPr>
        <w:t xml:space="preserve">El Grupo de Trabajo recomendó al Estado mexicano que: “haga de las evaluaciones de los efectos sociales que integran las normas de derechos humanos un requisito para los grandes proyectos de desarrollo… y que fortalezca la capacidad de la Procuraduría Federal de Protección al Ambiente para vigilar la observancia de las normas ambientales”. </w:t>
      </w:r>
    </w:p>
    <w:p w:rsidR="00764E3E" w:rsidRDefault="00764E3E">
      <w:pPr>
        <w:spacing w:after="0" w:line="240" w:lineRule="auto"/>
        <w:jc w:val="both"/>
        <w:rPr>
          <w:rFonts w:ascii="Arial" w:eastAsia="Times New Roman" w:hAnsi="Arial" w:cs="Arial"/>
        </w:rPr>
      </w:pPr>
    </w:p>
    <w:p w:rsidR="00764E3E" w:rsidRPr="000B0E0E" w:rsidRDefault="000B0E0E">
      <w:pPr>
        <w:spacing w:after="0" w:line="240" w:lineRule="auto"/>
        <w:jc w:val="both"/>
        <w:rPr>
          <w:rFonts w:ascii="Arial" w:hAnsi="Arial" w:cs="Arial"/>
        </w:rPr>
      </w:pPr>
      <w:r>
        <w:rPr>
          <w:rFonts w:ascii="Arial" w:eastAsia="Times New Roman" w:hAnsi="Arial" w:cs="Arial"/>
        </w:rPr>
        <w:t xml:space="preserve">Desde sociedad civil, se denunció como el río cubierto de espuma y el fuerte hedor de los gases causaron una gran impresión a los miembros del Grupo de Trabajo en su visita al </w:t>
      </w:r>
      <w:r>
        <w:rPr>
          <w:rFonts w:ascii="Arial" w:eastAsia="Times New Roman" w:hAnsi="Arial" w:cs="Arial"/>
          <w:b/>
        </w:rPr>
        <w:t>río Santiago</w:t>
      </w:r>
      <w:r>
        <w:rPr>
          <w:rFonts w:ascii="Arial" w:eastAsia="Times New Roman" w:hAnsi="Arial" w:cs="Arial"/>
        </w:rPr>
        <w:t xml:space="preserve"> en Jalisco, denominando a este caso como una </w:t>
      </w:r>
      <w:r>
        <w:rPr>
          <w:rFonts w:ascii="Arial" w:eastAsia="Times New Roman" w:hAnsi="Arial" w:cs="Arial"/>
          <w:i/>
        </w:rPr>
        <w:t>catástrofe ambiental.</w:t>
      </w:r>
      <w:r>
        <w:rPr>
          <w:rFonts w:ascii="Arial" w:eastAsia="Times New Roman" w:hAnsi="Arial" w:cs="Arial"/>
        </w:rPr>
        <w:t xml:space="preserve"> De igual forma, es importante mencionar que el Grupo de Trabajo también retomó el caso del </w:t>
      </w:r>
      <w:r>
        <w:rPr>
          <w:rFonts w:ascii="Arial" w:eastAsia="Times New Roman" w:hAnsi="Arial" w:cs="Arial"/>
          <w:b/>
        </w:rPr>
        <w:t>Río Sonora</w:t>
      </w:r>
      <w:r>
        <w:rPr>
          <w:rFonts w:ascii="Arial" w:eastAsia="Times New Roman" w:hAnsi="Arial" w:cs="Arial"/>
        </w:rPr>
        <w:t xml:space="preserve">, el </w:t>
      </w:r>
      <w:r w:rsidRPr="000B0E0E">
        <w:rPr>
          <w:rFonts w:ascii="Arial" w:eastAsia="Times New Roman" w:hAnsi="Arial" w:cs="Arial"/>
        </w:rPr>
        <w:t xml:space="preserve">peor desastre ambiental en la historia de la minería en el país que ha afectado a más de 250 000 personas, en donde “se consideró </w:t>
      </w:r>
      <w:r w:rsidRPr="000B0E0E">
        <w:rPr>
          <w:rFonts w:ascii="Arial" w:hAnsi="Arial" w:cs="Arial"/>
        </w:rPr>
        <w:t>que las autoridades federales no asumían sus responsabilidades.”</w:t>
      </w:r>
    </w:p>
    <w:p w:rsidR="00764E3E" w:rsidRDefault="00764E3E">
      <w:pPr>
        <w:spacing w:after="0" w:line="240" w:lineRule="auto"/>
        <w:jc w:val="both"/>
        <w:rPr>
          <w:rFonts w:ascii="sans-serif" w:hAnsi="sans-serif"/>
          <w:sz w:val="24"/>
        </w:rPr>
      </w:pPr>
    </w:p>
    <w:p w:rsidR="00764E3E" w:rsidRDefault="000B0E0E">
      <w:pPr>
        <w:spacing w:after="0" w:line="240" w:lineRule="auto"/>
        <w:jc w:val="both"/>
        <w:rPr>
          <w:rFonts w:ascii="Arial" w:eastAsia="Times New Roman" w:hAnsi="Arial" w:cs="Arial"/>
          <w:b/>
        </w:rPr>
      </w:pPr>
      <w:r>
        <w:rPr>
          <w:rFonts w:ascii="Arial" w:eastAsia="Times New Roman" w:hAnsi="Arial" w:cs="Arial"/>
          <w:b/>
        </w:rPr>
        <w:t xml:space="preserve">Desde las Organizaciones de la Sociedad Civil hacemos un llamado para </w:t>
      </w:r>
      <w:r w:rsidR="009B1293">
        <w:rPr>
          <w:rFonts w:ascii="Arial" w:eastAsia="Times New Roman" w:hAnsi="Arial" w:cs="Arial"/>
          <w:b/>
        </w:rPr>
        <w:t xml:space="preserve">que </w:t>
      </w:r>
      <w:r>
        <w:rPr>
          <w:rFonts w:ascii="Arial" w:eastAsia="Times New Roman" w:hAnsi="Arial" w:cs="Arial"/>
          <w:b/>
        </w:rPr>
        <w:t xml:space="preserve">el Estado mexicano </w:t>
      </w:r>
      <w:r w:rsidR="009B1293">
        <w:rPr>
          <w:rFonts w:ascii="Arial" w:eastAsia="Times New Roman" w:hAnsi="Arial" w:cs="Arial"/>
          <w:b/>
        </w:rPr>
        <w:t xml:space="preserve">y las autoridades responsables </w:t>
      </w:r>
      <w:r>
        <w:rPr>
          <w:rFonts w:ascii="Arial" w:eastAsia="Times New Roman" w:hAnsi="Arial" w:cs="Arial"/>
          <w:b/>
        </w:rPr>
        <w:t>se reúna</w:t>
      </w:r>
      <w:r w:rsidR="009B1293">
        <w:rPr>
          <w:rFonts w:ascii="Arial" w:eastAsia="Times New Roman" w:hAnsi="Arial" w:cs="Arial"/>
          <w:b/>
        </w:rPr>
        <w:t>n</w:t>
      </w:r>
      <w:r>
        <w:rPr>
          <w:rFonts w:ascii="Arial" w:eastAsia="Times New Roman" w:hAnsi="Arial" w:cs="Arial"/>
          <w:b/>
        </w:rPr>
        <w:t xml:space="preserve"> con las organizaciones de la sociedad civil para diseñar una estrategia participativa, transparente y pública en donde se establezca claramente cómo se dará seguimiento a las recomendaciones</w:t>
      </w:r>
      <w:r w:rsidR="009B1293">
        <w:rPr>
          <w:rFonts w:ascii="Arial" w:eastAsia="Times New Roman" w:hAnsi="Arial" w:cs="Arial"/>
          <w:b/>
        </w:rPr>
        <w:t xml:space="preserve"> generales y de los </w:t>
      </w:r>
      <w:proofErr w:type="gramStart"/>
      <w:r w:rsidR="009B1293">
        <w:rPr>
          <w:rFonts w:ascii="Arial" w:eastAsia="Times New Roman" w:hAnsi="Arial" w:cs="Arial"/>
          <w:b/>
        </w:rPr>
        <w:t>casos</w:t>
      </w:r>
      <w:r>
        <w:rPr>
          <w:rFonts w:ascii="Arial" w:eastAsia="Times New Roman" w:hAnsi="Arial" w:cs="Arial"/>
          <w:b/>
        </w:rPr>
        <w:t xml:space="preserve"> </w:t>
      </w:r>
      <w:r w:rsidR="001E0DD3">
        <w:rPr>
          <w:rFonts w:ascii="Arial" w:eastAsia="Times New Roman" w:hAnsi="Arial" w:cs="Arial"/>
          <w:b/>
        </w:rPr>
        <w:t xml:space="preserve"> </w:t>
      </w:r>
      <w:r w:rsidR="00E37DDD">
        <w:rPr>
          <w:rFonts w:ascii="Arial" w:eastAsia="Times New Roman" w:hAnsi="Arial" w:cs="Arial"/>
          <w:b/>
        </w:rPr>
        <w:t>d</w:t>
      </w:r>
      <w:r w:rsidR="001E0DD3">
        <w:rPr>
          <w:rFonts w:ascii="Arial" w:eastAsia="Times New Roman" w:hAnsi="Arial" w:cs="Arial"/>
          <w:b/>
        </w:rPr>
        <w:t>e</w:t>
      </w:r>
      <w:r>
        <w:rPr>
          <w:rFonts w:ascii="Arial" w:eastAsia="Times New Roman" w:hAnsi="Arial" w:cs="Arial"/>
          <w:b/>
        </w:rPr>
        <w:t>l</w:t>
      </w:r>
      <w:proofErr w:type="gramEnd"/>
      <w:r>
        <w:rPr>
          <w:rFonts w:ascii="Arial" w:eastAsia="Times New Roman" w:hAnsi="Arial" w:cs="Arial"/>
          <w:b/>
        </w:rPr>
        <w:t xml:space="preserve"> </w:t>
      </w:r>
      <w:r w:rsidR="00BE40DA">
        <w:rPr>
          <w:rFonts w:ascii="Arial" w:eastAsia="Times New Roman" w:hAnsi="Arial" w:cs="Arial"/>
          <w:b/>
        </w:rPr>
        <w:t>I</w:t>
      </w:r>
      <w:r w:rsidR="001E0DD3">
        <w:rPr>
          <w:rFonts w:ascii="Arial" w:eastAsia="Times New Roman" w:hAnsi="Arial" w:cs="Arial"/>
          <w:b/>
        </w:rPr>
        <w:t xml:space="preserve">nforme del </w:t>
      </w:r>
      <w:r>
        <w:rPr>
          <w:rFonts w:ascii="Arial" w:eastAsia="Times New Roman" w:hAnsi="Arial" w:cs="Arial"/>
          <w:b/>
        </w:rPr>
        <w:t xml:space="preserve">Grupo de Trabajo sobre Empresas y Derechos Humanos. </w:t>
      </w:r>
    </w:p>
    <w:p w:rsidR="00F0237A" w:rsidRDefault="00F0237A">
      <w:pPr>
        <w:spacing w:after="0" w:line="240" w:lineRule="auto"/>
        <w:jc w:val="both"/>
        <w:rPr>
          <w:rFonts w:ascii="Arial" w:eastAsia="Times New Roman" w:hAnsi="Arial" w:cs="Arial"/>
          <w:b/>
        </w:rPr>
      </w:pPr>
    </w:p>
    <w:p w:rsidR="00F0237A" w:rsidRDefault="00F0237A">
      <w:pPr>
        <w:spacing w:after="0" w:line="240" w:lineRule="auto"/>
        <w:jc w:val="both"/>
        <w:rPr>
          <w:rFonts w:ascii="Arial" w:eastAsia="Times New Roman" w:hAnsi="Arial" w:cs="Arial"/>
          <w:b/>
        </w:rPr>
      </w:pPr>
    </w:p>
    <w:p w:rsidR="00F0237A" w:rsidRDefault="00F0237A">
      <w:pPr>
        <w:spacing w:after="0" w:line="240" w:lineRule="auto"/>
        <w:jc w:val="both"/>
        <w:rPr>
          <w:rFonts w:ascii="Arial" w:eastAsia="Times New Roman" w:hAnsi="Arial" w:cs="Arial"/>
          <w:b/>
        </w:rPr>
      </w:pPr>
    </w:p>
    <w:p w:rsidR="00F0237A" w:rsidRDefault="00F0237A">
      <w:pPr>
        <w:spacing w:after="0" w:line="240" w:lineRule="auto"/>
        <w:jc w:val="both"/>
        <w:rPr>
          <w:rFonts w:ascii="Arial" w:eastAsia="Times New Roman" w:hAnsi="Arial" w:cs="Arial"/>
          <w:b/>
        </w:rPr>
      </w:pPr>
      <w:r>
        <w:rPr>
          <w:rFonts w:ascii="Arial" w:eastAsia="Times New Roman" w:hAnsi="Arial" w:cs="Arial"/>
          <w:b/>
        </w:rPr>
        <w:t xml:space="preserve">Organizaciones firmantes en orden alfabéticos: </w:t>
      </w:r>
    </w:p>
    <w:p w:rsidR="00F0237A" w:rsidRDefault="00F0237A">
      <w:pPr>
        <w:spacing w:after="0" w:line="240" w:lineRule="auto"/>
        <w:jc w:val="both"/>
        <w:rPr>
          <w:rFonts w:ascii="Arial" w:eastAsia="Times New Roman" w:hAnsi="Arial" w:cs="Arial"/>
          <w:b/>
        </w:rPr>
      </w:pPr>
    </w:p>
    <w:p w:rsidR="00F0237A" w:rsidRDefault="00F0237A" w:rsidP="00F0237A">
      <w:pPr>
        <w:spacing w:after="0" w:line="240" w:lineRule="auto"/>
        <w:rPr>
          <w:rFonts w:ascii="Arial" w:hAnsi="Arial" w:cs="Arial"/>
          <w:sz w:val="18"/>
          <w:szCs w:val="18"/>
          <w:lang w:val="es-ES"/>
        </w:rPr>
      </w:pPr>
      <w:r w:rsidRPr="00466D6D">
        <w:rPr>
          <w:rFonts w:ascii="Arial" w:hAnsi="Arial" w:cs="Arial"/>
          <w:sz w:val="18"/>
          <w:szCs w:val="18"/>
          <w:lang w:val="es-ES"/>
        </w:rPr>
        <w:t>Asociación Interamericana para la Defensa del Ambiente (AIDA)</w:t>
      </w:r>
    </w:p>
    <w:p w:rsidR="00F0237A" w:rsidRPr="00466D6D" w:rsidRDefault="00F0237A" w:rsidP="00F0237A">
      <w:pPr>
        <w:spacing w:after="0" w:line="240" w:lineRule="auto"/>
        <w:rPr>
          <w:rFonts w:ascii="Arial" w:hAnsi="Arial" w:cs="Arial"/>
          <w:sz w:val="18"/>
          <w:szCs w:val="18"/>
          <w:lang w:val="es-ES"/>
        </w:rPr>
      </w:pPr>
      <w:r w:rsidRPr="00466D6D">
        <w:rPr>
          <w:rFonts w:ascii="Arial" w:hAnsi="Arial" w:cs="Arial"/>
          <w:sz w:val="18"/>
          <w:szCs w:val="18"/>
          <w:lang w:val="es-ES"/>
        </w:rPr>
        <w:t>Centro de Derechos Humanos “Fray Bartolomé de Las Casas”</w:t>
      </w:r>
    </w:p>
    <w:p w:rsidR="00F0237A" w:rsidRPr="00466D6D" w:rsidRDefault="00F0237A" w:rsidP="00F0237A">
      <w:pPr>
        <w:spacing w:after="0" w:line="240" w:lineRule="auto"/>
        <w:rPr>
          <w:rFonts w:ascii="Arial" w:hAnsi="Arial" w:cs="Arial"/>
          <w:sz w:val="18"/>
          <w:szCs w:val="18"/>
          <w:lang w:val="es-ES"/>
        </w:rPr>
      </w:pPr>
      <w:r w:rsidRPr="00466D6D">
        <w:rPr>
          <w:rFonts w:ascii="Arial" w:hAnsi="Arial" w:cs="Arial"/>
          <w:sz w:val="18"/>
          <w:szCs w:val="18"/>
          <w:lang w:val="es-ES"/>
        </w:rPr>
        <w:t>Centro de Derechos Humanos “Miguel Agustín Pro Juárez” (Centro Prodh)</w:t>
      </w:r>
    </w:p>
    <w:p w:rsidR="00F0237A" w:rsidRPr="00466D6D" w:rsidRDefault="00F0237A" w:rsidP="00F0237A">
      <w:pPr>
        <w:spacing w:after="0" w:line="240" w:lineRule="auto"/>
        <w:rPr>
          <w:rFonts w:ascii="Arial" w:hAnsi="Arial" w:cs="Arial"/>
          <w:sz w:val="18"/>
          <w:szCs w:val="18"/>
          <w:lang w:val="es-ES"/>
        </w:rPr>
      </w:pPr>
      <w:r w:rsidRPr="00466D6D">
        <w:rPr>
          <w:rFonts w:ascii="Arial" w:hAnsi="Arial" w:cs="Arial"/>
          <w:sz w:val="18"/>
          <w:szCs w:val="18"/>
          <w:lang w:val="es-ES"/>
        </w:rPr>
        <w:t>Centro de Derechos Humanos de la Montaña, Tlachinollan</w:t>
      </w:r>
    </w:p>
    <w:p w:rsidR="00F0237A" w:rsidRPr="00466D6D" w:rsidRDefault="00F0237A" w:rsidP="00F0237A">
      <w:pPr>
        <w:spacing w:after="0" w:line="240" w:lineRule="auto"/>
        <w:jc w:val="lowKashida"/>
        <w:rPr>
          <w:rFonts w:ascii="Arial" w:eastAsia="Times New Roman" w:hAnsi="Arial" w:cs="Arial"/>
          <w:color w:val="000000"/>
          <w:sz w:val="18"/>
          <w:szCs w:val="18"/>
        </w:rPr>
      </w:pPr>
      <w:r w:rsidRPr="00466D6D">
        <w:rPr>
          <w:rFonts w:ascii="Arial" w:hAnsi="Arial" w:cs="Arial"/>
          <w:sz w:val="18"/>
          <w:szCs w:val="18"/>
          <w:lang w:val="es-ES"/>
        </w:rPr>
        <w:t xml:space="preserve">Centro Fray Julián Garcés </w:t>
      </w:r>
    </w:p>
    <w:p w:rsidR="00F0237A" w:rsidRPr="00466D6D" w:rsidRDefault="00F0237A" w:rsidP="00F0237A">
      <w:pPr>
        <w:spacing w:after="0" w:line="240" w:lineRule="auto"/>
        <w:rPr>
          <w:rFonts w:ascii="Arial" w:hAnsi="Arial" w:cs="Arial"/>
          <w:sz w:val="18"/>
          <w:szCs w:val="18"/>
          <w:lang w:val="es-ES"/>
        </w:rPr>
      </w:pPr>
      <w:r w:rsidRPr="00466D6D">
        <w:rPr>
          <w:rFonts w:ascii="Arial" w:hAnsi="Arial" w:cs="Arial"/>
          <w:sz w:val="18"/>
          <w:szCs w:val="18"/>
          <w:lang w:val="es-ES"/>
        </w:rPr>
        <w:t>Centro de Información sobre Empresas y Derechos Humanos (CIEDH)</w:t>
      </w:r>
    </w:p>
    <w:p w:rsidR="00251D71" w:rsidRDefault="00F0237A" w:rsidP="00F0237A">
      <w:pPr>
        <w:spacing w:after="0" w:line="240" w:lineRule="auto"/>
        <w:rPr>
          <w:rFonts w:ascii="Arial" w:hAnsi="Arial" w:cs="Arial"/>
          <w:sz w:val="18"/>
          <w:szCs w:val="18"/>
          <w:lang w:val="es-ES"/>
        </w:rPr>
      </w:pPr>
      <w:r w:rsidRPr="00F0237A">
        <w:rPr>
          <w:rFonts w:ascii="Arial" w:hAnsi="Arial" w:cs="Arial"/>
          <w:sz w:val="18"/>
          <w:szCs w:val="18"/>
          <w:lang w:val="es-ES"/>
        </w:rPr>
        <w:t>Dirección de Programas de Incidencia, Universidad Iberoamericana Ciudad de México</w:t>
      </w:r>
    </w:p>
    <w:p w:rsidR="00F0237A" w:rsidRPr="00466D6D" w:rsidRDefault="00F0237A" w:rsidP="00F0237A">
      <w:pPr>
        <w:spacing w:after="0" w:line="240" w:lineRule="auto"/>
        <w:rPr>
          <w:rFonts w:ascii="Arial" w:hAnsi="Arial" w:cs="Arial"/>
          <w:sz w:val="18"/>
          <w:szCs w:val="18"/>
          <w:shd w:val="clear" w:color="auto" w:fill="FFFFFF"/>
          <w:lang w:val="es-ES"/>
        </w:rPr>
      </w:pPr>
      <w:r w:rsidRPr="00466D6D">
        <w:rPr>
          <w:rFonts w:ascii="Arial" w:hAnsi="Arial" w:cs="Arial"/>
          <w:sz w:val="18"/>
          <w:szCs w:val="18"/>
          <w:shd w:val="clear" w:color="auto" w:fill="FFFFFF"/>
          <w:lang w:val="es-ES"/>
        </w:rPr>
        <w:t>Greenpeace México</w:t>
      </w:r>
    </w:p>
    <w:p w:rsidR="00F0237A" w:rsidRPr="00466D6D" w:rsidRDefault="00F0237A" w:rsidP="00F0237A">
      <w:pPr>
        <w:spacing w:after="0" w:line="240" w:lineRule="auto"/>
        <w:rPr>
          <w:rFonts w:ascii="Arial" w:hAnsi="Arial" w:cs="Arial"/>
          <w:sz w:val="18"/>
          <w:szCs w:val="18"/>
          <w:lang w:val="es-ES"/>
        </w:rPr>
      </w:pPr>
      <w:r w:rsidRPr="00466D6D">
        <w:rPr>
          <w:rFonts w:ascii="Arial" w:hAnsi="Arial" w:cs="Arial"/>
          <w:sz w:val="18"/>
          <w:szCs w:val="18"/>
          <w:lang w:val="es-ES"/>
        </w:rPr>
        <w:t>Indignación, Promoción y Defensa de los Derechos Humanos</w:t>
      </w:r>
    </w:p>
    <w:p w:rsidR="00F0237A" w:rsidRDefault="00F0237A" w:rsidP="00F0237A">
      <w:pPr>
        <w:spacing w:after="0" w:line="240" w:lineRule="auto"/>
        <w:rPr>
          <w:rFonts w:ascii="Arial" w:hAnsi="Arial" w:cs="Arial"/>
          <w:sz w:val="18"/>
          <w:szCs w:val="18"/>
          <w:lang w:val="es-ES"/>
        </w:rPr>
      </w:pPr>
      <w:r w:rsidRPr="00466D6D">
        <w:rPr>
          <w:rFonts w:ascii="Arial" w:hAnsi="Arial" w:cs="Arial"/>
          <w:sz w:val="18"/>
          <w:szCs w:val="18"/>
          <w:lang w:val="es-ES"/>
        </w:rPr>
        <w:t>Instituto Mexicano para el Desarrollo Comunitario (IMDEC)</w:t>
      </w:r>
    </w:p>
    <w:p w:rsidR="00251D71" w:rsidRPr="00466D6D" w:rsidRDefault="00251D71" w:rsidP="00F0237A">
      <w:pPr>
        <w:spacing w:after="0" w:line="240" w:lineRule="auto"/>
        <w:rPr>
          <w:rFonts w:ascii="Arial" w:hAnsi="Arial" w:cs="Arial"/>
          <w:sz w:val="18"/>
          <w:szCs w:val="18"/>
          <w:lang w:val="es-ES"/>
        </w:rPr>
      </w:pPr>
      <w:r>
        <w:rPr>
          <w:rFonts w:ascii="Arial" w:hAnsi="Arial" w:cs="Arial"/>
          <w:sz w:val="18"/>
          <w:szCs w:val="18"/>
          <w:lang w:val="es-ES"/>
        </w:rPr>
        <w:t>Colectivo MA OGM</w:t>
      </w:r>
    </w:p>
    <w:p w:rsidR="00F0237A" w:rsidRDefault="00F0237A" w:rsidP="00F0237A">
      <w:pPr>
        <w:spacing w:after="0" w:line="240" w:lineRule="auto"/>
        <w:rPr>
          <w:rFonts w:ascii="Arial" w:hAnsi="Arial" w:cs="Arial"/>
          <w:sz w:val="18"/>
          <w:szCs w:val="18"/>
          <w:lang w:val="es-ES"/>
        </w:rPr>
      </w:pPr>
      <w:r w:rsidRPr="00F0237A">
        <w:rPr>
          <w:rFonts w:ascii="Arial" w:hAnsi="Arial" w:cs="Arial"/>
          <w:sz w:val="18"/>
          <w:szCs w:val="18"/>
          <w:lang w:val="es-ES"/>
        </w:rPr>
        <w:t>Programa de Interculturalidad y Asuntos Indígenas, Universidad Iberoamericana Ciudad de México</w:t>
      </w:r>
      <w:r w:rsidRPr="00F0237A">
        <w:rPr>
          <w:rFonts w:ascii="Arial" w:hAnsi="Arial" w:cs="Arial"/>
          <w:sz w:val="18"/>
          <w:szCs w:val="18"/>
          <w:lang w:val="es-ES"/>
        </w:rPr>
        <w:br/>
      </w:r>
      <w:r w:rsidRPr="00466D6D">
        <w:rPr>
          <w:rFonts w:ascii="Arial" w:hAnsi="Arial" w:cs="Arial"/>
          <w:sz w:val="18"/>
          <w:szCs w:val="18"/>
          <w:lang w:val="es-ES"/>
        </w:rPr>
        <w:t>Proyecto de Derechos Económicos, Sociales y Culturales (</w:t>
      </w:r>
      <w:proofErr w:type="spellStart"/>
      <w:r w:rsidRPr="00466D6D">
        <w:rPr>
          <w:rFonts w:ascii="Arial" w:hAnsi="Arial" w:cs="Arial"/>
          <w:sz w:val="18"/>
          <w:szCs w:val="18"/>
          <w:lang w:val="es-ES"/>
        </w:rPr>
        <w:t>ProDESC</w:t>
      </w:r>
      <w:proofErr w:type="spellEnd"/>
      <w:r w:rsidRPr="00466D6D">
        <w:rPr>
          <w:rFonts w:ascii="Arial" w:hAnsi="Arial" w:cs="Arial"/>
          <w:sz w:val="18"/>
          <w:szCs w:val="18"/>
          <w:lang w:val="es-ES"/>
        </w:rPr>
        <w:t>)</w:t>
      </w:r>
    </w:p>
    <w:p w:rsidR="00F0237A" w:rsidRPr="00466D6D" w:rsidRDefault="00F0237A" w:rsidP="00F0237A">
      <w:pPr>
        <w:spacing w:after="0" w:line="240" w:lineRule="auto"/>
        <w:rPr>
          <w:rFonts w:ascii="Arial" w:hAnsi="Arial" w:cs="Arial"/>
          <w:sz w:val="18"/>
          <w:szCs w:val="18"/>
          <w:lang w:val="es-ES"/>
        </w:rPr>
      </w:pPr>
      <w:r w:rsidRPr="00F0237A">
        <w:rPr>
          <w:rFonts w:ascii="Arial" w:hAnsi="Arial" w:cs="Arial"/>
          <w:sz w:val="18"/>
          <w:szCs w:val="18"/>
          <w:lang w:val="es-ES"/>
        </w:rPr>
        <w:t>Programa de Derechos Humanos, Universidad Iberoamericana Ciudad de México</w:t>
      </w:r>
      <w:r w:rsidRPr="00F0237A">
        <w:rPr>
          <w:rFonts w:ascii="Arial" w:hAnsi="Arial" w:cs="Arial"/>
          <w:sz w:val="18"/>
          <w:szCs w:val="18"/>
          <w:lang w:val="es-ES"/>
        </w:rPr>
        <w:br/>
        <w:t>Programa de Medio Ambiente, Universidad Iberoamericana Ciudad de México.</w:t>
      </w:r>
      <w:r>
        <w:rPr>
          <w:color w:val="1F497D"/>
        </w:rPr>
        <w:br/>
      </w:r>
      <w:r w:rsidRPr="00466D6D">
        <w:rPr>
          <w:rFonts w:ascii="Arial" w:hAnsi="Arial" w:cs="Arial"/>
          <w:sz w:val="18"/>
          <w:szCs w:val="18"/>
          <w:lang w:val="es-ES"/>
        </w:rPr>
        <w:t>Proyecto sobre Organización, Desarrollo, Educación e Investigación (PODER)</w:t>
      </w:r>
    </w:p>
    <w:p w:rsidR="00F0237A" w:rsidRDefault="00F0237A" w:rsidP="00F0237A">
      <w:pPr>
        <w:spacing w:after="0" w:line="240" w:lineRule="auto"/>
        <w:rPr>
          <w:rFonts w:ascii="Arial" w:hAnsi="Arial" w:cs="Arial"/>
          <w:sz w:val="18"/>
          <w:szCs w:val="18"/>
          <w:lang w:val="es-ES"/>
        </w:rPr>
      </w:pPr>
      <w:proofErr w:type="spellStart"/>
      <w:r w:rsidRPr="00466D6D">
        <w:rPr>
          <w:rFonts w:ascii="Arial" w:hAnsi="Arial" w:cs="Arial"/>
          <w:sz w:val="18"/>
          <w:szCs w:val="18"/>
          <w:lang w:val="es-ES"/>
        </w:rPr>
        <w:t>Serapaz</w:t>
      </w:r>
      <w:proofErr w:type="spellEnd"/>
      <w:r w:rsidRPr="00466D6D">
        <w:rPr>
          <w:rFonts w:ascii="Arial" w:hAnsi="Arial" w:cs="Arial"/>
          <w:sz w:val="18"/>
          <w:szCs w:val="18"/>
          <w:lang w:val="es-ES"/>
        </w:rPr>
        <w:t xml:space="preserve">, Servicios y Asesoría para la Paz </w:t>
      </w:r>
    </w:p>
    <w:p w:rsidR="00F0237A" w:rsidRDefault="00F0237A" w:rsidP="00F0237A">
      <w:pPr>
        <w:spacing w:after="0" w:line="240" w:lineRule="auto"/>
        <w:rPr>
          <w:rFonts w:ascii="Arial" w:hAnsi="Arial" w:cs="Arial"/>
          <w:sz w:val="18"/>
          <w:szCs w:val="18"/>
          <w:lang w:val="es-ES"/>
        </w:rPr>
      </w:pPr>
    </w:p>
    <w:p w:rsidR="00F0237A" w:rsidRPr="00943888" w:rsidRDefault="00F0237A" w:rsidP="00F0237A">
      <w:pPr>
        <w:rPr>
          <w:rFonts w:ascii="Arial" w:eastAsia="Times New Roman" w:hAnsi="Arial" w:cs="Arial"/>
          <w:sz w:val="18"/>
          <w:szCs w:val="18"/>
          <w:lang w:val="es-ES"/>
        </w:rPr>
      </w:pPr>
      <w:r w:rsidRPr="00F0237A">
        <w:rPr>
          <w:rFonts w:ascii="Arial" w:eastAsia="Times New Roman" w:hAnsi="Arial" w:cs="Arial"/>
          <w:sz w:val="18"/>
          <w:szCs w:val="18"/>
          <w:lang w:val="es-ES"/>
        </w:rPr>
        <w:t>Red Nacional de Organism</w:t>
      </w:r>
      <w:r>
        <w:rPr>
          <w:rFonts w:ascii="Arial" w:eastAsia="Times New Roman" w:hAnsi="Arial" w:cs="Arial"/>
          <w:sz w:val="18"/>
          <w:szCs w:val="18"/>
          <w:lang w:val="es-ES"/>
        </w:rPr>
        <w:t xml:space="preserve">os Civiles de Derechos Humanos </w:t>
      </w:r>
      <w:r w:rsidRPr="00F0237A">
        <w:rPr>
          <w:rFonts w:ascii="Arial" w:eastAsia="Times New Roman" w:hAnsi="Arial" w:cs="Arial"/>
          <w:sz w:val="18"/>
          <w:szCs w:val="18"/>
          <w:lang w:val="es-ES"/>
        </w:rPr>
        <w:t>“Todos lo</w:t>
      </w:r>
      <w:r>
        <w:rPr>
          <w:rFonts w:ascii="Arial" w:eastAsia="Times New Roman" w:hAnsi="Arial" w:cs="Arial"/>
          <w:sz w:val="18"/>
          <w:szCs w:val="18"/>
          <w:lang w:val="es-ES"/>
        </w:rPr>
        <w:t xml:space="preserve">s Derechos para Todas y Todos” </w:t>
      </w:r>
      <w:r w:rsidRPr="00F0237A">
        <w:rPr>
          <w:rFonts w:ascii="Arial" w:eastAsia="Times New Roman" w:hAnsi="Arial" w:cs="Arial"/>
          <w:sz w:val="18"/>
          <w:szCs w:val="18"/>
          <w:lang w:val="es-ES"/>
        </w:rPr>
        <w:t>(conformada por 84 organizaciones en 23 estados de la República mexicana)</w:t>
      </w:r>
    </w:p>
    <w:p w:rsidR="00F0237A" w:rsidRDefault="00F0237A">
      <w:pPr>
        <w:spacing w:after="0" w:line="240" w:lineRule="auto"/>
        <w:jc w:val="both"/>
        <w:rPr>
          <w:rFonts w:ascii="Arial" w:eastAsia="Times New Roman" w:hAnsi="Arial" w:cs="Arial"/>
          <w:b/>
        </w:rPr>
      </w:pPr>
    </w:p>
    <w:p w:rsidR="00F0237A" w:rsidRDefault="00F0237A">
      <w:pPr>
        <w:spacing w:after="0" w:line="240" w:lineRule="auto"/>
        <w:jc w:val="both"/>
        <w:rPr>
          <w:rFonts w:ascii="Arial" w:eastAsia="Times New Roman" w:hAnsi="Arial" w:cs="Arial"/>
          <w:b/>
        </w:rPr>
      </w:pPr>
    </w:p>
    <w:p w:rsidR="00F0237A" w:rsidRDefault="00F0237A">
      <w:pPr>
        <w:spacing w:after="0" w:line="240" w:lineRule="auto"/>
        <w:jc w:val="both"/>
      </w:pPr>
    </w:p>
    <w:sectPr w:rsidR="00F0237A">
      <w:pgSz w:w="12240" w:h="15840"/>
      <w:pgMar w:top="1417" w:right="1701" w:bottom="1417" w:left="1701"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roid Sans Fallback">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Consolas">
    <w:panose1 w:val="020B0609020204030204"/>
    <w:charset w:val="00"/>
    <w:family w:val="modern"/>
    <w:pitch w:val="fixed"/>
    <w:sig w:usb0="E10002FF" w:usb1="4000FCFF" w:usb2="00000009" w:usb3="00000000" w:csb0="0000019F" w:csb1="00000000"/>
  </w:font>
  <w:font w:name="Lucida Grande">
    <w:altName w:val="Segoe UI"/>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Liberation Sans">
    <w:altName w:val="Arial"/>
    <w:charset w:val="01"/>
    <w:family w:val="swiss"/>
    <w:pitch w:val="variable"/>
  </w:font>
  <w:font w:name="Noto Sans CJK SC Regular">
    <w:panose1 w:val="00000000000000000000"/>
    <w:charset w:val="00"/>
    <w:family w:val="roman"/>
    <w:notTrueType/>
    <w:pitch w:val="default"/>
  </w:font>
  <w:font w:name="FreeSans">
    <w:altName w:val="Cambria"/>
    <w:panose1 w:val="00000000000000000000"/>
    <w:charset w:val="00"/>
    <w:family w:val="roman"/>
    <w:notTrueType/>
    <w:pitch w:val="default"/>
  </w:font>
  <w:font w:name="sans-serif">
    <w:altName w:val="Arial"/>
    <w:charset w:val="01"/>
    <w:family w:val="roman"/>
    <w:pitch w:val="variable"/>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B7CDC"/>
    <w:multiLevelType w:val="multilevel"/>
    <w:tmpl w:val="BD32D78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18633DC2"/>
    <w:multiLevelType w:val="multilevel"/>
    <w:tmpl w:val="D6843A4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405C473A"/>
    <w:multiLevelType w:val="multilevel"/>
    <w:tmpl w:val="9CEEFB3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E3E"/>
    <w:rsid w:val="000B0E0E"/>
    <w:rsid w:val="001E0DD3"/>
    <w:rsid w:val="00251D71"/>
    <w:rsid w:val="006F02F9"/>
    <w:rsid w:val="00764E3E"/>
    <w:rsid w:val="009B1293"/>
    <w:rsid w:val="00BE40DA"/>
    <w:rsid w:val="00E37DDD"/>
    <w:rsid w:val="00F0237A"/>
  </w:rsids>
  <m:mathPr>
    <m:mathFont m:val="Cambria Math"/>
    <m:brkBin m:val="before"/>
    <m:brkBinSub m:val="--"/>
    <m:smallFrac m:val="0"/>
    <m:dispDef/>
    <m:lMargin m:val="0"/>
    <m:rMargin m:val="0"/>
    <m:defJc m:val="centerGroup"/>
    <m:wrapIndent m:val="1440"/>
    <m:intLim m:val="subSup"/>
    <m:naryLim m:val="undOvr"/>
  </m:mathPr>
  <w:themeFontLang w:val="es-MX"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C3F3E5"/>
  <w15:docId w15:val="{54512893-F2E5-4D91-8072-E7A7F4532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Droid Sans Fallback" w:hAnsi="Calibri" w:cs="Times New Roman"/>
        <w:szCs w:val="22"/>
        <w:lang w:val="es-MX"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pPr>
      <w:suppressAutoHyphens/>
      <w:spacing w:after="160" w:line="259" w:lineRule="auto"/>
    </w:pPr>
    <w:rPr>
      <w:color w:val="00000A"/>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Heading2Char">
    <w:name w:val="Heading 2 Char"/>
    <w:basedOn w:val="Fuentedeprrafopredeter"/>
    <w:link w:val="Encabezado2"/>
    <w:uiPriority w:val="9"/>
    <w:qFormat/>
    <w:rsid w:val="003C7129"/>
    <w:rPr>
      <w:rFonts w:ascii="Calibri Light" w:hAnsi="Calibri Light"/>
      <w:b/>
      <w:color w:val="3B3838"/>
      <w:sz w:val="32"/>
      <w:szCs w:val="26"/>
    </w:rPr>
  </w:style>
  <w:style w:type="character" w:customStyle="1" w:styleId="EnlacedeInternet">
    <w:name w:val="Enlace de Internet"/>
    <w:basedOn w:val="Fuentedeprrafopredeter"/>
    <w:uiPriority w:val="99"/>
    <w:qFormat/>
    <w:rsid w:val="00AF7055"/>
    <w:rPr>
      <w:color w:val="0000FF"/>
      <w:u w:val="single"/>
    </w:rPr>
  </w:style>
  <w:style w:type="character" w:customStyle="1" w:styleId="Caracteresdenotaalpie">
    <w:name w:val="Caracteres de nota al pie"/>
    <w:qFormat/>
    <w:rsid w:val="00AF7055"/>
    <w:rPr>
      <w:vertAlign w:val="superscript"/>
    </w:rPr>
  </w:style>
  <w:style w:type="character" w:customStyle="1" w:styleId="TextonotapieCar">
    <w:name w:val="Texto nota pie Car"/>
    <w:basedOn w:val="Fuentedeprrafopredeter"/>
    <w:link w:val="Textonotapie"/>
    <w:uiPriority w:val="99"/>
    <w:qFormat/>
    <w:rsid w:val="00AF7055"/>
    <w:rPr>
      <w:rFonts w:ascii="Times New Roman" w:eastAsia="Times New Roman" w:hAnsi="Times New Roman" w:cs="Times New Roman"/>
      <w:sz w:val="20"/>
      <w:szCs w:val="20"/>
      <w:lang w:eastAsia="zh-CN"/>
    </w:rPr>
  </w:style>
  <w:style w:type="character" w:customStyle="1" w:styleId="TextosinformatoCar">
    <w:name w:val="Texto sin formato Car"/>
    <w:basedOn w:val="Fuentedeprrafopredeter"/>
    <w:link w:val="Textosinformato"/>
    <w:uiPriority w:val="99"/>
    <w:qFormat/>
    <w:rsid w:val="00E61B0C"/>
    <w:rPr>
      <w:rFonts w:ascii="Calibri" w:hAnsi="Calibri" w:cs="Consolas"/>
      <w:szCs w:val="21"/>
    </w:rPr>
  </w:style>
  <w:style w:type="character" w:customStyle="1" w:styleId="TextodegloboCar">
    <w:name w:val="Texto de globo Car"/>
    <w:basedOn w:val="Fuentedeprrafopredeter"/>
    <w:link w:val="Textodeglobo"/>
    <w:uiPriority w:val="99"/>
    <w:semiHidden/>
    <w:qFormat/>
    <w:rsid w:val="00DC4F70"/>
    <w:rPr>
      <w:rFonts w:ascii="Lucida Grande" w:hAnsi="Lucida Grande" w:cs="Lucida Grande"/>
      <w:sz w:val="18"/>
      <w:szCs w:val="18"/>
    </w:rPr>
  </w:style>
  <w:style w:type="character" w:customStyle="1" w:styleId="ListLabel1">
    <w:name w:val="ListLabel 1"/>
    <w:qFormat/>
    <w:rPr>
      <w:rFonts w:cs="Courier New"/>
    </w:rPr>
  </w:style>
  <w:style w:type="character" w:customStyle="1" w:styleId="TextocomentarioCar">
    <w:name w:val="Texto comentario Car"/>
    <w:basedOn w:val="Fuentedeprrafopredeter"/>
    <w:link w:val="Textocomentario"/>
    <w:uiPriority w:val="99"/>
    <w:semiHidden/>
    <w:qFormat/>
    <w:rPr>
      <w:sz w:val="20"/>
      <w:szCs w:val="20"/>
    </w:rPr>
  </w:style>
  <w:style w:type="character" w:styleId="Refdecomentario">
    <w:name w:val="annotation reference"/>
    <w:basedOn w:val="Fuentedeprrafopredeter"/>
    <w:uiPriority w:val="99"/>
    <w:semiHidden/>
    <w:unhideWhenUsed/>
    <w:qFormat/>
    <w:rPr>
      <w:sz w:val="16"/>
      <w:szCs w:val="16"/>
    </w:rPr>
  </w:style>
  <w:style w:type="character" w:customStyle="1" w:styleId="AsuntodelcomentarioCar">
    <w:name w:val="Asunto del comentario Car"/>
    <w:basedOn w:val="TextocomentarioCar"/>
    <w:link w:val="Asuntodelcomentario"/>
    <w:uiPriority w:val="99"/>
    <w:semiHidden/>
    <w:qFormat/>
    <w:rsid w:val="00052B36"/>
    <w:rPr>
      <w:b/>
      <w:bCs/>
      <w:sz w:val="20"/>
      <w:szCs w:val="20"/>
    </w:rPr>
  </w:style>
  <w:style w:type="character" w:styleId="nfasis">
    <w:name w:val="Emphasis"/>
    <w:basedOn w:val="Fuentedeprrafopredeter"/>
    <w:uiPriority w:val="20"/>
    <w:qFormat/>
    <w:rsid w:val="00DD7C83"/>
    <w:rPr>
      <w:i/>
      <w:iCs/>
    </w:rPr>
  </w:style>
  <w:style w:type="character" w:customStyle="1" w:styleId="apple-converted-space">
    <w:name w:val="apple-converted-space"/>
    <w:basedOn w:val="Fuentedeprrafopredeter"/>
    <w:qFormat/>
    <w:rsid w:val="00DD7C83"/>
  </w:style>
  <w:style w:type="character" w:customStyle="1" w:styleId="InternetLink">
    <w:name w:val="Internet Link"/>
    <w:basedOn w:val="Fuentedeprrafopredeter"/>
    <w:uiPriority w:val="99"/>
    <w:unhideWhenUsed/>
    <w:rsid w:val="009B6923"/>
    <w:rPr>
      <w:color w:val="0563C1" w:themeColor="hyperlink"/>
      <w:u w:val="single"/>
    </w:rPr>
  </w:style>
  <w:style w:type="character" w:styleId="Mencionar">
    <w:name w:val="Mention"/>
    <w:basedOn w:val="Fuentedeprrafopredeter"/>
    <w:uiPriority w:val="99"/>
    <w:semiHidden/>
    <w:unhideWhenUsed/>
    <w:qFormat/>
    <w:rsid w:val="009B6923"/>
    <w:rPr>
      <w:color w:val="2B579A"/>
      <w:shd w:val="clear" w:color="auto" w:fill="E6E6E6"/>
    </w:rPr>
  </w:style>
  <w:style w:type="character" w:styleId="Hipervnculovisitado">
    <w:name w:val="FollowedHyperlink"/>
    <w:basedOn w:val="Fuentedeprrafopredeter"/>
    <w:uiPriority w:val="99"/>
    <w:semiHidden/>
    <w:unhideWhenUsed/>
    <w:qFormat/>
    <w:rsid w:val="0084565B"/>
    <w:rPr>
      <w:color w:val="954F72" w:themeColor="followedHyperlink"/>
      <w:u w:val="single"/>
    </w:rPr>
  </w:style>
  <w:style w:type="character" w:customStyle="1" w:styleId="ListLabel2">
    <w:name w:val="ListLabel 2"/>
    <w:qFormat/>
    <w:rPr>
      <w:rFonts w:cs="Symbol"/>
    </w:rPr>
  </w:style>
  <w:style w:type="character" w:customStyle="1" w:styleId="ListLabel3">
    <w:name w:val="ListLabel 3"/>
    <w:qFormat/>
    <w:rPr>
      <w:rFonts w:cs="Symbol"/>
    </w:rPr>
  </w:style>
  <w:style w:type="character" w:customStyle="1" w:styleId="ListLabel4">
    <w:name w:val="ListLabel 4"/>
    <w:qFormat/>
    <w:rPr>
      <w:rFonts w:cs="Courier New"/>
    </w:rPr>
  </w:style>
  <w:style w:type="character" w:customStyle="1" w:styleId="ListLabel5">
    <w:name w:val="ListLabel 5"/>
    <w:qFormat/>
    <w:rPr>
      <w:rFonts w:cs="Wingdings"/>
    </w:rPr>
  </w:style>
  <w:style w:type="character" w:customStyle="1" w:styleId="ListLabel6">
    <w:name w:val="ListLabel 6"/>
    <w:qFormat/>
    <w:rPr>
      <w:rFonts w:cs="Symbol"/>
    </w:rPr>
  </w:style>
  <w:style w:type="character" w:customStyle="1" w:styleId="ListLabel7">
    <w:name w:val="ListLabel 7"/>
    <w:qFormat/>
    <w:rPr>
      <w:rFonts w:cs="Courier New"/>
    </w:rPr>
  </w:style>
  <w:style w:type="character" w:customStyle="1" w:styleId="ListLabel8">
    <w:name w:val="ListLabel 8"/>
    <w:qFormat/>
    <w:rPr>
      <w:rFonts w:cs="Wingdings"/>
    </w:rPr>
  </w:style>
  <w:style w:type="character" w:customStyle="1" w:styleId="ListLabel9">
    <w:name w:val="ListLabel 9"/>
    <w:qFormat/>
    <w:rPr>
      <w:rFonts w:cs="Symbol"/>
    </w:rPr>
  </w:style>
  <w:style w:type="character" w:customStyle="1" w:styleId="ListLabel10">
    <w:name w:val="ListLabel 10"/>
    <w:qFormat/>
    <w:rPr>
      <w:rFonts w:cs="Courier New"/>
    </w:rPr>
  </w:style>
  <w:style w:type="character" w:customStyle="1" w:styleId="ListLabel11">
    <w:name w:val="ListLabel 11"/>
    <w:qFormat/>
    <w:rPr>
      <w:rFonts w:cs="Wingdings"/>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ascii="Arial" w:hAnsi="Arial" w:cs="Symbol"/>
    </w:rPr>
  </w:style>
  <w:style w:type="character" w:customStyle="1" w:styleId="ListLabel22">
    <w:name w:val="ListLabel 22"/>
    <w:qFormat/>
    <w:rPr>
      <w:rFonts w:cs="Courier New"/>
    </w:rPr>
  </w:style>
  <w:style w:type="character" w:customStyle="1" w:styleId="ListLabel23">
    <w:name w:val="ListLabel 23"/>
    <w:qFormat/>
    <w:rPr>
      <w:rFonts w:cs="Wingdings"/>
    </w:rPr>
  </w:style>
  <w:style w:type="character" w:customStyle="1" w:styleId="ListLabel24">
    <w:name w:val="ListLabel 24"/>
    <w:qFormat/>
    <w:rPr>
      <w:rFonts w:cs="Symbol"/>
    </w:rPr>
  </w:style>
  <w:style w:type="character" w:customStyle="1" w:styleId="ListLabel25">
    <w:name w:val="ListLabel 25"/>
    <w:qFormat/>
    <w:rPr>
      <w:rFonts w:cs="Courier New"/>
    </w:rPr>
  </w:style>
  <w:style w:type="character" w:customStyle="1" w:styleId="ListLabel26">
    <w:name w:val="ListLabel 26"/>
    <w:qFormat/>
    <w:rPr>
      <w:rFonts w:cs="Wingdings"/>
    </w:rPr>
  </w:style>
  <w:style w:type="character" w:customStyle="1" w:styleId="ListLabel27">
    <w:name w:val="ListLabel 27"/>
    <w:qFormat/>
    <w:rPr>
      <w:rFonts w:cs="Symbol"/>
    </w:rPr>
  </w:style>
  <w:style w:type="character" w:customStyle="1" w:styleId="ListLabel28">
    <w:name w:val="ListLabel 28"/>
    <w:qFormat/>
    <w:rPr>
      <w:rFonts w:cs="Courier New"/>
    </w:rPr>
  </w:style>
  <w:style w:type="character" w:customStyle="1" w:styleId="ListLabel29">
    <w:name w:val="ListLabel 29"/>
    <w:qFormat/>
    <w:rPr>
      <w:rFonts w:cs="Wingdings"/>
    </w:rPr>
  </w:style>
  <w:style w:type="paragraph" w:customStyle="1" w:styleId="Heading">
    <w:name w:val="Heading"/>
    <w:basedOn w:val="Normal"/>
    <w:next w:val="Textoindependiente"/>
    <w:qFormat/>
    <w:pPr>
      <w:keepNext/>
      <w:spacing w:before="240" w:after="120"/>
    </w:pPr>
    <w:rPr>
      <w:rFonts w:ascii="Liberation Sans" w:eastAsia="Noto Sans CJK SC Regular" w:hAnsi="Liberation Sans" w:cs="FreeSans"/>
      <w:sz w:val="28"/>
      <w:szCs w:val="28"/>
    </w:rPr>
  </w:style>
  <w:style w:type="paragraph" w:styleId="Textoindependiente">
    <w:name w:val="Body Text"/>
    <w:basedOn w:val="Normal"/>
    <w:pPr>
      <w:spacing w:after="140" w:line="288" w:lineRule="auto"/>
    </w:pPr>
  </w:style>
  <w:style w:type="paragraph" w:styleId="Lista">
    <w:name w:val="List"/>
    <w:pPr>
      <w:widowControl w:val="0"/>
    </w:pPr>
    <w:rPr>
      <w:rFonts w:cs="FreeSans"/>
      <w:sz w:val="22"/>
    </w:rPr>
  </w:style>
  <w:style w:type="paragraph" w:styleId="Descripcin">
    <w:name w:val="caption"/>
    <w:basedOn w:val="Normal"/>
    <w:qFormat/>
    <w:pPr>
      <w:suppressLineNumbers/>
      <w:spacing w:before="120" w:after="120"/>
    </w:pPr>
    <w:rPr>
      <w:rFonts w:cs="FreeSans"/>
      <w:i/>
      <w:iCs/>
      <w:sz w:val="24"/>
      <w:szCs w:val="24"/>
    </w:rPr>
  </w:style>
  <w:style w:type="paragraph" w:customStyle="1" w:styleId="Index">
    <w:name w:val="Index"/>
    <w:basedOn w:val="Normal"/>
    <w:qFormat/>
    <w:pPr>
      <w:suppressLineNumbers/>
    </w:pPr>
    <w:rPr>
      <w:rFonts w:cs="FreeSans"/>
    </w:rPr>
  </w:style>
  <w:style w:type="paragraph" w:customStyle="1" w:styleId="Encabezado2">
    <w:name w:val="Encabezado 2"/>
    <w:basedOn w:val="Normal"/>
    <w:next w:val="Normal"/>
    <w:link w:val="Heading2Char"/>
    <w:autoRedefine/>
    <w:uiPriority w:val="9"/>
    <w:unhideWhenUsed/>
    <w:qFormat/>
    <w:rsid w:val="003C7129"/>
    <w:pPr>
      <w:keepNext/>
      <w:keepLines/>
      <w:spacing w:before="40" w:after="0" w:line="240" w:lineRule="auto"/>
      <w:ind w:left="720"/>
      <w:jc w:val="center"/>
      <w:outlineLvl w:val="1"/>
    </w:pPr>
    <w:rPr>
      <w:rFonts w:ascii="Calibri Light" w:hAnsi="Calibri Light"/>
      <w:b/>
      <w:color w:val="3B3838"/>
      <w:sz w:val="32"/>
      <w:szCs w:val="26"/>
    </w:rPr>
  </w:style>
  <w:style w:type="paragraph" w:styleId="Encabezado">
    <w:name w:val="header"/>
    <w:basedOn w:val="Normal"/>
    <w:pPr>
      <w:keepNext/>
      <w:spacing w:before="240" w:after="120"/>
    </w:pPr>
    <w:rPr>
      <w:rFonts w:ascii="Liberation Sans" w:hAnsi="Liberation Sans" w:cs="FreeSans"/>
      <w:sz w:val="28"/>
      <w:szCs w:val="28"/>
    </w:rPr>
  </w:style>
  <w:style w:type="paragraph" w:customStyle="1" w:styleId="Cuerpodetexto">
    <w:name w:val="Cuerpo de texto"/>
    <w:basedOn w:val="Normal"/>
    <w:qFormat/>
    <w:pPr>
      <w:spacing w:after="140" w:line="288" w:lineRule="auto"/>
    </w:pPr>
  </w:style>
  <w:style w:type="paragraph" w:customStyle="1" w:styleId="Pie">
    <w:name w:val="Pie"/>
    <w:basedOn w:val="Normal"/>
    <w:qFormat/>
    <w:pPr>
      <w:suppressLineNumbers/>
      <w:spacing w:before="120" w:after="120"/>
    </w:pPr>
    <w:rPr>
      <w:rFonts w:cs="FreeSans"/>
      <w:i/>
      <w:iCs/>
      <w:sz w:val="24"/>
      <w:szCs w:val="24"/>
    </w:rPr>
  </w:style>
  <w:style w:type="paragraph" w:customStyle="1" w:styleId="ndice">
    <w:name w:val="Índice"/>
    <w:basedOn w:val="Normal"/>
    <w:qFormat/>
    <w:pPr>
      <w:suppressLineNumbers/>
    </w:pPr>
    <w:rPr>
      <w:rFonts w:cs="FreeSans"/>
    </w:rPr>
  </w:style>
  <w:style w:type="paragraph" w:customStyle="1" w:styleId="Listavistosa-nfasis11">
    <w:name w:val="Lista vistosa - Énfasis 11"/>
    <w:basedOn w:val="Normal"/>
    <w:qFormat/>
    <w:rsid w:val="00AF7055"/>
    <w:pPr>
      <w:spacing w:line="252" w:lineRule="auto"/>
      <w:ind w:left="720"/>
      <w:contextualSpacing/>
    </w:pPr>
    <w:rPr>
      <w:rFonts w:eastAsia="Times New Roman"/>
      <w:lang w:eastAsia="zh-CN"/>
    </w:rPr>
  </w:style>
  <w:style w:type="paragraph" w:styleId="Textonotapie">
    <w:name w:val="footnote text"/>
    <w:basedOn w:val="Normal"/>
    <w:link w:val="TextonotapieCar"/>
    <w:uiPriority w:val="99"/>
    <w:qFormat/>
    <w:rsid w:val="00AF7055"/>
    <w:pPr>
      <w:spacing w:after="0" w:line="240" w:lineRule="auto"/>
    </w:pPr>
    <w:rPr>
      <w:rFonts w:ascii="Times New Roman" w:eastAsia="Times New Roman" w:hAnsi="Times New Roman"/>
      <w:sz w:val="20"/>
      <w:szCs w:val="20"/>
      <w:lang w:eastAsia="zh-CN"/>
    </w:rPr>
  </w:style>
  <w:style w:type="paragraph" w:styleId="Textosinformato">
    <w:name w:val="Plain Text"/>
    <w:basedOn w:val="Normal"/>
    <w:link w:val="TextosinformatoCar"/>
    <w:uiPriority w:val="99"/>
    <w:unhideWhenUsed/>
    <w:qFormat/>
    <w:rsid w:val="00E61B0C"/>
    <w:pPr>
      <w:spacing w:after="0" w:line="240" w:lineRule="auto"/>
    </w:pPr>
    <w:rPr>
      <w:rFonts w:cs="Consolas"/>
      <w:szCs w:val="21"/>
    </w:rPr>
  </w:style>
  <w:style w:type="paragraph" w:styleId="NormalWeb">
    <w:name w:val="Normal (Web)"/>
    <w:basedOn w:val="Normal"/>
    <w:uiPriority w:val="99"/>
    <w:semiHidden/>
    <w:unhideWhenUsed/>
    <w:qFormat/>
    <w:rsid w:val="00C65686"/>
    <w:pPr>
      <w:spacing w:after="280"/>
    </w:pPr>
    <w:rPr>
      <w:rFonts w:ascii="Times New Roman" w:hAnsi="Times New Roman"/>
      <w:sz w:val="24"/>
      <w:szCs w:val="24"/>
      <w:lang w:eastAsia="es-MX"/>
    </w:rPr>
  </w:style>
  <w:style w:type="paragraph" w:styleId="Textodeglobo">
    <w:name w:val="Balloon Text"/>
    <w:basedOn w:val="Normal"/>
    <w:link w:val="TextodegloboCar"/>
    <w:uiPriority w:val="99"/>
    <w:semiHidden/>
    <w:unhideWhenUsed/>
    <w:qFormat/>
    <w:rsid w:val="00DC4F70"/>
    <w:pPr>
      <w:spacing w:after="0" w:line="240" w:lineRule="auto"/>
    </w:pPr>
    <w:rPr>
      <w:rFonts w:ascii="Lucida Grande" w:hAnsi="Lucida Grande" w:cs="Lucida Grande"/>
      <w:sz w:val="18"/>
      <w:szCs w:val="18"/>
    </w:rPr>
  </w:style>
  <w:style w:type="paragraph" w:styleId="Textocomentario">
    <w:name w:val="annotation text"/>
    <w:basedOn w:val="Normal"/>
    <w:link w:val="TextocomentarioCar"/>
    <w:uiPriority w:val="99"/>
    <w:semiHidden/>
    <w:unhideWhenUsed/>
    <w:qFormat/>
    <w:pPr>
      <w:spacing w:line="240" w:lineRule="auto"/>
    </w:pPr>
    <w:rPr>
      <w:sz w:val="20"/>
      <w:szCs w:val="20"/>
    </w:rPr>
  </w:style>
  <w:style w:type="paragraph" w:styleId="Asuntodelcomentario">
    <w:name w:val="annotation subject"/>
    <w:basedOn w:val="Textocomentario"/>
    <w:link w:val="AsuntodelcomentarioCar"/>
    <w:uiPriority w:val="99"/>
    <w:semiHidden/>
    <w:unhideWhenUsed/>
    <w:qFormat/>
    <w:rsid w:val="00052B36"/>
    <w:rPr>
      <w:b/>
      <w:bCs/>
    </w:rPr>
  </w:style>
  <w:style w:type="paragraph" w:styleId="Prrafodelista">
    <w:name w:val="List Paragraph"/>
    <w:basedOn w:val="Normal"/>
    <w:uiPriority w:val="34"/>
    <w:qFormat/>
    <w:rsid w:val="00052B36"/>
    <w:pPr>
      <w:ind w:left="720"/>
      <w:contextualSpacing/>
    </w:pPr>
  </w:style>
  <w:style w:type="paragraph" w:styleId="Revisin">
    <w:name w:val="Revision"/>
    <w:uiPriority w:val="99"/>
    <w:semiHidden/>
    <w:qFormat/>
    <w:rsid w:val="000D3239"/>
    <w:rPr>
      <w:color w:val="00000A"/>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business-humanrights.org/es/m&#233;xico-67-casos-de-abusos-de-empresas-a-los-derechos-humanos-exhiben-situaci&#243;n-en-el-pa&#237;s-ante-la-visita-del-grupo-de-trabajo"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ap.ohchr.org/documents/dpage_e.aspx?si=A/HRC/35/32/Add.2"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356E56-AC8A-45BF-AA18-1F0D550F8C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1182</Words>
  <Characters>6506</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Hudlet</dc:creator>
  <dc:description/>
  <cp:lastModifiedBy>Karen Hudlet</cp:lastModifiedBy>
  <cp:revision>12</cp:revision>
  <dcterms:created xsi:type="dcterms:W3CDTF">2017-06-12T13:59:00Z</dcterms:created>
  <dcterms:modified xsi:type="dcterms:W3CDTF">2017-06-12T16:02:00Z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