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0A4" w:rsidRPr="004D343E" w:rsidRDefault="007D11A2" w:rsidP="00C240A4">
      <w:pPr>
        <w:spacing w:line="360" w:lineRule="auto"/>
        <w:rPr>
          <w:rFonts w:ascii="Arial" w:hAnsi="Arial" w:cs="Arial"/>
        </w:rPr>
      </w:pPr>
      <w:bookmarkStart w:id="0" w:name="_GoBack"/>
      <w:bookmarkEnd w:id="0"/>
      <w:r w:rsidRPr="004D343E">
        <w:rPr>
          <w:rFonts w:ascii="Arial" w:hAnsi="Arial"/>
        </w:rPr>
        <w:t xml:space="preserve">Para SABMiller plc, la empresa matriz de ILC, el agua es una prioridad estratégica, y nos sentimos responsables del uso eficiente del agua en todas nuestras operaciones y en las operaciones con nuestros colaboradores, que impliquen un uso compartido de recursos hídricos. Sabemos que la única manera de tener un suministro asiduo de agua para nuestras propias operaciones pasa por tenerla también las comunidades y ecosistemas con los que compartimos los recursos hídricos. </w:t>
      </w:r>
    </w:p>
    <w:p w:rsidR="00C240A4" w:rsidRPr="004D343E" w:rsidRDefault="00C240A4" w:rsidP="00C240A4">
      <w:pPr>
        <w:spacing w:line="360" w:lineRule="auto"/>
        <w:rPr>
          <w:rFonts w:ascii="Arial" w:hAnsi="Arial" w:cs="Arial"/>
        </w:rPr>
      </w:pPr>
    </w:p>
    <w:p w:rsidR="007D11A2" w:rsidRPr="004D343E" w:rsidRDefault="007D11A2" w:rsidP="007D11A2">
      <w:pPr>
        <w:spacing w:line="360" w:lineRule="auto"/>
        <w:rPr>
          <w:rFonts w:ascii="Arial" w:hAnsi="Arial" w:cs="Arial"/>
        </w:rPr>
      </w:pPr>
      <w:r w:rsidRPr="004D343E">
        <w:rPr>
          <w:rFonts w:ascii="Arial" w:hAnsi="Arial"/>
        </w:rPr>
        <w:t xml:space="preserve">Industrias la Constancia (ILC) cree que todo el mundo debería tener acceso constante al agua potable. Como filial propiedad total de SABMiller, Industrias la Constancia refrenda las políticas de la empresa y fija como objetivo y comparte enteramente el compromiso adoptado por SABMiller de proporcionar recursos hídricos compartidos a través de asociaciones eficaces. </w:t>
      </w:r>
    </w:p>
    <w:p w:rsidR="007D11A2" w:rsidRPr="004D343E" w:rsidRDefault="007D11A2" w:rsidP="007D11A2">
      <w:pPr>
        <w:spacing w:line="360" w:lineRule="auto"/>
        <w:rPr>
          <w:rFonts w:ascii="Arial" w:hAnsi="Arial" w:cs="Arial"/>
        </w:rPr>
      </w:pPr>
    </w:p>
    <w:p w:rsidR="007D11A2" w:rsidRPr="004D343E" w:rsidRDefault="007D11A2" w:rsidP="007D11A2">
      <w:pPr>
        <w:spacing w:line="360" w:lineRule="auto"/>
        <w:rPr>
          <w:rFonts w:ascii="Arial" w:hAnsi="Arial" w:cs="Arial"/>
        </w:rPr>
      </w:pPr>
      <w:r w:rsidRPr="004D343E">
        <w:rPr>
          <w:rFonts w:ascii="Arial" w:hAnsi="Arial"/>
        </w:rPr>
        <w:t>Gracias al fruto del esfuerzo de sus filiales, SABMiller prioriza el uso eficiente del a</w:t>
      </w:r>
      <w:r w:rsidR="00043BBE" w:rsidRPr="004D343E">
        <w:rPr>
          <w:rFonts w:ascii="Arial" w:hAnsi="Arial"/>
        </w:rPr>
        <w:t xml:space="preserve">gua por parte de la industria. </w:t>
      </w:r>
      <w:r w:rsidRPr="004D343E">
        <w:rPr>
          <w:rFonts w:ascii="Arial" w:hAnsi="Arial"/>
        </w:rPr>
        <w:t xml:space="preserve">En 2008 nos propusimos el objetivo global de mejorar un 25% nuestra eficiencia hídrica, objetivo que cumplimos con un año de antelación. Actualmente, en nuestras fábricas de cerveza empleamos una media de 3,3 litros para producir un litro de cerveza. Hemos sido una de las primeras empresas en publicar la </w:t>
      </w:r>
      <w:hyperlink r:id="rId7">
        <w:r w:rsidRPr="004D343E">
          <w:rPr>
            <w:rStyle w:val="Hipervnculo"/>
            <w:rFonts w:ascii="Arial" w:hAnsi="Arial"/>
          </w:rPr>
          <w:t>huella hídrica</w:t>
        </w:r>
      </w:hyperlink>
      <w:r w:rsidRPr="004D343E">
        <w:rPr>
          <w:rFonts w:ascii="Arial" w:hAnsi="Arial"/>
        </w:rPr>
        <w:t xml:space="preserve"> completa de la cadena de valor de nuestro producto y divulgamos públicamente información acerca de nuestro rendimiento en materia de eficiencia hídrica dentro de cada país donde estamos implantados.</w:t>
      </w:r>
    </w:p>
    <w:p w:rsidR="007D11A2" w:rsidRPr="004D343E" w:rsidRDefault="007D11A2" w:rsidP="007D11A2">
      <w:pPr>
        <w:spacing w:line="360" w:lineRule="auto"/>
        <w:rPr>
          <w:rFonts w:ascii="Arial" w:hAnsi="Arial" w:cs="Arial"/>
        </w:rPr>
      </w:pPr>
    </w:p>
    <w:p w:rsidR="007D11A2" w:rsidRPr="004D343E" w:rsidRDefault="007D11A2" w:rsidP="007D11A2">
      <w:pPr>
        <w:spacing w:line="360" w:lineRule="auto"/>
        <w:rPr>
          <w:rFonts w:ascii="Arial" w:hAnsi="Arial" w:cs="Arial"/>
        </w:rPr>
      </w:pPr>
      <w:r w:rsidRPr="004D343E">
        <w:rPr>
          <w:rFonts w:ascii="Arial" w:hAnsi="Arial"/>
        </w:rPr>
        <w:t xml:space="preserve">Tenemos una larga trayectoria demostrada de conocimiento de los riesgos hídricos y de establecimiento de asociaciones para garantizar el agua, tanto para nuestra actividad, como para las comunidades con las que lo compartimos. Cooperamos con organizaciones, como WWF y The Nature Conservancy. Formamos parte del </w:t>
      </w:r>
      <w:hyperlink r:id="rId8">
        <w:r w:rsidRPr="004D343E">
          <w:rPr>
            <w:rStyle w:val="Hipervnculo"/>
            <w:rFonts w:ascii="Arial" w:hAnsi="Arial"/>
            <w:color w:val="auto"/>
          </w:rPr>
          <w:t>2030 Water Resources Group</w:t>
        </w:r>
      </w:hyperlink>
      <w:r w:rsidRPr="004D343E">
        <w:rPr>
          <w:rFonts w:ascii="Arial" w:hAnsi="Arial"/>
        </w:rPr>
        <w:t xml:space="preserve"> y como tal desempeñamos un papel activo en asociaciones de múltiples partes interesadas en pos del desarrollo de políticas enfocadas a encontrar soluciones para el bien común en países en los que el agua supone un problema de gran calado. Hemos implantado este modelo en Sudáfrica, Tanzania e India.</w:t>
      </w:r>
    </w:p>
    <w:p w:rsidR="007D11A2" w:rsidRPr="004D343E" w:rsidRDefault="007D11A2" w:rsidP="007D11A2">
      <w:pPr>
        <w:spacing w:line="360" w:lineRule="auto"/>
        <w:rPr>
          <w:rFonts w:ascii="Arial" w:hAnsi="Arial" w:cs="Arial"/>
        </w:rPr>
      </w:pPr>
    </w:p>
    <w:p w:rsidR="007D11A2" w:rsidRPr="004D343E" w:rsidRDefault="007D11A2" w:rsidP="007D11A2">
      <w:pPr>
        <w:spacing w:line="360" w:lineRule="auto"/>
        <w:rPr>
          <w:rFonts w:ascii="Arial" w:hAnsi="Arial" w:cs="Arial"/>
        </w:rPr>
      </w:pPr>
      <w:r w:rsidRPr="004D343E">
        <w:rPr>
          <w:rFonts w:ascii="Arial" w:hAnsi="Arial"/>
        </w:rPr>
        <w:t xml:space="preserve">El año pasado SABMiller puso en marcha una nueva estrategia de desarrollo sostenible </w:t>
      </w:r>
      <w:r w:rsidR="00043BBE" w:rsidRPr="004D343E">
        <w:rPr>
          <w:rFonts w:ascii="Arial" w:hAnsi="Arial"/>
        </w:rPr>
        <w:t xml:space="preserve">con nuevos objetivos públicos. </w:t>
      </w:r>
      <w:r w:rsidRPr="004D343E">
        <w:rPr>
          <w:rFonts w:ascii="Arial" w:hAnsi="Arial"/>
        </w:rPr>
        <w:t>De cara a 2020, queremos fijarnos el siguiente objetivo:</w:t>
      </w:r>
    </w:p>
    <w:p w:rsidR="007D11A2" w:rsidRPr="004D343E" w:rsidRDefault="007D11A2" w:rsidP="007D11A2">
      <w:pPr>
        <w:numPr>
          <w:ilvl w:val="0"/>
          <w:numId w:val="1"/>
        </w:numPr>
        <w:spacing w:line="360" w:lineRule="auto"/>
        <w:rPr>
          <w:rFonts w:ascii="Arial" w:hAnsi="Arial" w:cs="Arial"/>
        </w:rPr>
      </w:pPr>
      <w:r w:rsidRPr="004D343E">
        <w:rPr>
          <w:rFonts w:ascii="Arial" w:hAnsi="Arial"/>
        </w:rPr>
        <w:lastRenderedPageBreak/>
        <w:t xml:space="preserve">Proporcionar un suministro de agua seguro a las comunidades locales con las que compartimos este recurso a través de asociaciones que palíen la carestía de agua. </w:t>
      </w:r>
    </w:p>
    <w:p w:rsidR="007D11A2" w:rsidRPr="004D343E" w:rsidRDefault="007D11A2" w:rsidP="007D11A2">
      <w:pPr>
        <w:numPr>
          <w:ilvl w:val="0"/>
          <w:numId w:val="1"/>
        </w:numPr>
        <w:spacing w:line="360" w:lineRule="auto"/>
        <w:rPr>
          <w:rFonts w:ascii="Arial" w:hAnsi="Arial" w:cs="Arial"/>
        </w:rPr>
      </w:pPr>
      <w:r w:rsidRPr="004D343E">
        <w:rPr>
          <w:rFonts w:ascii="Arial" w:hAnsi="Arial"/>
        </w:rPr>
        <w:t xml:space="preserve">Reducir su uso a 3 litros por litro de cerveza fabricada y 1,8 litros de agua por litro de refresco. </w:t>
      </w:r>
    </w:p>
    <w:p w:rsidR="007D11A2" w:rsidRPr="004D343E" w:rsidRDefault="007D11A2" w:rsidP="007D11A2">
      <w:pPr>
        <w:numPr>
          <w:ilvl w:val="0"/>
          <w:numId w:val="1"/>
        </w:numPr>
        <w:spacing w:line="360" w:lineRule="auto"/>
        <w:rPr>
          <w:rFonts w:ascii="Arial" w:hAnsi="Arial" w:cs="Arial"/>
        </w:rPr>
      </w:pPr>
      <w:r w:rsidRPr="004D343E">
        <w:rPr>
          <w:rFonts w:ascii="Arial" w:hAnsi="Arial"/>
        </w:rPr>
        <w:t xml:space="preserve">Poner en marcha planes que palíen los riesgos inherentes al uso compartido de agua para los cultivos más importantes que puedan sufrirlos. </w:t>
      </w:r>
    </w:p>
    <w:p w:rsidR="007D11A2" w:rsidRPr="004D343E" w:rsidRDefault="007D11A2" w:rsidP="003F18A0">
      <w:pPr>
        <w:spacing w:line="360" w:lineRule="auto"/>
        <w:jc w:val="both"/>
        <w:rPr>
          <w:rFonts w:ascii="Arial" w:eastAsia="Times New Roman" w:hAnsi="Arial" w:cs="Arial"/>
        </w:rPr>
      </w:pPr>
      <w:r w:rsidRPr="004D343E">
        <w:rPr>
          <w:rFonts w:ascii="Arial" w:hAnsi="Arial"/>
        </w:rPr>
        <w:t>ILC se responsabiliza completamente a cumplir estos objetivos públicos en El Salvador.</w:t>
      </w:r>
    </w:p>
    <w:p w:rsidR="007D11A2" w:rsidRPr="004D343E" w:rsidRDefault="007D11A2" w:rsidP="003F18A0">
      <w:pPr>
        <w:spacing w:line="360" w:lineRule="auto"/>
        <w:jc w:val="both"/>
        <w:rPr>
          <w:rFonts w:ascii="Arial" w:eastAsia="Times New Roman" w:hAnsi="Arial" w:cs="Arial"/>
        </w:rPr>
      </w:pPr>
    </w:p>
    <w:p w:rsidR="00E15882" w:rsidRPr="004D343E" w:rsidRDefault="00217A46" w:rsidP="00217A46">
      <w:pPr>
        <w:spacing w:line="360" w:lineRule="auto"/>
        <w:jc w:val="both"/>
        <w:rPr>
          <w:rFonts w:ascii="Arial" w:eastAsia="Times New Roman" w:hAnsi="Arial" w:cs="Arial"/>
        </w:rPr>
      </w:pPr>
      <w:r w:rsidRPr="004D343E">
        <w:rPr>
          <w:rFonts w:ascii="Arial" w:hAnsi="Arial"/>
        </w:rPr>
        <w:t xml:space="preserve">En Nejapa, queremos aportar nuestro granito de arena a la hora de garantizar el acceso justo y sostenible al agua limpia a todos en la región. </w:t>
      </w:r>
    </w:p>
    <w:p w:rsidR="00E15882" w:rsidRPr="004D343E" w:rsidRDefault="00E15882" w:rsidP="003F18A0">
      <w:pPr>
        <w:spacing w:line="360" w:lineRule="auto"/>
        <w:jc w:val="both"/>
        <w:rPr>
          <w:rFonts w:ascii="Arial" w:eastAsia="Times New Roman" w:hAnsi="Arial" w:cs="Arial"/>
        </w:rPr>
      </w:pPr>
      <w:r w:rsidRPr="004D343E">
        <w:rPr>
          <w:rFonts w:ascii="Arial" w:hAnsi="Arial"/>
        </w:rPr>
        <w:t> </w:t>
      </w:r>
    </w:p>
    <w:p w:rsidR="00E15882" w:rsidRPr="004D343E" w:rsidRDefault="00E15882" w:rsidP="003F18A0">
      <w:pPr>
        <w:spacing w:line="360" w:lineRule="auto"/>
        <w:jc w:val="both"/>
        <w:rPr>
          <w:rFonts w:ascii="Arial" w:eastAsia="Times New Roman" w:hAnsi="Arial" w:cs="Arial"/>
        </w:rPr>
      </w:pPr>
      <w:r w:rsidRPr="004D343E">
        <w:rPr>
          <w:rFonts w:ascii="Arial" w:hAnsi="Arial"/>
        </w:rPr>
        <w:t xml:space="preserve">Estudios realizados han demostrado que el suministro hídrico, tanto subterráneo, como </w:t>
      </w:r>
      <w:r w:rsidR="00AE5318" w:rsidRPr="004D343E">
        <w:rPr>
          <w:rFonts w:ascii="Arial" w:hAnsi="Arial"/>
        </w:rPr>
        <w:t>de superficie</w:t>
      </w:r>
      <w:r w:rsidRPr="004D343E">
        <w:rPr>
          <w:rFonts w:ascii="Arial" w:hAnsi="Arial"/>
        </w:rPr>
        <w:t xml:space="preserve">, en Nejapa es suficiente para cubrir las necesidades de los moradores de la zona, y que el suministro de agua a la comunidad se ve limitado a causa de unas infraestructuras deficientes, y no </w:t>
      </w:r>
      <w:r w:rsidR="00AE5318" w:rsidRPr="004D343E">
        <w:rPr>
          <w:rFonts w:ascii="Arial" w:hAnsi="Arial"/>
        </w:rPr>
        <w:t>por la escasez de este recurso</w:t>
      </w:r>
      <w:r w:rsidRPr="004D343E">
        <w:rPr>
          <w:rFonts w:ascii="Arial" w:hAnsi="Arial"/>
        </w:rPr>
        <w:t xml:space="preserve">. Comprendemos y respetamos los distintos puntos de vista que otras organizaciones tienen al respecto, y compartimos con ellas la preocupación por </w:t>
      </w:r>
      <w:r w:rsidR="00043BBE" w:rsidRPr="004D343E">
        <w:rPr>
          <w:rFonts w:ascii="Arial" w:hAnsi="Arial"/>
        </w:rPr>
        <w:t xml:space="preserve">un acceso comunitario al agua. </w:t>
      </w:r>
      <w:r w:rsidRPr="004D343E">
        <w:rPr>
          <w:rFonts w:ascii="Arial" w:hAnsi="Arial"/>
        </w:rPr>
        <w:t>Hemos expresado nuestra disposición a reunirnos con estas organizaciones para poder entender mejor su puntos de vista y elaborar juntos soluciones a este problema.</w:t>
      </w:r>
    </w:p>
    <w:p w:rsidR="00E15882" w:rsidRPr="004D343E" w:rsidRDefault="00E15882" w:rsidP="003F18A0">
      <w:pPr>
        <w:spacing w:line="360" w:lineRule="auto"/>
        <w:jc w:val="both"/>
        <w:rPr>
          <w:rFonts w:ascii="Arial" w:eastAsia="Times New Roman" w:hAnsi="Arial" w:cs="Arial"/>
        </w:rPr>
      </w:pPr>
      <w:r w:rsidRPr="004D343E">
        <w:rPr>
          <w:rFonts w:ascii="Arial" w:hAnsi="Arial"/>
        </w:rPr>
        <w:t> </w:t>
      </w:r>
    </w:p>
    <w:p w:rsidR="00E15882" w:rsidRPr="004D343E" w:rsidRDefault="000C078C" w:rsidP="003F18A0">
      <w:pPr>
        <w:spacing w:line="360" w:lineRule="auto"/>
        <w:jc w:val="both"/>
        <w:rPr>
          <w:rFonts w:ascii="Arial" w:eastAsia="Times New Roman" w:hAnsi="Arial" w:cs="Arial"/>
        </w:rPr>
      </w:pPr>
      <w:r w:rsidRPr="004D343E">
        <w:rPr>
          <w:rFonts w:ascii="Arial" w:hAnsi="Arial"/>
        </w:rPr>
        <w:t>Para encontrar una solución integral se necesita que todo el mundo se comprometa y actúe: gobiernos, comunidades, sociedad civil y otras empresas integradas en ILC. ILC ya tiene una serie de proyectos que mejoran el acceso de la población a agua potable y limpia. ILC se compromete a seguir trabajando con las comunidades y la delegación municipal para encontrar un enfoque integral y a largo plazo, que pueda empezar a ponerse en marcha en los próximos meses.</w:t>
      </w:r>
    </w:p>
    <w:p w:rsidR="00E15882" w:rsidRPr="004D343E" w:rsidRDefault="00E15882" w:rsidP="003F18A0">
      <w:pPr>
        <w:spacing w:line="360" w:lineRule="auto"/>
        <w:jc w:val="both"/>
        <w:rPr>
          <w:rFonts w:ascii="Arial" w:eastAsia="Times New Roman" w:hAnsi="Arial" w:cs="Arial"/>
        </w:rPr>
      </w:pPr>
      <w:r w:rsidRPr="004D343E">
        <w:rPr>
          <w:rFonts w:ascii="Arial" w:hAnsi="Arial"/>
        </w:rPr>
        <w:t> </w:t>
      </w:r>
    </w:p>
    <w:p w:rsidR="00E15882" w:rsidRPr="004D343E" w:rsidRDefault="000C078C" w:rsidP="003F18A0">
      <w:pPr>
        <w:spacing w:line="360" w:lineRule="auto"/>
        <w:jc w:val="both"/>
        <w:rPr>
          <w:rFonts w:ascii="Arial" w:eastAsia="Times New Roman" w:hAnsi="Arial" w:cs="Arial"/>
        </w:rPr>
      </w:pPr>
      <w:r w:rsidRPr="004D343E">
        <w:rPr>
          <w:rFonts w:ascii="Arial" w:hAnsi="Arial"/>
        </w:rPr>
        <w:t xml:space="preserve">Por último, cabe mencionar que apoyamos la instauración de la Ley General de Aguas en El Salvador, refrendada por ONG y en debate actualmente en la Asamblea Legislativa de El Salvador, medida que supondrá un enfoque integrado de gestión de este recurso tan preciado. Asimismo, esperamos que haya consenso para que esta ley se apruebe cuanto antes. </w:t>
      </w:r>
    </w:p>
    <w:p w:rsidR="00E15882" w:rsidRPr="00D84FE5" w:rsidRDefault="00E15882" w:rsidP="00E15A1A">
      <w:pPr>
        <w:spacing w:line="360" w:lineRule="auto"/>
        <w:jc w:val="both"/>
        <w:rPr>
          <w:rFonts w:ascii="Arial" w:eastAsia="Times New Roman" w:hAnsi="Arial" w:cs="Arial"/>
        </w:rPr>
      </w:pPr>
      <w:r>
        <w:rPr>
          <w:rFonts w:ascii="Arial" w:hAnsi="Arial"/>
        </w:rPr>
        <w:t> </w:t>
      </w:r>
    </w:p>
    <w:p w:rsidR="002145A4" w:rsidRPr="00D84FE5" w:rsidRDefault="002145A4" w:rsidP="003F18A0">
      <w:pPr>
        <w:spacing w:line="360" w:lineRule="auto"/>
        <w:rPr>
          <w:rFonts w:ascii="Arial" w:hAnsi="Arial" w:cs="Arial"/>
        </w:rPr>
      </w:pPr>
    </w:p>
    <w:sectPr w:rsidR="002145A4" w:rsidRPr="00D84FE5" w:rsidSect="00433C4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27F" w:rsidRDefault="00B7527F" w:rsidP="00C53F21">
      <w:pPr>
        <w:spacing w:line="240" w:lineRule="auto"/>
      </w:pPr>
      <w:r>
        <w:separator/>
      </w:r>
    </w:p>
  </w:endnote>
  <w:endnote w:type="continuationSeparator" w:id="0">
    <w:p w:rsidR="00B7527F" w:rsidRDefault="00B7527F" w:rsidP="00C53F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27F" w:rsidRDefault="00B7527F" w:rsidP="00C53F21">
      <w:pPr>
        <w:spacing w:line="240" w:lineRule="auto"/>
      </w:pPr>
      <w:r>
        <w:separator/>
      </w:r>
    </w:p>
  </w:footnote>
  <w:footnote w:type="continuationSeparator" w:id="0">
    <w:p w:rsidR="00B7527F" w:rsidRDefault="00B7527F" w:rsidP="00C53F2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C25E1"/>
    <w:multiLevelType w:val="multilevel"/>
    <w:tmpl w:val="C740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882"/>
    <w:rsid w:val="00043BBE"/>
    <w:rsid w:val="00062C60"/>
    <w:rsid w:val="000C078C"/>
    <w:rsid w:val="00116D59"/>
    <w:rsid w:val="00177A1D"/>
    <w:rsid w:val="00210F03"/>
    <w:rsid w:val="002145A4"/>
    <w:rsid w:val="00217A46"/>
    <w:rsid w:val="002A65D2"/>
    <w:rsid w:val="002B2D38"/>
    <w:rsid w:val="002C061B"/>
    <w:rsid w:val="00302DBB"/>
    <w:rsid w:val="00393F08"/>
    <w:rsid w:val="003E234E"/>
    <w:rsid w:val="003F18A0"/>
    <w:rsid w:val="00433C4F"/>
    <w:rsid w:val="00490F42"/>
    <w:rsid w:val="004D343E"/>
    <w:rsid w:val="00512343"/>
    <w:rsid w:val="0058022E"/>
    <w:rsid w:val="00654287"/>
    <w:rsid w:val="00702140"/>
    <w:rsid w:val="007602B6"/>
    <w:rsid w:val="007C05F1"/>
    <w:rsid w:val="007D11A2"/>
    <w:rsid w:val="008569E2"/>
    <w:rsid w:val="00864353"/>
    <w:rsid w:val="00875384"/>
    <w:rsid w:val="00894BF9"/>
    <w:rsid w:val="008A043C"/>
    <w:rsid w:val="008B0142"/>
    <w:rsid w:val="00977103"/>
    <w:rsid w:val="00993B80"/>
    <w:rsid w:val="009F09EE"/>
    <w:rsid w:val="00A270AF"/>
    <w:rsid w:val="00A42132"/>
    <w:rsid w:val="00AE5318"/>
    <w:rsid w:val="00B5746E"/>
    <w:rsid w:val="00B7527F"/>
    <w:rsid w:val="00B87028"/>
    <w:rsid w:val="00C240A4"/>
    <w:rsid w:val="00C53F21"/>
    <w:rsid w:val="00D7581D"/>
    <w:rsid w:val="00D84FE5"/>
    <w:rsid w:val="00DB272C"/>
    <w:rsid w:val="00DE2325"/>
    <w:rsid w:val="00E15882"/>
    <w:rsid w:val="00E15A1A"/>
    <w:rsid w:val="00EC7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s-ES" w:bidi="es-E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1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145A4"/>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HeaderChar"/>
    <w:uiPriority w:val="99"/>
    <w:unhideWhenUsed/>
    <w:rsid w:val="00C53F21"/>
    <w:pPr>
      <w:tabs>
        <w:tab w:val="center" w:pos="4513"/>
        <w:tab w:val="right" w:pos="9026"/>
      </w:tabs>
      <w:spacing w:line="240" w:lineRule="auto"/>
    </w:pPr>
  </w:style>
  <w:style w:type="character" w:customStyle="1" w:styleId="HeaderChar">
    <w:name w:val="Header Char"/>
    <w:basedOn w:val="Fuentedeprrafopredeter"/>
    <w:link w:val="Encabezado"/>
    <w:uiPriority w:val="99"/>
    <w:rsid w:val="00C53F21"/>
    <w:rPr>
      <w:lang w:val="es-ES"/>
    </w:rPr>
  </w:style>
  <w:style w:type="paragraph" w:styleId="Piedepgina">
    <w:name w:val="footer"/>
    <w:basedOn w:val="Normal"/>
    <w:link w:val="FooterChar"/>
    <w:uiPriority w:val="99"/>
    <w:unhideWhenUsed/>
    <w:rsid w:val="00C53F21"/>
    <w:pPr>
      <w:tabs>
        <w:tab w:val="center" w:pos="4513"/>
        <w:tab w:val="right" w:pos="9026"/>
      </w:tabs>
      <w:spacing w:line="240" w:lineRule="auto"/>
    </w:pPr>
  </w:style>
  <w:style w:type="character" w:customStyle="1" w:styleId="FooterChar">
    <w:name w:val="Footer Char"/>
    <w:basedOn w:val="Fuentedeprrafopredeter"/>
    <w:link w:val="Piedepgina"/>
    <w:uiPriority w:val="99"/>
    <w:rsid w:val="00C53F21"/>
    <w:rPr>
      <w:lang w:val="es-ES"/>
    </w:rPr>
  </w:style>
  <w:style w:type="paragraph" w:styleId="Textodeglobo">
    <w:name w:val="Balloon Text"/>
    <w:basedOn w:val="Normal"/>
    <w:link w:val="BalloonTextChar"/>
    <w:uiPriority w:val="99"/>
    <w:semiHidden/>
    <w:unhideWhenUsed/>
    <w:rsid w:val="007D11A2"/>
    <w:pPr>
      <w:spacing w:line="240" w:lineRule="auto"/>
    </w:pPr>
    <w:rPr>
      <w:rFonts w:ascii="Tahoma" w:hAnsi="Tahoma" w:cs="Tahoma"/>
      <w:sz w:val="16"/>
      <w:szCs w:val="16"/>
    </w:rPr>
  </w:style>
  <w:style w:type="character" w:customStyle="1" w:styleId="BalloonTextChar">
    <w:name w:val="Balloon Text Char"/>
    <w:basedOn w:val="Fuentedeprrafopredeter"/>
    <w:link w:val="Textodeglobo"/>
    <w:uiPriority w:val="99"/>
    <w:semiHidden/>
    <w:rsid w:val="007D11A2"/>
    <w:rPr>
      <w:rFonts w:ascii="Tahoma" w:hAnsi="Tahoma" w:cs="Tahoma"/>
      <w:sz w:val="16"/>
      <w:szCs w:val="16"/>
      <w:lang w:val="es-ES"/>
    </w:rPr>
  </w:style>
  <w:style w:type="character" w:styleId="Refdecomentario">
    <w:name w:val="annotation reference"/>
    <w:basedOn w:val="Fuentedeprrafopredeter"/>
    <w:uiPriority w:val="99"/>
    <w:semiHidden/>
    <w:unhideWhenUsed/>
    <w:rsid w:val="007D11A2"/>
    <w:rPr>
      <w:sz w:val="16"/>
      <w:szCs w:val="16"/>
    </w:rPr>
  </w:style>
  <w:style w:type="paragraph" w:styleId="Textocomentario">
    <w:name w:val="annotation text"/>
    <w:basedOn w:val="Normal"/>
    <w:link w:val="CommentTextChar"/>
    <w:uiPriority w:val="99"/>
    <w:semiHidden/>
    <w:unhideWhenUsed/>
    <w:rsid w:val="007D11A2"/>
    <w:pPr>
      <w:spacing w:line="240" w:lineRule="auto"/>
    </w:pPr>
    <w:rPr>
      <w:sz w:val="20"/>
      <w:szCs w:val="20"/>
    </w:rPr>
  </w:style>
  <w:style w:type="character" w:customStyle="1" w:styleId="CommentTextChar">
    <w:name w:val="Comment Text Char"/>
    <w:basedOn w:val="Fuentedeprrafopredeter"/>
    <w:link w:val="Textocomentario"/>
    <w:uiPriority w:val="99"/>
    <w:semiHidden/>
    <w:rsid w:val="007D11A2"/>
    <w:rPr>
      <w:sz w:val="20"/>
      <w:szCs w:val="20"/>
      <w:lang w:val="es-ES"/>
    </w:rPr>
  </w:style>
  <w:style w:type="paragraph" w:styleId="Asuntodelcomentario">
    <w:name w:val="annotation subject"/>
    <w:basedOn w:val="Textocomentario"/>
    <w:next w:val="Textocomentario"/>
    <w:link w:val="CommentSubjectChar"/>
    <w:uiPriority w:val="99"/>
    <w:semiHidden/>
    <w:unhideWhenUsed/>
    <w:rsid w:val="007D11A2"/>
    <w:rPr>
      <w:b/>
      <w:bCs/>
    </w:rPr>
  </w:style>
  <w:style w:type="character" w:customStyle="1" w:styleId="CommentSubjectChar">
    <w:name w:val="Comment Subject Char"/>
    <w:basedOn w:val="CommentTextChar"/>
    <w:link w:val="Asuntodelcomentario"/>
    <w:uiPriority w:val="99"/>
    <w:semiHidden/>
    <w:rsid w:val="007D11A2"/>
    <w:rPr>
      <w:b/>
      <w:bCs/>
      <w:sz w:val="20"/>
      <w:szCs w:val="20"/>
      <w:lang w:val="es-ES"/>
    </w:rPr>
  </w:style>
  <w:style w:type="character" w:styleId="Hipervnculo">
    <w:name w:val="Hyperlink"/>
    <w:basedOn w:val="Fuentedeprrafopredeter"/>
    <w:uiPriority w:val="99"/>
    <w:unhideWhenUsed/>
    <w:rsid w:val="008A043C"/>
    <w:rPr>
      <w:color w:val="0000FF" w:themeColor="hyperlink"/>
      <w:u w:val="single"/>
    </w:rPr>
  </w:style>
  <w:style w:type="character" w:styleId="Hipervnculovisitado">
    <w:name w:val="FollowedHyperlink"/>
    <w:basedOn w:val="Fuentedeprrafopredeter"/>
    <w:uiPriority w:val="99"/>
    <w:semiHidden/>
    <w:unhideWhenUsed/>
    <w:rsid w:val="002B2D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351992">
      <w:bodyDiv w:val="1"/>
      <w:marLeft w:val="0"/>
      <w:marRight w:val="0"/>
      <w:marTop w:val="0"/>
      <w:marBottom w:val="0"/>
      <w:divBdr>
        <w:top w:val="none" w:sz="0" w:space="0" w:color="auto"/>
        <w:left w:val="none" w:sz="0" w:space="0" w:color="auto"/>
        <w:bottom w:val="none" w:sz="0" w:space="0" w:color="auto"/>
        <w:right w:val="none" w:sz="0" w:space="0" w:color="auto"/>
      </w:divBdr>
    </w:div>
    <w:div w:id="788206546">
      <w:bodyDiv w:val="1"/>
      <w:marLeft w:val="0"/>
      <w:marRight w:val="0"/>
      <w:marTop w:val="0"/>
      <w:marBottom w:val="0"/>
      <w:divBdr>
        <w:top w:val="none" w:sz="0" w:space="0" w:color="auto"/>
        <w:left w:val="none" w:sz="0" w:space="0" w:color="auto"/>
        <w:bottom w:val="none" w:sz="0" w:space="0" w:color="auto"/>
        <w:right w:val="none" w:sz="0" w:space="0" w:color="auto"/>
      </w:divBdr>
    </w:div>
    <w:div w:id="989405727">
      <w:bodyDiv w:val="1"/>
      <w:marLeft w:val="0"/>
      <w:marRight w:val="0"/>
      <w:marTop w:val="0"/>
      <w:marBottom w:val="0"/>
      <w:divBdr>
        <w:top w:val="none" w:sz="0" w:space="0" w:color="auto"/>
        <w:left w:val="none" w:sz="0" w:space="0" w:color="auto"/>
        <w:bottom w:val="none" w:sz="0" w:space="0" w:color="auto"/>
        <w:right w:val="none" w:sz="0" w:space="0" w:color="auto"/>
      </w:divBdr>
    </w:div>
    <w:div w:id="1115517674">
      <w:bodyDiv w:val="1"/>
      <w:marLeft w:val="0"/>
      <w:marRight w:val="0"/>
      <w:marTop w:val="0"/>
      <w:marBottom w:val="0"/>
      <w:divBdr>
        <w:top w:val="none" w:sz="0" w:space="0" w:color="auto"/>
        <w:left w:val="none" w:sz="0" w:space="0" w:color="auto"/>
        <w:bottom w:val="none" w:sz="0" w:space="0" w:color="auto"/>
        <w:right w:val="none" w:sz="0" w:space="0" w:color="auto"/>
      </w:divBdr>
    </w:div>
    <w:div w:id="1135415944">
      <w:bodyDiv w:val="1"/>
      <w:marLeft w:val="0"/>
      <w:marRight w:val="0"/>
      <w:marTop w:val="0"/>
      <w:marBottom w:val="0"/>
      <w:divBdr>
        <w:top w:val="none" w:sz="0" w:space="0" w:color="auto"/>
        <w:left w:val="none" w:sz="0" w:space="0" w:color="auto"/>
        <w:bottom w:val="none" w:sz="0" w:space="0" w:color="auto"/>
        <w:right w:val="none" w:sz="0" w:space="0" w:color="auto"/>
      </w:divBdr>
    </w:div>
    <w:div w:id="149587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030wrg.org/" TargetMode="External"/><Relationship Id="rId3" Type="http://schemas.openxmlformats.org/officeDocument/2006/relationships/settings" Target="settings.xml"/><Relationship Id="rId7" Type="http://schemas.openxmlformats.org/officeDocument/2006/relationships/hyperlink" Target="http://awsassets.panda.org/downloads/sabmiller_water_footprinting_report_final_.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3862</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2015-07-07T14:37:00Z</dcterms:created>
  <dcterms:modified xsi:type="dcterms:W3CDTF">2015-07-07T14:37:00Z</dcterms:modified>
</cp:coreProperties>
</file>