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26BC9" w14:textId="77777777" w:rsidR="00D01DEC" w:rsidRDefault="0007682C" w:rsidP="00CE3B7E">
      <w:pPr>
        <w:pStyle w:val="BodyText"/>
        <w:tabs>
          <w:tab w:val="left" w:pos="10206"/>
        </w:tabs>
        <w:ind w:left="117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3540B533" wp14:editId="0E742957">
            <wp:extent cx="7196836" cy="13981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836" cy="139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DD2B1" w14:textId="77777777" w:rsidR="005472B8" w:rsidRDefault="005472B8" w:rsidP="00CE3B7E">
      <w:pPr>
        <w:pStyle w:val="BodyText"/>
        <w:tabs>
          <w:tab w:val="left" w:pos="1119"/>
          <w:tab w:val="left" w:pos="10206"/>
        </w:tabs>
        <w:spacing w:before="158" w:line="156" w:lineRule="auto"/>
        <w:ind w:left="1119" w:right="5845" w:hanging="933"/>
        <w:rPr>
          <w:position w:val="-11"/>
          <w:lang w:val="pt-BR"/>
        </w:rPr>
      </w:pPr>
    </w:p>
    <w:p w14:paraId="3B488D85" w14:textId="77777777" w:rsidR="008261BB" w:rsidRDefault="008261BB" w:rsidP="00CE3B7E">
      <w:pPr>
        <w:pStyle w:val="BodyText"/>
        <w:tabs>
          <w:tab w:val="left" w:pos="1119"/>
          <w:tab w:val="left" w:pos="10206"/>
        </w:tabs>
        <w:spacing w:before="158" w:line="156" w:lineRule="auto"/>
        <w:ind w:left="1119" w:right="5845" w:hanging="933"/>
        <w:rPr>
          <w:position w:val="-11"/>
          <w:lang w:val="pt-BR"/>
        </w:rPr>
      </w:pPr>
    </w:p>
    <w:p w14:paraId="6969EA26" w14:textId="77777777" w:rsidR="008261BB" w:rsidRDefault="008261BB" w:rsidP="00CE3B7E">
      <w:pPr>
        <w:pStyle w:val="BodyText"/>
        <w:tabs>
          <w:tab w:val="left" w:pos="1119"/>
          <w:tab w:val="left" w:pos="10206"/>
        </w:tabs>
        <w:spacing w:before="158" w:line="156" w:lineRule="auto"/>
        <w:ind w:left="1119" w:right="5845" w:hanging="933"/>
        <w:rPr>
          <w:position w:val="-11"/>
          <w:lang w:val="pt-BR"/>
        </w:rPr>
      </w:pPr>
    </w:p>
    <w:p w14:paraId="1F48B4E9" w14:textId="77777777" w:rsidR="00D01DEC" w:rsidRDefault="00544DAF" w:rsidP="00CE3B7E">
      <w:pPr>
        <w:pStyle w:val="BodyText"/>
        <w:tabs>
          <w:tab w:val="left" w:pos="1119"/>
          <w:tab w:val="left" w:pos="10206"/>
        </w:tabs>
        <w:spacing w:before="158" w:line="156" w:lineRule="auto"/>
        <w:ind w:left="1119" w:right="5845" w:hanging="933"/>
        <w:jc w:val="both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962B0D8" wp14:editId="7A2717D2">
                <wp:simplePos x="0" y="0"/>
                <wp:positionH relativeFrom="page">
                  <wp:posOffset>867410</wp:posOffset>
                </wp:positionH>
                <wp:positionV relativeFrom="paragraph">
                  <wp:posOffset>421640</wp:posOffset>
                </wp:positionV>
                <wp:extent cx="3143250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6BAC9E2F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3pt,33.2pt" to="315.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2sEAIAACwEAAAOAAAAZHJzL2Uyb0RvYy54bWysU1HP2iAUfV+y/0B417baz2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" strokeweight=".48pt">
                <o:lock v:ext="edit" shapetype="f"/>
                <w10:wrap type="topAndBottom" anchorx="page"/>
              </v:line>
            </w:pict>
          </mc:Fallback>
        </mc:AlternateContent>
      </w:r>
      <w:r w:rsidR="0007682C" w:rsidRPr="006C5B03">
        <w:rPr>
          <w:position w:val="-11"/>
          <w:lang w:val="pt-BR"/>
        </w:rPr>
        <w:t>TO:</w:t>
      </w:r>
      <w:r w:rsidR="0007682C" w:rsidRPr="006C5B03">
        <w:rPr>
          <w:position w:val="-11"/>
          <w:lang w:val="pt-BR"/>
        </w:rPr>
        <w:tab/>
      </w:r>
      <w:r w:rsidR="0007682C" w:rsidRPr="006C5B03">
        <w:rPr>
          <w:lang w:val="pt-BR"/>
        </w:rPr>
        <w:t xml:space="preserve">Júlia Neiva e Mauricio Lazala, </w:t>
      </w:r>
      <w:r w:rsidR="006C5B03" w:rsidRPr="006C5B03">
        <w:rPr>
          <w:lang w:val="pt-BR"/>
        </w:rPr>
        <w:t>Centro de Recursos empresariais e de direitos Humanos</w:t>
      </w:r>
    </w:p>
    <w:p w14:paraId="435100D9" w14:textId="77777777" w:rsidR="005472B8" w:rsidRPr="006C5B03" w:rsidRDefault="005472B8" w:rsidP="00CE3B7E">
      <w:pPr>
        <w:pStyle w:val="BodyText"/>
        <w:tabs>
          <w:tab w:val="left" w:pos="1119"/>
          <w:tab w:val="left" w:pos="10206"/>
        </w:tabs>
        <w:spacing w:before="158" w:line="156" w:lineRule="auto"/>
        <w:ind w:right="5845"/>
        <w:jc w:val="both"/>
        <w:rPr>
          <w:lang w:val="pt-BR"/>
        </w:rPr>
      </w:pPr>
    </w:p>
    <w:p w14:paraId="159A5323" w14:textId="77777777" w:rsidR="00D01DEC" w:rsidRPr="006C5B03" w:rsidRDefault="0007682C" w:rsidP="00CE3B7E">
      <w:pPr>
        <w:pStyle w:val="BodyText"/>
        <w:tabs>
          <w:tab w:val="left" w:pos="10206"/>
        </w:tabs>
        <w:spacing w:before="158"/>
        <w:ind w:left="187"/>
        <w:jc w:val="both"/>
        <w:rPr>
          <w:lang w:val="pt-BR"/>
        </w:rPr>
      </w:pPr>
      <w:r w:rsidRPr="006C5B03">
        <w:rPr>
          <w:lang w:val="pt-BR"/>
        </w:rPr>
        <w:t>CC:</w:t>
      </w:r>
    </w:p>
    <w:p w14:paraId="5C741212" w14:textId="77777777" w:rsidR="00D01DEC" w:rsidRPr="006C5B03" w:rsidRDefault="00544DAF" w:rsidP="00CE3B7E">
      <w:pPr>
        <w:pStyle w:val="BodyText"/>
        <w:tabs>
          <w:tab w:val="left" w:pos="10206"/>
        </w:tabs>
        <w:spacing w:before="9"/>
        <w:jc w:val="both"/>
        <w:rPr>
          <w:sz w:val="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8C9CCD3" wp14:editId="00C3861C">
                <wp:simplePos x="0" y="0"/>
                <wp:positionH relativeFrom="page">
                  <wp:posOffset>867410</wp:posOffset>
                </wp:positionH>
                <wp:positionV relativeFrom="paragraph">
                  <wp:posOffset>92710</wp:posOffset>
                </wp:positionV>
                <wp:extent cx="3143250" cy="0"/>
                <wp:effectExtent l="0" t="0" r="0" b="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09E8706A"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3pt,7.3pt" to="315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" strokeweight=".16936mm">
                <o:lock v:ext="edit" shapetype="f"/>
                <w10:wrap type="topAndBottom" anchorx="page"/>
              </v:line>
            </w:pict>
          </mc:Fallback>
        </mc:AlternateContent>
      </w:r>
    </w:p>
    <w:p w14:paraId="780335BB" w14:textId="2CA580B5" w:rsidR="00D01DEC" w:rsidRPr="00FB1672" w:rsidRDefault="00FB1672" w:rsidP="009124C0">
      <w:pPr>
        <w:tabs>
          <w:tab w:val="left" w:pos="1119"/>
          <w:tab w:val="left" w:pos="10206"/>
        </w:tabs>
        <w:spacing w:before="106" w:after="78" w:line="158" w:lineRule="auto"/>
        <w:ind w:left="1119" w:right="5977" w:hanging="933"/>
        <w:jc w:val="both"/>
        <w:rPr>
          <w:position w:val="-11"/>
          <w:sz w:val="20"/>
          <w:lang w:val="pt-BR"/>
        </w:rPr>
      </w:pPr>
      <w:r w:rsidRPr="006C5B03">
        <w:rPr>
          <w:position w:val="-11"/>
          <w:sz w:val="20"/>
          <w:lang w:val="pt-BR"/>
        </w:rPr>
        <w:t xml:space="preserve">FROM: </w:t>
      </w:r>
      <w:r w:rsidRPr="006C5B03">
        <w:rPr>
          <w:position w:val="-11"/>
          <w:sz w:val="20"/>
          <w:lang w:val="pt-BR"/>
        </w:rPr>
        <w:tab/>
      </w:r>
      <w:r w:rsidR="009124C0">
        <w:rPr>
          <w:sz w:val="20"/>
          <w:lang w:val="pt-BR"/>
        </w:rPr>
        <w:t>Ana Cunha, Gerente Senior de Comunicação e Relacionamento com Comunidade</w:t>
      </w:r>
    </w:p>
    <w:p w14:paraId="2E313E72" w14:textId="77777777" w:rsidR="00D01DEC" w:rsidRDefault="00544DAF" w:rsidP="00CE3B7E">
      <w:pPr>
        <w:pStyle w:val="BodyText"/>
        <w:tabs>
          <w:tab w:val="left" w:pos="10206"/>
        </w:tabs>
        <w:spacing w:line="20" w:lineRule="exact"/>
        <w:ind w:left="1000"/>
        <w:jc w:val="both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7FC9046" wp14:editId="5F37BECC">
                <wp:extent cx="3143250" cy="6350"/>
                <wp:effectExtent l="0" t="0" r="0" b="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6350"/>
                          <a:chOff x="0" y="0"/>
                          <a:chExt cx="4950" cy="10"/>
                        </a:xfrm>
                      </wpg:grpSpPr>
                      <wps:wsp>
                        <wps:cNvPr id="8" name="Line 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9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5D917B67" id="Group 5" o:spid="_x0000_s1026" style="width:247.5pt;height:.5pt;mso-position-horizontal-relative:char;mso-position-vertical-relative:line" coordsize="49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">
                <v:line id="Line 6" o:spid="_x0000_s1027" style="position:absolute;visibility:visible;mso-wrap-style:square" from="0,5" to="49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" strokeweight=".16936mm">
                  <o:lock v:ext="edit" shapetype="f"/>
                </v:line>
                <w10:anchorlock/>
              </v:group>
            </w:pict>
          </mc:Fallback>
        </mc:AlternateContent>
      </w:r>
    </w:p>
    <w:p w14:paraId="32356A77" w14:textId="77777777" w:rsidR="00D01DEC" w:rsidRPr="006C5B03" w:rsidRDefault="00544DAF" w:rsidP="00CE3B7E">
      <w:pPr>
        <w:pStyle w:val="Heading2"/>
        <w:tabs>
          <w:tab w:val="left" w:pos="10206"/>
        </w:tabs>
        <w:spacing w:before="103"/>
        <w:ind w:left="1119"/>
        <w:jc w:val="both"/>
        <w:rPr>
          <w:lang w:val="pt-BR"/>
        </w:rPr>
      </w:pPr>
      <w:r w:rsidRPr="006C5B03">
        <w:rPr>
          <w:lang w:val="pt-BR"/>
        </w:rPr>
        <w:t xml:space="preserve">Resposta da </w:t>
      </w:r>
      <w:r w:rsidR="0007682C" w:rsidRPr="006C5B03">
        <w:rPr>
          <w:lang w:val="pt-BR"/>
        </w:rPr>
        <w:t xml:space="preserve">Kinross Gold </w:t>
      </w:r>
      <w:r w:rsidRPr="006C5B03">
        <w:rPr>
          <w:lang w:val="pt-BR"/>
        </w:rPr>
        <w:t xml:space="preserve">a </w:t>
      </w:r>
      <w:r w:rsidR="0007682C" w:rsidRPr="006C5B03">
        <w:rPr>
          <w:lang w:val="pt-BR"/>
        </w:rPr>
        <w:t>recent</w:t>
      </w:r>
      <w:r w:rsidR="006C5B03" w:rsidRPr="006C5B03">
        <w:rPr>
          <w:lang w:val="pt-BR"/>
        </w:rPr>
        <w:t>es</w:t>
      </w:r>
      <w:r w:rsidR="0007682C" w:rsidRPr="006C5B03">
        <w:rPr>
          <w:lang w:val="pt-BR"/>
        </w:rPr>
        <w:t xml:space="preserve"> </w:t>
      </w:r>
      <w:r w:rsidR="006C5B03">
        <w:rPr>
          <w:lang w:val="pt-BR"/>
        </w:rPr>
        <w:t>relatórios</w:t>
      </w:r>
    </w:p>
    <w:p w14:paraId="464222E8" w14:textId="77777777" w:rsidR="00D01DEC" w:rsidRPr="006C5B03" w:rsidRDefault="00D01DEC" w:rsidP="00CE3B7E">
      <w:pPr>
        <w:tabs>
          <w:tab w:val="left" w:pos="10206"/>
        </w:tabs>
        <w:jc w:val="both"/>
        <w:rPr>
          <w:lang w:val="pt-BR"/>
        </w:rPr>
        <w:sectPr w:rsidR="00D01DEC" w:rsidRPr="006C5B03">
          <w:footerReference w:type="default" r:id="rId10"/>
          <w:type w:val="continuous"/>
          <w:pgSz w:w="12240" w:h="15840"/>
          <w:pgMar w:top="440" w:right="300" w:bottom="760" w:left="360" w:header="720" w:footer="573" w:gutter="0"/>
          <w:pgNumType w:start="1"/>
          <w:cols w:space="720"/>
        </w:sectPr>
      </w:pPr>
    </w:p>
    <w:p w14:paraId="724209A7" w14:textId="77777777" w:rsidR="00D01DEC" w:rsidRDefault="0007682C" w:rsidP="00CE3B7E">
      <w:pPr>
        <w:pStyle w:val="BodyText"/>
        <w:tabs>
          <w:tab w:val="left" w:pos="10206"/>
        </w:tabs>
        <w:spacing w:line="230" w:lineRule="exact"/>
        <w:ind w:left="187"/>
        <w:jc w:val="both"/>
      </w:pPr>
      <w:r>
        <w:lastRenderedPageBreak/>
        <w:t>RE:</w:t>
      </w:r>
    </w:p>
    <w:p w14:paraId="6A7930AB" w14:textId="77777777" w:rsidR="00504445" w:rsidRDefault="0007682C" w:rsidP="00CE3B7E">
      <w:pPr>
        <w:pStyle w:val="Heading2"/>
        <w:tabs>
          <w:tab w:val="left" w:pos="10206"/>
        </w:tabs>
        <w:spacing w:before="1"/>
        <w:ind w:right="5928"/>
        <w:jc w:val="both"/>
        <w:rPr>
          <w:lang w:val="pt-BR"/>
        </w:rPr>
      </w:pPr>
      <w:r w:rsidRPr="006C5B03">
        <w:rPr>
          <w:b w:val="0"/>
          <w:lang w:val="pt-BR"/>
        </w:rPr>
        <w:br w:type="column"/>
      </w:r>
      <w:r w:rsidR="006C5B03" w:rsidRPr="006C5B03">
        <w:rPr>
          <w:lang w:val="pt-BR"/>
        </w:rPr>
        <w:lastRenderedPageBreak/>
        <w:t>publicados</w:t>
      </w:r>
      <w:r w:rsidRPr="006C5B03">
        <w:rPr>
          <w:lang w:val="pt-BR"/>
        </w:rPr>
        <w:t xml:space="preserve"> </w:t>
      </w:r>
      <w:r w:rsidR="006C5B03" w:rsidRPr="006C5B03">
        <w:rPr>
          <w:lang w:val="pt-BR"/>
        </w:rPr>
        <w:t>pela</w:t>
      </w:r>
      <w:r w:rsidRPr="006C5B03">
        <w:rPr>
          <w:lang w:val="pt-BR"/>
        </w:rPr>
        <w:t xml:space="preserve"> </w:t>
      </w:r>
      <w:r w:rsidRPr="006C5B03">
        <w:rPr>
          <w:i/>
          <w:lang w:val="pt-BR"/>
        </w:rPr>
        <w:t>Above Ground</w:t>
      </w:r>
      <w:r w:rsidRPr="006C5B03">
        <w:rPr>
          <w:lang w:val="pt-BR"/>
        </w:rPr>
        <w:t xml:space="preserve"> </w:t>
      </w:r>
      <w:r w:rsidR="006C5B03" w:rsidRPr="006C5B03">
        <w:rPr>
          <w:lang w:val="pt-BR"/>
        </w:rPr>
        <w:t>e</w:t>
      </w:r>
      <w:r w:rsidRPr="006C5B03">
        <w:rPr>
          <w:lang w:val="pt-BR"/>
        </w:rPr>
        <w:t xml:space="preserve"> </w:t>
      </w:r>
      <w:r w:rsidRPr="006C5B03">
        <w:rPr>
          <w:i/>
          <w:lang w:val="pt-BR"/>
        </w:rPr>
        <w:t>Justiça Global</w:t>
      </w:r>
      <w:r w:rsidRPr="006C5B03">
        <w:rPr>
          <w:lang w:val="pt-BR"/>
        </w:rPr>
        <w:t xml:space="preserve"> </w:t>
      </w:r>
      <w:r w:rsidR="006C5B03">
        <w:rPr>
          <w:lang w:val="pt-BR"/>
        </w:rPr>
        <w:t>em relação a Paracatu, Bras</w:t>
      </w:r>
      <w:r w:rsidR="00504445">
        <w:rPr>
          <w:lang w:val="pt-BR"/>
        </w:rPr>
        <w:t>il</w:t>
      </w:r>
    </w:p>
    <w:p w14:paraId="464D0AA1" w14:textId="77777777" w:rsidR="008261BB" w:rsidRDefault="008261BB" w:rsidP="00CE3B7E">
      <w:pPr>
        <w:pStyle w:val="Heading2"/>
        <w:tabs>
          <w:tab w:val="left" w:pos="10206"/>
        </w:tabs>
        <w:spacing w:before="1"/>
        <w:ind w:right="5928"/>
        <w:jc w:val="both"/>
        <w:rPr>
          <w:lang w:val="pt-BR"/>
        </w:rPr>
      </w:pPr>
    </w:p>
    <w:p w14:paraId="149D9BA8" w14:textId="77777777" w:rsidR="008261BB" w:rsidRDefault="008261BB" w:rsidP="00CE3B7E">
      <w:pPr>
        <w:pStyle w:val="Heading2"/>
        <w:tabs>
          <w:tab w:val="left" w:pos="10206"/>
        </w:tabs>
        <w:spacing w:before="1"/>
        <w:ind w:right="5928"/>
        <w:jc w:val="both"/>
        <w:rPr>
          <w:lang w:val="pt-BR"/>
        </w:rPr>
      </w:pPr>
    </w:p>
    <w:p w14:paraId="7D693559" w14:textId="77777777" w:rsidR="00504445" w:rsidRPr="00504445" w:rsidRDefault="00504445" w:rsidP="00CE3B7E">
      <w:pPr>
        <w:pStyle w:val="Heading2"/>
        <w:tabs>
          <w:tab w:val="left" w:pos="10206"/>
        </w:tabs>
        <w:spacing w:before="1"/>
        <w:ind w:left="0" w:right="5928"/>
        <w:jc w:val="both"/>
        <w:rPr>
          <w:lang w:val="pt-BR"/>
        </w:rPr>
      </w:pPr>
    </w:p>
    <w:p w14:paraId="483095D0" w14:textId="77777777" w:rsidR="00504445" w:rsidRDefault="00504445" w:rsidP="00CE3B7E">
      <w:pPr>
        <w:pStyle w:val="BodyText"/>
        <w:tabs>
          <w:tab w:val="left" w:pos="10206"/>
        </w:tabs>
        <w:spacing w:line="20" w:lineRule="exact"/>
        <w:ind w:left="1000"/>
        <w:jc w:val="both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89F7697" wp14:editId="189580EF">
                <wp:extent cx="3143250" cy="6350"/>
                <wp:effectExtent l="0" t="0" r="0" b="0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6350"/>
                          <a:chOff x="0" y="0"/>
                          <a:chExt cx="4950" cy="10"/>
                        </a:xfrm>
                      </wpg:grpSpPr>
                      <wps:wsp>
                        <wps:cNvPr id="13" name="Line 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49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group w14:anchorId="703FB17A" id="Group 3" o:spid="_x0000_s1026" style="width:247.5pt;height:.5pt;mso-position-horizontal-relative:char;mso-position-vertical-relative:line" coordsize="49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">
                <v:line id="Line 4" o:spid="_x0000_s1027" style="position:absolute;visibility:visible;mso-wrap-style:square" from="0,5" to="49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" strokeweight=".16936mm">
                  <o:lock v:ext="edit" shapetype="f"/>
                </v:line>
                <w10:anchorlock/>
              </v:group>
            </w:pict>
          </mc:Fallback>
        </mc:AlternateContent>
      </w:r>
    </w:p>
    <w:p w14:paraId="0AF0176B" w14:textId="7942004B" w:rsidR="00504445" w:rsidRPr="006C5B03" w:rsidRDefault="00504445" w:rsidP="00CE3B7E">
      <w:pPr>
        <w:pStyle w:val="BodyText"/>
        <w:tabs>
          <w:tab w:val="left" w:pos="1119"/>
          <w:tab w:val="left" w:pos="10206"/>
        </w:tabs>
        <w:spacing w:before="94"/>
        <w:jc w:val="both"/>
        <w:rPr>
          <w:lang w:val="pt-BR"/>
        </w:rPr>
      </w:pPr>
      <w:r w:rsidRPr="006C5B03">
        <w:rPr>
          <w:lang w:val="pt-BR"/>
        </w:rPr>
        <w:t>DATE:</w:t>
      </w:r>
      <w:r w:rsidRPr="006C5B03">
        <w:rPr>
          <w:lang w:val="pt-BR"/>
        </w:rPr>
        <w:tab/>
      </w:r>
      <w:r w:rsidR="0030605C">
        <w:rPr>
          <w:lang w:val="pt-BR"/>
        </w:rPr>
        <w:t xml:space="preserve">15 </w:t>
      </w:r>
      <w:r w:rsidR="0030605C" w:rsidRPr="006C5B03">
        <w:rPr>
          <w:lang w:val="pt-BR"/>
        </w:rPr>
        <w:t xml:space="preserve">de </w:t>
      </w:r>
      <w:r w:rsidRPr="006C5B03">
        <w:rPr>
          <w:lang w:val="pt-BR"/>
        </w:rPr>
        <w:t>fevereiro de 2018</w:t>
      </w:r>
    </w:p>
    <w:p w14:paraId="37BF28F5" w14:textId="77777777" w:rsidR="00504445" w:rsidRPr="006C5B03" w:rsidRDefault="00504445" w:rsidP="00CE3B7E">
      <w:pPr>
        <w:pStyle w:val="BodyText"/>
        <w:tabs>
          <w:tab w:val="left" w:pos="10206"/>
        </w:tabs>
        <w:spacing w:before="8"/>
        <w:jc w:val="both"/>
        <w:rPr>
          <w:sz w:val="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A8010E3" wp14:editId="5E14B9EB">
                <wp:simplePos x="0" y="0"/>
                <wp:positionH relativeFrom="page">
                  <wp:posOffset>867410</wp:posOffset>
                </wp:positionH>
                <wp:positionV relativeFrom="paragraph">
                  <wp:posOffset>92075</wp:posOffset>
                </wp:positionV>
                <wp:extent cx="3143250" cy="0"/>
                <wp:effectExtent l="0" t="0" r="0" b="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755CC5C7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3pt,7.25pt" to="315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zjEQIAACwEAAAOAAAAZHJzL2Uyb0RvYy54bWysU1HP2iAUfV+y/0B417baz2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3B93049D" w14:textId="77777777" w:rsidR="00504445" w:rsidRPr="006C5B03" w:rsidRDefault="005472B8" w:rsidP="00CE3B7E">
      <w:pPr>
        <w:tabs>
          <w:tab w:val="left" w:pos="10206"/>
        </w:tabs>
        <w:jc w:val="both"/>
        <w:rPr>
          <w:lang w:val="pt-BR"/>
        </w:rPr>
        <w:sectPr w:rsidR="00504445" w:rsidRPr="006C5B03">
          <w:type w:val="continuous"/>
          <w:pgSz w:w="12240" w:h="15840"/>
          <w:pgMar w:top="440" w:right="300" w:bottom="760" w:left="360" w:header="720" w:footer="720" w:gutter="0"/>
          <w:cols w:num="2" w:space="720" w:equalWidth="0">
            <w:col w:w="561" w:space="372"/>
            <w:col w:w="10647"/>
          </w:cols>
        </w:sectPr>
      </w:pPr>
      <w:r>
        <w:rPr>
          <w:lang w:val="pt-BR"/>
        </w:rPr>
        <w:t xml:space="preserve">   </w:t>
      </w:r>
    </w:p>
    <w:p w14:paraId="1224CB10" w14:textId="77777777" w:rsidR="006C5B03" w:rsidRPr="0030605C" w:rsidRDefault="006C5B03" w:rsidP="00CE3B7E">
      <w:pPr>
        <w:pStyle w:val="BodyText"/>
        <w:tabs>
          <w:tab w:val="left" w:pos="10206"/>
        </w:tabs>
        <w:ind w:right="1074"/>
        <w:jc w:val="both"/>
        <w:rPr>
          <w:lang w:val="pt-BR"/>
        </w:rPr>
      </w:pPr>
    </w:p>
    <w:p w14:paraId="288ED7FE" w14:textId="368B47C5" w:rsidR="006C5B03" w:rsidRPr="006C5B03" w:rsidRDefault="00736517" w:rsidP="00CE3B7E">
      <w:pPr>
        <w:pStyle w:val="BodyText"/>
        <w:tabs>
          <w:tab w:val="left" w:pos="10206"/>
        </w:tabs>
        <w:ind w:left="747" w:right="1074"/>
        <w:jc w:val="both"/>
        <w:rPr>
          <w:lang w:val="pt-BR"/>
        </w:rPr>
      </w:pPr>
      <w:r>
        <w:rPr>
          <w:lang w:val="pt-BR"/>
        </w:rPr>
        <w:t>Por meio des</w:t>
      </w:r>
      <w:r w:rsidR="00B16E9C">
        <w:rPr>
          <w:lang w:val="pt-BR"/>
        </w:rPr>
        <w:t>t</w:t>
      </w:r>
      <w:r>
        <w:rPr>
          <w:lang w:val="pt-BR"/>
        </w:rPr>
        <w:t>e documento</w:t>
      </w:r>
      <w:r w:rsidR="00277F70">
        <w:rPr>
          <w:lang w:val="pt-BR"/>
        </w:rPr>
        <w:t xml:space="preserve">, </w:t>
      </w:r>
      <w:r w:rsidR="00315322">
        <w:rPr>
          <w:lang w:val="pt-BR"/>
        </w:rPr>
        <w:t>nós da Kinross</w:t>
      </w:r>
      <w:r w:rsidR="009124C0">
        <w:rPr>
          <w:lang w:val="pt-BR"/>
        </w:rPr>
        <w:t xml:space="preserve"> Brasil Mineração</w:t>
      </w:r>
      <w:r w:rsidR="00315322">
        <w:rPr>
          <w:lang w:val="pt-BR"/>
        </w:rPr>
        <w:t xml:space="preserve"> esperamos</w:t>
      </w:r>
      <w:r w:rsidR="006C5B03" w:rsidRPr="006C5B03">
        <w:rPr>
          <w:lang w:val="pt-BR"/>
        </w:rPr>
        <w:t xml:space="preserve"> responder </w:t>
      </w:r>
      <w:r w:rsidR="00D30EF8">
        <w:rPr>
          <w:lang w:val="pt-BR"/>
        </w:rPr>
        <w:t>a todas as</w:t>
      </w:r>
      <w:r w:rsidR="00911E96">
        <w:rPr>
          <w:lang w:val="pt-BR"/>
        </w:rPr>
        <w:t xml:space="preserve"> declarações equivocadas e enganosas</w:t>
      </w:r>
      <w:r w:rsidR="00277F70">
        <w:rPr>
          <w:lang w:val="pt-BR"/>
        </w:rPr>
        <w:t xml:space="preserve"> apresentadas no relatório “Mineração e Violação de Direitos – o caso da empresa Kinross em Paracatu”, publicado </w:t>
      </w:r>
      <w:r w:rsidR="00315322">
        <w:rPr>
          <w:lang w:val="pt-BR"/>
        </w:rPr>
        <w:t>em dezembro de 2017</w:t>
      </w:r>
      <w:r w:rsidR="00D30EF8">
        <w:rPr>
          <w:lang w:val="pt-BR"/>
        </w:rPr>
        <w:t>,</w:t>
      </w:r>
      <w:r w:rsidR="00315322">
        <w:rPr>
          <w:lang w:val="pt-BR"/>
        </w:rPr>
        <w:t xml:space="preserve"> pela organização</w:t>
      </w:r>
      <w:r w:rsidR="006C5B03" w:rsidRPr="006C5B03">
        <w:rPr>
          <w:lang w:val="pt-BR"/>
        </w:rPr>
        <w:t xml:space="preserve"> "</w:t>
      </w:r>
      <w:r w:rsidR="006C5B03" w:rsidRPr="006C5B03">
        <w:rPr>
          <w:i/>
          <w:lang w:val="pt-BR"/>
        </w:rPr>
        <w:t>Above Ground</w:t>
      </w:r>
      <w:r w:rsidR="006C5B03" w:rsidRPr="006C5B03">
        <w:rPr>
          <w:lang w:val="pt-BR"/>
        </w:rPr>
        <w:t>"</w:t>
      </w:r>
      <w:r>
        <w:rPr>
          <w:lang w:val="pt-BR"/>
        </w:rPr>
        <w:t>, com base no Canadá,</w:t>
      </w:r>
      <w:r w:rsidR="006C5B03" w:rsidRPr="006C5B03">
        <w:rPr>
          <w:lang w:val="pt-BR"/>
        </w:rPr>
        <w:t xml:space="preserve"> e </w:t>
      </w:r>
      <w:r w:rsidR="00315322">
        <w:rPr>
          <w:lang w:val="pt-BR"/>
        </w:rPr>
        <w:t>pela organização brasileira Justiça Global</w:t>
      </w:r>
      <w:r w:rsidR="006C5B03" w:rsidRPr="006C5B03">
        <w:rPr>
          <w:lang w:val="pt-BR"/>
        </w:rPr>
        <w:t xml:space="preserve"> ("</w:t>
      </w:r>
      <w:r w:rsidR="006C5B03">
        <w:rPr>
          <w:lang w:val="pt-BR"/>
        </w:rPr>
        <w:t>relatórios AG-JG</w:t>
      </w:r>
      <w:r w:rsidR="006C5B03" w:rsidRPr="006C5B03">
        <w:rPr>
          <w:lang w:val="pt-BR"/>
        </w:rPr>
        <w:t>").</w:t>
      </w:r>
    </w:p>
    <w:p w14:paraId="0B00E113" w14:textId="77777777" w:rsidR="006C5B03" w:rsidRPr="0030605C" w:rsidRDefault="006C5B03" w:rsidP="00CE3B7E">
      <w:pPr>
        <w:pStyle w:val="Heading1"/>
        <w:tabs>
          <w:tab w:val="left" w:pos="10206"/>
        </w:tabs>
        <w:ind w:left="0" w:right="874"/>
        <w:jc w:val="both"/>
        <w:rPr>
          <w:lang w:val="pt-BR"/>
        </w:rPr>
      </w:pPr>
    </w:p>
    <w:p w14:paraId="3BC7596A" w14:textId="77777777" w:rsidR="006C5B03" w:rsidRPr="006C5B03" w:rsidRDefault="006C5B03" w:rsidP="00CE3B7E">
      <w:pPr>
        <w:pStyle w:val="Heading1"/>
        <w:tabs>
          <w:tab w:val="left" w:pos="10206"/>
        </w:tabs>
        <w:ind w:right="874"/>
        <w:jc w:val="both"/>
        <w:rPr>
          <w:lang w:val="pt-BR"/>
        </w:rPr>
      </w:pPr>
      <w:r w:rsidRPr="006C5B03">
        <w:rPr>
          <w:lang w:val="pt-BR"/>
        </w:rPr>
        <w:t>Os relatórios</w:t>
      </w:r>
      <w:r w:rsidR="00D30EF8">
        <w:rPr>
          <w:lang w:val="pt-BR"/>
        </w:rPr>
        <w:t xml:space="preserve"> da AG</w:t>
      </w:r>
      <w:r w:rsidRPr="006C5B03">
        <w:rPr>
          <w:lang w:val="pt-BR"/>
        </w:rPr>
        <w:t xml:space="preserve">-JG </w:t>
      </w:r>
      <w:r w:rsidR="00D30EF8">
        <w:rPr>
          <w:lang w:val="pt-BR"/>
        </w:rPr>
        <w:t xml:space="preserve">contra a Kinross </w:t>
      </w:r>
      <w:r w:rsidRPr="006C5B03">
        <w:rPr>
          <w:lang w:val="pt-BR"/>
        </w:rPr>
        <w:t xml:space="preserve">apresentam </w:t>
      </w:r>
      <w:r>
        <w:rPr>
          <w:lang w:val="pt-BR"/>
        </w:rPr>
        <w:t>inúmeras</w:t>
      </w:r>
      <w:r w:rsidRPr="006C5B03">
        <w:rPr>
          <w:lang w:val="pt-BR"/>
        </w:rPr>
        <w:t xml:space="preserve"> alegações infundadas e factualmente incorretas, juntamente com informações parciais, falsas e enganosas. Esses relatórios </w:t>
      </w:r>
      <w:r w:rsidR="00BF2117">
        <w:rPr>
          <w:lang w:val="pt-BR"/>
        </w:rPr>
        <w:t>prestam um desserviço à</w:t>
      </w:r>
      <w:r w:rsidRPr="006C5B03">
        <w:rPr>
          <w:lang w:val="pt-BR"/>
        </w:rPr>
        <w:t xml:space="preserve"> comuni</w:t>
      </w:r>
      <w:r w:rsidR="00BF2117">
        <w:rPr>
          <w:lang w:val="pt-BR"/>
        </w:rPr>
        <w:t>dade e prejudicam a reputação da</w:t>
      </w:r>
      <w:r w:rsidRPr="006C5B03">
        <w:rPr>
          <w:lang w:val="pt-BR"/>
        </w:rPr>
        <w:t xml:space="preserve"> </w:t>
      </w:r>
      <w:r w:rsidRPr="00BF2117">
        <w:rPr>
          <w:i/>
          <w:lang w:val="pt-BR"/>
        </w:rPr>
        <w:t>Kinross</w:t>
      </w:r>
      <w:r w:rsidR="00BF2117">
        <w:rPr>
          <w:i/>
          <w:lang w:val="pt-BR"/>
        </w:rPr>
        <w:t>,</w:t>
      </w:r>
      <w:r w:rsidRPr="006C5B03">
        <w:rPr>
          <w:lang w:val="pt-BR"/>
        </w:rPr>
        <w:t xml:space="preserve"> ao informar incorretamente o público sobre as atividades da </w:t>
      </w:r>
      <w:r w:rsidR="00277F70">
        <w:rPr>
          <w:lang w:val="pt-BR"/>
        </w:rPr>
        <w:t>e</w:t>
      </w:r>
      <w:r w:rsidR="00BF2117">
        <w:rPr>
          <w:lang w:val="pt-BR"/>
        </w:rPr>
        <w:t>mpresa</w:t>
      </w:r>
      <w:r w:rsidRPr="006C5B03">
        <w:rPr>
          <w:lang w:val="pt-BR"/>
        </w:rPr>
        <w:t xml:space="preserve"> em Paracatu.</w:t>
      </w:r>
    </w:p>
    <w:p w14:paraId="69BE043B" w14:textId="77777777" w:rsidR="00BF2117" w:rsidRPr="0030605C" w:rsidRDefault="00BF2117" w:rsidP="00CE3B7E">
      <w:pPr>
        <w:pStyle w:val="BodyText"/>
        <w:tabs>
          <w:tab w:val="left" w:pos="10206"/>
        </w:tabs>
        <w:ind w:right="896"/>
        <w:jc w:val="both"/>
        <w:rPr>
          <w:lang w:val="pt-BR"/>
        </w:rPr>
      </w:pPr>
    </w:p>
    <w:p w14:paraId="39B54BA3" w14:textId="77777777" w:rsidR="00BF2117" w:rsidRPr="00BF2117" w:rsidRDefault="00BF2117" w:rsidP="008261BB">
      <w:pPr>
        <w:pStyle w:val="BodyText"/>
        <w:tabs>
          <w:tab w:val="left" w:pos="10206"/>
        </w:tabs>
        <w:ind w:left="747" w:right="807"/>
        <w:jc w:val="both"/>
        <w:rPr>
          <w:lang w:val="pt-BR"/>
        </w:rPr>
      </w:pPr>
      <w:r w:rsidRPr="00BF2117">
        <w:rPr>
          <w:lang w:val="pt-BR"/>
        </w:rPr>
        <w:t xml:space="preserve">A </w:t>
      </w:r>
      <w:r w:rsidRPr="00BF2117">
        <w:rPr>
          <w:i/>
          <w:lang w:val="pt-BR"/>
        </w:rPr>
        <w:t>Kinross</w:t>
      </w:r>
      <w:r w:rsidRPr="00BF2117">
        <w:rPr>
          <w:lang w:val="pt-BR"/>
        </w:rPr>
        <w:t xml:space="preserve"> tem uma longa história de transparência em questões sociais e ambientais </w:t>
      </w:r>
      <w:r>
        <w:rPr>
          <w:lang w:val="pt-BR"/>
        </w:rPr>
        <w:t>que es</w:t>
      </w:r>
      <w:r w:rsidR="00277F70">
        <w:rPr>
          <w:lang w:val="pt-BR"/>
        </w:rPr>
        <w:t>tão</w:t>
      </w:r>
      <w:r>
        <w:rPr>
          <w:lang w:val="pt-BR"/>
        </w:rPr>
        <w:t xml:space="preserve"> </w:t>
      </w:r>
      <w:r w:rsidRPr="00BF2117">
        <w:rPr>
          <w:lang w:val="pt-BR"/>
        </w:rPr>
        <w:t>rel</w:t>
      </w:r>
      <w:r w:rsidR="00277F70">
        <w:rPr>
          <w:lang w:val="pt-BR"/>
        </w:rPr>
        <w:t>acionadas às nossas operações. E</w:t>
      </w:r>
      <w:r w:rsidRPr="00BF2117">
        <w:rPr>
          <w:lang w:val="pt-BR"/>
        </w:rPr>
        <w:t xml:space="preserve">stamos fortemente </w:t>
      </w:r>
      <w:r>
        <w:rPr>
          <w:lang w:val="pt-BR"/>
        </w:rPr>
        <w:t xml:space="preserve">comprometidos com </w:t>
      </w:r>
      <w:r w:rsidR="00277F70">
        <w:rPr>
          <w:lang w:val="pt-BR"/>
        </w:rPr>
        <w:t>os</w:t>
      </w:r>
      <w:r w:rsidRPr="00BF2117">
        <w:rPr>
          <w:lang w:val="pt-BR"/>
        </w:rPr>
        <w:t xml:space="preserve"> mais altos padrões sociais, ambientais e éticos em todas as nossas operações globais, incluindo nossa mina Morro do Ouro em Paracatu, Minas Gerais, Brasil.</w:t>
      </w:r>
    </w:p>
    <w:p w14:paraId="7B237DE2" w14:textId="77777777" w:rsidR="00BF2117" w:rsidRPr="0030605C" w:rsidRDefault="00BF2117" w:rsidP="008261BB">
      <w:pPr>
        <w:pStyle w:val="BodyText"/>
        <w:tabs>
          <w:tab w:val="left" w:pos="10206"/>
        </w:tabs>
        <w:ind w:right="807"/>
        <w:jc w:val="both"/>
        <w:rPr>
          <w:lang w:val="pt-BR"/>
        </w:rPr>
      </w:pPr>
    </w:p>
    <w:p w14:paraId="1BA146DB" w14:textId="16074DC4" w:rsidR="00BF2117" w:rsidRPr="00BF2117" w:rsidRDefault="00BF2117" w:rsidP="008261BB">
      <w:pPr>
        <w:pStyle w:val="BodyText"/>
        <w:tabs>
          <w:tab w:val="left" w:pos="10206"/>
        </w:tabs>
        <w:ind w:left="747" w:right="807"/>
        <w:jc w:val="both"/>
        <w:rPr>
          <w:lang w:val="pt-BR"/>
        </w:rPr>
      </w:pPr>
      <w:r w:rsidRPr="00BF2117">
        <w:rPr>
          <w:lang w:val="pt-BR"/>
        </w:rPr>
        <w:t xml:space="preserve">É importante notar que </w:t>
      </w:r>
      <w:r>
        <w:rPr>
          <w:lang w:val="pt-BR"/>
        </w:rPr>
        <w:t>nem</w:t>
      </w:r>
      <w:r w:rsidRPr="00BF2117">
        <w:rPr>
          <w:lang w:val="pt-BR"/>
        </w:rPr>
        <w:t xml:space="preserve"> </w:t>
      </w:r>
      <w:r>
        <w:rPr>
          <w:lang w:val="pt-BR"/>
        </w:rPr>
        <w:t xml:space="preserve">a </w:t>
      </w:r>
      <w:r w:rsidRPr="00BF2117">
        <w:rPr>
          <w:i/>
          <w:lang w:val="pt-BR"/>
        </w:rPr>
        <w:t>Above Ground</w:t>
      </w:r>
      <w:r>
        <w:rPr>
          <w:lang w:val="pt-BR"/>
        </w:rPr>
        <w:t xml:space="preserve"> nem a</w:t>
      </w:r>
      <w:r w:rsidRPr="00BF2117">
        <w:rPr>
          <w:lang w:val="pt-BR"/>
        </w:rPr>
        <w:t xml:space="preserve"> </w:t>
      </w:r>
      <w:r w:rsidR="00277F70" w:rsidRPr="00D30EF8">
        <w:rPr>
          <w:i/>
          <w:lang w:val="pt-BR"/>
        </w:rPr>
        <w:t>Justiça Global</w:t>
      </w:r>
      <w:r w:rsidRPr="00BF2117">
        <w:rPr>
          <w:lang w:val="pt-BR"/>
        </w:rPr>
        <w:t xml:space="preserve"> </w:t>
      </w:r>
      <w:r w:rsidR="00277F70">
        <w:rPr>
          <w:lang w:val="pt-BR"/>
        </w:rPr>
        <w:t>demonstraram</w:t>
      </w:r>
      <w:r w:rsidRPr="00BF2117">
        <w:rPr>
          <w:lang w:val="pt-BR"/>
        </w:rPr>
        <w:t xml:space="preserve"> interesse em discutir as alegações que levantaram. Na </w:t>
      </w:r>
      <w:r>
        <w:rPr>
          <w:lang w:val="pt-BR"/>
        </w:rPr>
        <w:t>verdade, foi a</w:t>
      </w:r>
      <w:r w:rsidRPr="00BF2117">
        <w:rPr>
          <w:lang w:val="pt-BR"/>
        </w:rPr>
        <w:t xml:space="preserve"> </w:t>
      </w:r>
      <w:r w:rsidRPr="00BF2117">
        <w:rPr>
          <w:i/>
          <w:lang w:val="pt-BR"/>
        </w:rPr>
        <w:t>Kinross</w:t>
      </w:r>
      <w:r>
        <w:rPr>
          <w:lang w:val="pt-BR"/>
        </w:rPr>
        <w:t xml:space="preserve"> quem chegou a estes </w:t>
      </w:r>
      <w:r w:rsidR="00D30EF8">
        <w:rPr>
          <w:lang w:val="pt-BR"/>
        </w:rPr>
        <w:t>grupos para iniciar um</w:t>
      </w:r>
      <w:r w:rsidRPr="00BF2117">
        <w:rPr>
          <w:lang w:val="pt-BR"/>
        </w:rPr>
        <w:t xml:space="preserve"> diálogo</w:t>
      </w:r>
      <w:r>
        <w:rPr>
          <w:lang w:val="pt-BR"/>
        </w:rPr>
        <w:t>,</w:t>
      </w:r>
      <w:r w:rsidRPr="00BF2117">
        <w:rPr>
          <w:lang w:val="pt-BR"/>
        </w:rPr>
        <w:t xml:space="preserve"> depois de saber que eles estavam preparando relatórios sobre nossas atividades. Embora tenham c</w:t>
      </w:r>
      <w:r>
        <w:rPr>
          <w:lang w:val="pt-BR"/>
        </w:rPr>
        <w:t xml:space="preserve">oncordado em nos encontrar, houve apenas um encontro </w:t>
      </w:r>
      <w:r w:rsidRPr="00BF2117">
        <w:rPr>
          <w:lang w:val="pt-BR"/>
        </w:rPr>
        <w:t xml:space="preserve">com cada grupo (com a </w:t>
      </w:r>
      <w:r w:rsidR="00D30EF8" w:rsidRPr="00D30EF8">
        <w:rPr>
          <w:i/>
          <w:lang w:val="pt-BR"/>
        </w:rPr>
        <w:t>Justiça Global</w:t>
      </w:r>
      <w:r>
        <w:rPr>
          <w:lang w:val="pt-BR"/>
        </w:rPr>
        <w:t xml:space="preserve"> em 2015 e com a</w:t>
      </w:r>
      <w:r w:rsidRPr="00BF2117">
        <w:rPr>
          <w:lang w:val="pt-BR"/>
        </w:rPr>
        <w:t xml:space="preserve"> </w:t>
      </w:r>
      <w:r w:rsidRPr="00BF2117">
        <w:rPr>
          <w:i/>
          <w:lang w:val="pt-BR"/>
        </w:rPr>
        <w:t>Above Ground</w:t>
      </w:r>
      <w:r w:rsidRPr="00BF2117">
        <w:rPr>
          <w:lang w:val="pt-BR"/>
        </w:rPr>
        <w:t xml:space="preserve"> em janeiro de 2017). </w:t>
      </w:r>
      <w:r w:rsidR="009D04CB">
        <w:rPr>
          <w:lang w:val="pt-BR"/>
        </w:rPr>
        <w:t>é</w:t>
      </w:r>
      <w:r w:rsidR="009D04CB" w:rsidRPr="00BF2117">
        <w:rPr>
          <w:lang w:val="pt-BR"/>
        </w:rPr>
        <w:t xml:space="preserve"> </w:t>
      </w:r>
      <w:r w:rsidRPr="00BF2117">
        <w:rPr>
          <w:lang w:val="pt-BR"/>
        </w:rPr>
        <w:t xml:space="preserve">decepcionante que nenhum dos dois tenha </w:t>
      </w:r>
      <w:r>
        <w:rPr>
          <w:lang w:val="pt-BR"/>
        </w:rPr>
        <w:t>tido tempo de aceitar</w:t>
      </w:r>
      <w:r w:rsidRPr="00BF2117">
        <w:rPr>
          <w:lang w:val="pt-BR"/>
        </w:rPr>
        <w:t xml:space="preserve"> a nossa oferta para continuar o diálogo. Hoje, </w:t>
      </w:r>
      <w:r w:rsidR="008261BB">
        <w:rPr>
          <w:lang w:val="pt-BR"/>
        </w:rPr>
        <w:t xml:space="preserve">a </w:t>
      </w:r>
      <w:r w:rsidRPr="00166E12">
        <w:rPr>
          <w:i/>
          <w:lang w:val="pt-BR"/>
        </w:rPr>
        <w:t>Kinross</w:t>
      </w:r>
      <w:r w:rsidRPr="00BF2117">
        <w:rPr>
          <w:lang w:val="pt-BR"/>
        </w:rPr>
        <w:t xml:space="preserve"> gostaria </w:t>
      </w:r>
      <w:r>
        <w:rPr>
          <w:lang w:val="pt-BR"/>
        </w:rPr>
        <w:t xml:space="preserve">de esclarecer de forma </w:t>
      </w:r>
      <w:r w:rsidR="00166E12">
        <w:rPr>
          <w:lang w:val="pt-BR"/>
        </w:rPr>
        <w:t xml:space="preserve">definitiva o </w:t>
      </w:r>
      <w:r w:rsidR="003638CF">
        <w:rPr>
          <w:lang w:val="pt-BR"/>
        </w:rPr>
        <w:t>que se segue</w:t>
      </w:r>
      <w:r w:rsidRPr="00BF2117">
        <w:rPr>
          <w:lang w:val="pt-BR"/>
        </w:rPr>
        <w:t>:</w:t>
      </w:r>
    </w:p>
    <w:p w14:paraId="15280DDD" w14:textId="77777777" w:rsidR="00D01DEC" w:rsidRPr="00BF2117" w:rsidRDefault="00D01DEC" w:rsidP="008261BB">
      <w:pPr>
        <w:pStyle w:val="BodyText"/>
        <w:tabs>
          <w:tab w:val="left" w:pos="10206"/>
        </w:tabs>
        <w:spacing w:before="1"/>
        <w:ind w:right="807"/>
        <w:jc w:val="both"/>
        <w:rPr>
          <w:sz w:val="21"/>
          <w:lang w:val="pt-BR"/>
        </w:rPr>
      </w:pPr>
    </w:p>
    <w:p w14:paraId="3CA883A5" w14:textId="77777777" w:rsidR="00501513" w:rsidRPr="008261BB" w:rsidRDefault="00501513" w:rsidP="008261BB">
      <w:pPr>
        <w:pStyle w:val="ListParagraph"/>
        <w:tabs>
          <w:tab w:val="left" w:pos="1666"/>
          <w:tab w:val="left" w:pos="1667"/>
          <w:tab w:val="left" w:pos="10206"/>
        </w:tabs>
        <w:ind w:right="807" w:firstLine="0"/>
        <w:jc w:val="both"/>
        <w:rPr>
          <w:sz w:val="20"/>
          <w:lang w:val="pt-BR"/>
        </w:rPr>
      </w:pPr>
    </w:p>
    <w:p w14:paraId="27CF18CD" w14:textId="77777777" w:rsidR="00501513" w:rsidRPr="00501513" w:rsidRDefault="00501513" w:rsidP="008261BB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807"/>
        <w:jc w:val="both"/>
        <w:rPr>
          <w:sz w:val="20"/>
          <w:lang w:val="pt-BR"/>
        </w:rPr>
      </w:pPr>
      <w:r w:rsidRPr="00501513">
        <w:rPr>
          <w:sz w:val="20"/>
          <w:lang w:val="pt-BR"/>
        </w:rPr>
        <w:t xml:space="preserve">A Kinross tem </w:t>
      </w:r>
      <w:r w:rsidRPr="00501513">
        <w:rPr>
          <w:b/>
          <w:sz w:val="20"/>
          <w:lang w:val="pt-BR"/>
        </w:rPr>
        <w:t>um relacionamento respeitoso e construtivo com as comunidades quilombolas</w:t>
      </w:r>
      <w:r w:rsidR="00D30EF8">
        <w:rPr>
          <w:b/>
          <w:sz w:val="20"/>
          <w:lang w:val="pt-BR"/>
        </w:rPr>
        <w:t xml:space="preserve"> de Paracatu. </w:t>
      </w:r>
      <w:r w:rsidR="00D30EF8" w:rsidRPr="00D30EF8">
        <w:rPr>
          <w:sz w:val="20"/>
          <w:lang w:val="pt-BR"/>
        </w:rPr>
        <w:t>N</w:t>
      </w:r>
      <w:r w:rsidRPr="00501513">
        <w:rPr>
          <w:sz w:val="20"/>
          <w:lang w:val="pt-BR"/>
        </w:rPr>
        <w:t xml:space="preserve">ós </w:t>
      </w:r>
      <w:r w:rsidR="00D30EF8">
        <w:rPr>
          <w:sz w:val="20"/>
          <w:lang w:val="pt-BR"/>
        </w:rPr>
        <w:t>apoiamos diversos</w:t>
      </w:r>
      <w:r w:rsidRPr="00501513">
        <w:rPr>
          <w:sz w:val="20"/>
          <w:lang w:val="pt-BR"/>
        </w:rPr>
        <w:t xml:space="preserve"> projetos locais </w:t>
      </w:r>
      <w:r w:rsidR="00D30EF8">
        <w:rPr>
          <w:sz w:val="20"/>
          <w:lang w:val="pt-BR"/>
        </w:rPr>
        <w:t>n</w:t>
      </w:r>
      <w:r w:rsidRPr="00501513">
        <w:rPr>
          <w:sz w:val="20"/>
          <w:lang w:val="pt-BR"/>
        </w:rPr>
        <w:t xml:space="preserve">essas comunidades para ajudar a preservar </w:t>
      </w:r>
      <w:r>
        <w:rPr>
          <w:sz w:val="20"/>
          <w:lang w:val="pt-BR"/>
        </w:rPr>
        <w:t>sua</w:t>
      </w:r>
      <w:r w:rsidRPr="00501513">
        <w:rPr>
          <w:sz w:val="20"/>
          <w:lang w:val="pt-BR"/>
        </w:rPr>
        <w:t xml:space="preserve"> história e cultura.</w:t>
      </w:r>
    </w:p>
    <w:p w14:paraId="4EF72B5E" w14:textId="77777777" w:rsidR="00501513" w:rsidRPr="0030605C" w:rsidRDefault="00501513" w:rsidP="008261BB">
      <w:pPr>
        <w:tabs>
          <w:tab w:val="left" w:pos="10206"/>
        </w:tabs>
        <w:ind w:right="807"/>
        <w:jc w:val="both"/>
        <w:rPr>
          <w:sz w:val="20"/>
          <w:lang w:val="pt-BR"/>
        </w:rPr>
      </w:pPr>
    </w:p>
    <w:p w14:paraId="7B478625" w14:textId="77777777" w:rsidR="00501513" w:rsidRPr="00501513" w:rsidRDefault="00501513" w:rsidP="008261BB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807"/>
        <w:jc w:val="both"/>
        <w:rPr>
          <w:sz w:val="20"/>
          <w:lang w:val="pt-BR"/>
        </w:rPr>
      </w:pPr>
      <w:r w:rsidRPr="00501513">
        <w:rPr>
          <w:sz w:val="20"/>
          <w:lang w:val="pt-BR"/>
        </w:rPr>
        <w:t>Dois estudos clínicos independentes</w:t>
      </w:r>
      <w:r w:rsidR="00996B39">
        <w:rPr>
          <w:sz w:val="20"/>
          <w:lang w:val="pt-BR"/>
        </w:rPr>
        <w:t>,</w:t>
      </w:r>
      <w:r w:rsidRPr="00501513">
        <w:rPr>
          <w:sz w:val="20"/>
          <w:lang w:val="pt-BR"/>
        </w:rPr>
        <w:t xml:space="preserve"> detalhados e separados mostram claramente que o </w:t>
      </w:r>
      <w:r w:rsidRPr="00501513">
        <w:rPr>
          <w:b/>
          <w:sz w:val="20"/>
          <w:lang w:val="pt-BR"/>
        </w:rPr>
        <w:t>arsênio de nossas operações não é uma preocupação de saúde pública para as pessoas de Paracatu</w:t>
      </w:r>
      <w:r w:rsidR="00D30EF8">
        <w:rPr>
          <w:b/>
          <w:sz w:val="20"/>
          <w:lang w:val="pt-BR"/>
        </w:rPr>
        <w:t>,</w:t>
      </w:r>
      <w:r w:rsidRPr="00501513">
        <w:rPr>
          <w:sz w:val="20"/>
          <w:lang w:val="pt-BR"/>
        </w:rPr>
        <w:t xml:space="preserve"> e que</w:t>
      </w:r>
      <w:r w:rsidR="00D30EF8">
        <w:rPr>
          <w:sz w:val="20"/>
          <w:lang w:val="pt-BR"/>
        </w:rPr>
        <w:t>,</w:t>
      </w:r>
      <w:r w:rsidRPr="00501513">
        <w:rPr>
          <w:sz w:val="20"/>
          <w:lang w:val="pt-BR"/>
        </w:rPr>
        <w:t xml:space="preserve"> as concentrações de arsênio em alimentos, água e poeira </w:t>
      </w:r>
      <w:r w:rsidR="00D30EF8">
        <w:rPr>
          <w:sz w:val="20"/>
          <w:lang w:val="pt-BR"/>
        </w:rPr>
        <w:t>na cidade</w:t>
      </w:r>
      <w:r w:rsidRPr="00501513">
        <w:rPr>
          <w:sz w:val="20"/>
          <w:lang w:val="pt-BR"/>
        </w:rPr>
        <w:t xml:space="preserve"> são normais.</w:t>
      </w:r>
    </w:p>
    <w:p w14:paraId="01F220D9" w14:textId="77777777" w:rsidR="00501513" w:rsidRPr="0030605C" w:rsidRDefault="00501513" w:rsidP="008261BB">
      <w:pPr>
        <w:tabs>
          <w:tab w:val="left" w:pos="10206"/>
        </w:tabs>
        <w:ind w:right="807"/>
        <w:jc w:val="both"/>
        <w:rPr>
          <w:sz w:val="20"/>
          <w:lang w:val="pt-BR"/>
        </w:rPr>
      </w:pPr>
    </w:p>
    <w:p w14:paraId="40E2CB6C" w14:textId="28A71163" w:rsidR="00501513" w:rsidRPr="00501513" w:rsidRDefault="00501513" w:rsidP="008261BB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807"/>
        <w:jc w:val="both"/>
        <w:rPr>
          <w:sz w:val="20"/>
          <w:lang w:val="pt-BR"/>
        </w:rPr>
      </w:pPr>
      <w:r w:rsidRPr="00501513">
        <w:rPr>
          <w:b/>
          <w:sz w:val="20"/>
          <w:lang w:val="pt-BR"/>
        </w:rPr>
        <w:t>Não há garimp</w:t>
      </w:r>
      <w:r w:rsidR="00D30EF8">
        <w:rPr>
          <w:b/>
          <w:sz w:val="20"/>
          <w:lang w:val="pt-BR"/>
        </w:rPr>
        <w:t xml:space="preserve">os </w:t>
      </w:r>
      <w:r w:rsidRPr="00501513">
        <w:rPr>
          <w:b/>
          <w:sz w:val="20"/>
          <w:lang w:val="pt-BR"/>
        </w:rPr>
        <w:t>"</w:t>
      </w:r>
      <w:r w:rsidR="000E50BD">
        <w:rPr>
          <w:b/>
          <w:sz w:val="20"/>
          <w:lang w:val="pt-BR"/>
        </w:rPr>
        <w:t>artesanai</w:t>
      </w:r>
      <w:r>
        <w:rPr>
          <w:b/>
          <w:sz w:val="20"/>
          <w:lang w:val="pt-BR"/>
        </w:rPr>
        <w:t>s</w:t>
      </w:r>
      <w:r w:rsidRPr="00501513">
        <w:rPr>
          <w:b/>
          <w:sz w:val="20"/>
          <w:lang w:val="pt-BR"/>
        </w:rPr>
        <w:t>" na mina do Morro do Our</w:t>
      </w:r>
      <w:r w:rsidRPr="00501513">
        <w:rPr>
          <w:sz w:val="20"/>
          <w:lang w:val="pt-BR"/>
        </w:rPr>
        <w:t>o</w:t>
      </w:r>
      <w:r w:rsidR="00D30EF8">
        <w:rPr>
          <w:sz w:val="20"/>
          <w:lang w:val="pt-BR"/>
        </w:rPr>
        <w:t>. O que existe é que</w:t>
      </w:r>
      <w:r w:rsidRPr="00501513">
        <w:rPr>
          <w:sz w:val="20"/>
          <w:lang w:val="pt-BR"/>
        </w:rPr>
        <w:t xml:space="preserve">, nos últimos anos, </w:t>
      </w:r>
      <w:r w:rsidR="00D30EF8">
        <w:rPr>
          <w:sz w:val="20"/>
          <w:lang w:val="pt-BR"/>
        </w:rPr>
        <w:t>pessoas vem</w:t>
      </w:r>
      <w:r w:rsidRPr="00501513">
        <w:rPr>
          <w:sz w:val="20"/>
          <w:lang w:val="pt-BR"/>
        </w:rPr>
        <w:t xml:space="preserve"> </w:t>
      </w:r>
      <w:r>
        <w:rPr>
          <w:sz w:val="20"/>
          <w:lang w:val="pt-BR"/>
        </w:rPr>
        <w:t>agindo de forma criminosa,</w:t>
      </w:r>
      <w:r w:rsidRPr="00501513">
        <w:rPr>
          <w:sz w:val="20"/>
          <w:lang w:val="pt-BR"/>
        </w:rPr>
        <w:t xml:space="preserve"> </w:t>
      </w:r>
      <w:r>
        <w:rPr>
          <w:sz w:val="20"/>
          <w:lang w:val="pt-BR"/>
        </w:rPr>
        <w:t>tentando</w:t>
      </w:r>
      <w:r w:rsidRPr="00501513">
        <w:rPr>
          <w:sz w:val="20"/>
          <w:lang w:val="pt-BR"/>
        </w:rPr>
        <w:t xml:space="preserve"> roubar o ouro </w:t>
      </w:r>
      <w:r w:rsidR="00065559">
        <w:rPr>
          <w:sz w:val="20"/>
          <w:lang w:val="pt-BR"/>
        </w:rPr>
        <w:t>presente nos efluentes industriais</w:t>
      </w:r>
      <w:r w:rsidR="00044225">
        <w:rPr>
          <w:sz w:val="20"/>
          <w:lang w:val="pt-BR"/>
        </w:rPr>
        <w:t xml:space="preserve"> colocando a si mesmos</w:t>
      </w:r>
      <w:r w:rsidRPr="00501513">
        <w:rPr>
          <w:sz w:val="20"/>
          <w:lang w:val="pt-BR"/>
        </w:rPr>
        <w:t xml:space="preserve"> e</w:t>
      </w:r>
      <w:r w:rsidR="00044225">
        <w:rPr>
          <w:sz w:val="20"/>
          <w:lang w:val="pt-BR"/>
        </w:rPr>
        <w:t xml:space="preserve"> também</w:t>
      </w:r>
      <w:r w:rsidRPr="00501513">
        <w:rPr>
          <w:sz w:val="20"/>
          <w:lang w:val="pt-BR"/>
        </w:rPr>
        <w:t xml:space="preserve"> nossos funcionários em perigo.</w:t>
      </w:r>
    </w:p>
    <w:p w14:paraId="57A2B69E" w14:textId="77777777" w:rsidR="00044225" w:rsidRPr="0030605C" w:rsidRDefault="00044225" w:rsidP="008261BB">
      <w:pPr>
        <w:tabs>
          <w:tab w:val="left" w:pos="10206"/>
        </w:tabs>
        <w:ind w:right="807"/>
        <w:jc w:val="both"/>
        <w:rPr>
          <w:sz w:val="20"/>
          <w:lang w:val="pt-BR"/>
        </w:rPr>
      </w:pPr>
    </w:p>
    <w:p w14:paraId="1844A7B6" w14:textId="7E1688BC" w:rsidR="00044225" w:rsidRPr="00044225" w:rsidRDefault="00044225" w:rsidP="008261BB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807"/>
        <w:jc w:val="both"/>
        <w:rPr>
          <w:sz w:val="20"/>
          <w:lang w:val="pt-BR"/>
        </w:rPr>
      </w:pPr>
      <w:r w:rsidRPr="00044225">
        <w:rPr>
          <w:b/>
          <w:sz w:val="20"/>
          <w:lang w:val="pt-BR"/>
        </w:rPr>
        <w:t xml:space="preserve">A Kinross é uma boa vizinha </w:t>
      </w:r>
      <w:r w:rsidRPr="00044225">
        <w:rPr>
          <w:sz w:val="20"/>
          <w:lang w:val="pt-BR"/>
        </w:rPr>
        <w:t xml:space="preserve">e mantém uma linha </w:t>
      </w:r>
      <w:r>
        <w:rPr>
          <w:sz w:val="20"/>
          <w:lang w:val="pt-BR"/>
        </w:rPr>
        <w:t>de assistência direta que funciona</w:t>
      </w:r>
      <w:r w:rsidRPr="00044225">
        <w:rPr>
          <w:sz w:val="20"/>
          <w:lang w:val="pt-BR"/>
        </w:rPr>
        <w:t xml:space="preserve"> 24 horas</w:t>
      </w:r>
      <w:r>
        <w:rPr>
          <w:sz w:val="20"/>
          <w:lang w:val="pt-BR"/>
        </w:rPr>
        <w:t xml:space="preserve"> por dia</w:t>
      </w:r>
      <w:r w:rsidRPr="00044225">
        <w:rPr>
          <w:sz w:val="20"/>
          <w:lang w:val="pt-BR"/>
        </w:rPr>
        <w:t xml:space="preserve">. </w:t>
      </w:r>
      <w:r w:rsidR="009D04CB">
        <w:rPr>
          <w:sz w:val="20"/>
          <w:lang w:val="pt-BR"/>
        </w:rPr>
        <w:t>Ações</w:t>
      </w:r>
      <w:r w:rsidR="009D04CB" w:rsidRPr="00044225">
        <w:rPr>
          <w:sz w:val="20"/>
          <w:lang w:val="pt-BR"/>
        </w:rPr>
        <w:t xml:space="preserve"> </w:t>
      </w:r>
      <w:r w:rsidRPr="00044225">
        <w:rPr>
          <w:sz w:val="20"/>
          <w:lang w:val="pt-BR"/>
        </w:rPr>
        <w:t xml:space="preserve">imediatas são tomadas quando queixas sobre poeira ou ruído são recebidas em nossa mina. Implementamos programas de monitoramento </w:t>
      </w:r>
      <w:r>
        <w:rPr>
          <w:sz w:val="20"/>
          <w:lang w:val="pt-BR"/>
        </w:rPr>
        <w:t>comunitário</w:t>
      </w:r>
      <w:r w:rsidRPr="00044225">
        <w:rPr>
          <w:sz w:val="20"/>
          <w:lang w:val="pt-BR"/>
        </w:rPr>
        <w:t xml:space="preserve">, </w:t>
      </w:r>
      <w:r w:rsidR="00D30EF8">
        <w:rPr>
          <w:sz w:val="20"/>
          <w:lang w:val="pt-BR"/>
        </w:rPr>
        <w:t xml:space="preserve">além de </w:t>
      </w:r>
      <w:r w:rsidRPr="00044225">
        <w:rPr>
          <w:sz w:val="20"/>
          <w:lang w:val="pt-BR"/>
        </w:rPr>
        <w:t xml:space="preserve">programas </w:t>
      </w:r>
      <w:r>
        <w:rPr>
          <w:sz w:val="20"/>
          <w:lang w:val="pt-BR"/>
        </w:rPr>
        <w:t>de</w:t>
      </w:r>
      <w:r w:rsidRPr="00044225">
        <w:rPr>
          <w:sz w:val="20"/>
          <w:lang w:val="pt-BR"/>
        </w:rPr>
        <w:t xml:space="preserve"> capacitação que apoiam o desenvolvimento comunitário sustentável.</w:t>
      </w:r>
    </w:p>
    <w:p w14:paraId="1CE2C291" w14:textId="77777777" w:rsidR="00044225" w:rsidRPr="0030605C" w:rsidRDefault="00044225" w:rsidP="008261BB">
      <w:pPr>
        <w:tabs>
          <w:tab w:val="left" w:pos="10206"/>
        </w:tabs>
        <w:ind w:right="807"/>
        <w:jc w:val="both"/>
        <w:rPr>
          <w:sz w:val="20"/>
          <w:lang w:val="pt-BR"/>
        </w:rPr>
      </w:pPr>
    </w:p>
    <w:p w14:paraId="424EF929" w14:textId="1CB49C8E" w:rsidR="00044225" w:rsidRPr="007F687D" w:rsidRDefault="007F687D" w:rsidP="008261BB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807"/>
        <w:jc w:val="both"/>
        <w:rPr>
          <w:sz w:val="20"/>
          <w:lang w:val="pt-BR"/>
        </w:rPr>
      </w:pPr>
      <w:r w:rsidRPr="007F687D">
        <w:rPr>
          <w:b/>
          <w:sz w:val="20"/>
          <w:lang w:val="pt-BR"/>
        </w:rPr>
        <w:t xml:space="preserve">As operações da Kinross </w:t>
      </w:r>
      <w:r w:rsidR="00065559" w:rsidRPr="007F687D">
        <w:rPr>
          <w:b/>
          <w:sz w:val="20"/>
          <w:lang w:val="pt-BR"/>
        </w:rPr>
        <w:t>beneficia</w:t>
      </w:r>
      <w:r w:rsidR="00065559">
        <w:rPr>
          <w:b/>
          <w:sz w:val="20"/>
          <w:lang w:val="pt-BR"/>
        </w:rPr>
        <w:t>m</w:t>
      </w:r>
      <w:r w:rsidR="00065559" w:rsidRPr="007F687D">
        <w:rPr>
          <w:b/>
          <w:sz w:val="20"/>
          <w:lang w:val="pt-BR"/>
        </w:rPr>
        <w:t xml:space="preserve"> </w:t>
      </w:r>
      <w:r w:rsidRPr="007F687D">
        <w:rPr>
          <w:b/>
          <w:sz w:val="20"/>
          <w:lang w:val="pt-BR"/>
        </w:rPr>
        <w:t>a comunidade local.</w:t>
      </w:r>
      <w:r w:rsidRPr="007F687D">
        <w:rPr>
          <w:sz w:val="20"/>
          <w:lang w:val="pt-BR"/>
        </w:rPr>
        <w:t xml:space="preserve"> Os dados do Índice de Desenvolvimento Humano (</w:t>
      </w:r>
      <w:r>
        <w:rPr>
          <w:sz w:val="20"/>
          <w:lang w:val="pt-BR"/>
        </w:rPr>
        <w:t>IDH</w:t>
      </w:r>
      <w:r w:rsidRPr="007F687D">
        <w:rPr>
          <w:sz w:val="20"/>
          <w:lang w:val="pt-BR"/>
        </w:rPr>
        <w:t>)</w:t>
      </w:r>
      <w:r w:rsidR="00D30EF8">
        <w:rPr>
          <w:sz w:val="20"/>
          <w:lang w:val="pt-BR"/>
        </w:rPr>
        <w:t>,</w:t>
      </w:r>
      <w:r w:rsidRPr="007F687D">
        <w:rPr>
          <w:sz w:val="20"/>
          <w:lang w:val="pt-BR"/>
        </w:rPr>
        <w:t xml:space="preserve"> </w:t>
      </w:r>
      <w:r>
        <w:rPr>
          <w:sz w:val="20"/>
          <w:lang w:val="pt-BR"/>
        </w:rPr>
        <w:t>em</w:t>
      </w:r>
      <w:r w:rsidRPr="007F687D">
        <w:rPr>
          <w:sz w:val="20"/>
          <w:lang w:val="pt-BR"/>
        </w:rPr>
        <w:t xml:space="preserve"> Paracatu</w:t>
      </w:r>
      <w:r w:rsidR="00D30EF8">
        <w:rPr>
          <w:sz w:val="20"/>
          <w:lang w:val="pt-BR"/>
        </w:rPr>
        <w:t>,</w:t>
      </w:r>
      <w:r w:rsidRPr="007F687D">
        <w:rPr>
          <w:sz w:val="20"/>
          <w:lang w:val="pt-BR"/>
        </w:rPr>
        <w:t xml:space="preserve"> mostram que, desde 1990, quando a mineração moderna começou em Paracatu, a</w:t>
      </w:r>
      <w:r>
        <w:rPr>
          <w:sz w:val="20"/>
          <w:lang w:val="pt-BR"/>
        </w:rPr>
        <w:t xml:space="preserve"> cidade superou tanto o E</w:t>
      </w:r>
      <w:r w:rsidRPr="007F687D">
        <w:rPr>
          <w:sz w:val="20"/>
          <w:lang w:val="pt-BR"/>
        </w:rPr>
        <w:t xml:space="preserve">stado de Minas Gerais </w:t>
      </w:r>
      <w:r>
        <w:rPr>
          <w:sz w:val="20"/>
          <w:lang w:val="pt-BR"/>
        </w:rPr>
        <w:t>quanto</w:t>
      </w:r>
      <w:r w:rsidRPr="007F687D">
        <w:rPr>
          <w:sz w:val="20"/>
          <w:lang w:val="pt-BR"/>
        </w:rPr>
        <w:t xml:space="preserve"> </w:t>
      </w:r>
      <w:r w:rsidR="009D04CB">
        <w:rPr>
          <w:sz w:val="20"/>
          <w:lang w:val="pt-BR"/>
        </w:rPr>
        <w:t>a média do</w:t>
      </w:r>
      <w:r w:rsidR="009D04CB" w:rsidRPr="007F687D">
        <w:rPr>
          <w:sz w:val="20"/>
          <w:lang w:val="pt-BR"/>
        </w:rPr>
        <w:t xml:space="preserve"> </w:t>
      </w:r>
      <w:r w:rsidRPr="007F687D">
        <w:rPr>
          <w:sz w:val="20"/>
          <w:lang w:val="pt-BR"/>
        </w:rPr>
        <w:t>Brasil.</w:t>
      </w:r>
    </w:p>
    <w:p w14:paraId="6AB9747B" w14:textId="77777777" w:rsidR="007F687D" w:rsidRPr="0030605C" w:rsidRDefault="007F687D" w:rsidP="008261BB">
      <w:pPr>
        <w:pStyle w:val="BodyText"/>
        <w:tabs>
          <w:tab w:val="left" w:pos="10206"/>
        </w:tabs>
        <w:ind w:right="807"/>
        <w:jc w:val="both"/>
        <w:rPr>
          <w:lang w:val="pt-BR"/>
        </w:rPr>
      </w:pPr>
    </w:p>
    <w:p w14:paraId="67B683AC" w14:textId="57E6AF9A" w:rsidR="007F687D" w:rsidRPr="003A18C5" w:rsidRDefault="007F687D" w:rsidP="008261BB">
      <w:pPr>
        <w:pStyle w:val="BodyText"/>
        <w:tabs>
          <w:tab w:val="left" w:pos="10206"/>
        </w:tabs>
        <w:ind w:left="747" w:right="807"/>
        <w:jc w:val="both"/>
        <w:rPr>
          <w:lang w:val="pt-BR"/>
        </w:rPr>
      </w:pPr>
      <w:r w:rsidRPr="003A18C5">
        <w:rPr>
          <w:lang w:val="pt-BR"/>
        </w:rPr>
        <w:t xml:space="preserve">Infelizmente, os relatórios </w:t>
      </w:r>
      <w:r w:rsidR="00D30EF8">
        <w:rPr>
          <w:lang w:val="pt-BR"/>
        </w:rPr>
        <w:t xml:space="preserve">da </w:t>
      </w:r>
      <w:r w:rsidRPr="003A18C5">
        <w:rPr>
          <w:lang w:val="pt-BR"/>
        </w:rPr>
        <w:t xml:space="preserve">AG-JG manipulam ou ignoram as informações que lhes foram fornecidas. </w:t>
      </w:r>
      <w:r w:rsidR="00D30EF8">
        <w:rPr>
          <w:lang w:val="pt-BR"/>
        </w:rPr>
        <w:t>Por isso, n</w:t>
      </w:r>
      <w:r w:rsidRPr="003A18C5">
        <w:rPr>
          <w:lang w:val="pt-BR"/>
        </w:rPr>
        <w:t xml:space="preserve">ós </w:t>
      </w:r>
      <w:r w:rsidR="003A18C5">
        <w:rPr>
          <w:lang w:val="pt-BR"/>
        </w:rPr>
        <w:t xml:space="preserve">gostaríamos </w:t>
      </w:r>
      <w:r w:rsidR="00D30EF8">
        <w:rPr>
          <w:lang w:val="pt-BR"/>
        </w:rPr>
        <w:t>de convidar</w:t>
      </w:r>
      <w:r w:rsidRPr="003A18C5">
        <w:rPr>
          <w:lang w:val="pt-BR"/>
        </w:rPr>
        <w:t xml:space="preserve"> qualquer pessoa interessada</w:t>
      </w:r>
      <w:r w:rsidR="00D30EF8">
        <w:rPr>
          <w:lang w:val="pt-BR"/>
        </w:rPr>
        <w:t xml:space="preserve"> em conhecer a versão correta dos fatos </w:t>
      </w:r>
      <w:r w:rsidR="003A18C5">
        <w:rPr>
          <w:lang w:val="pt-BR"/>
        </w:rPr>
        <w:t>a</w:t>
      </w:r>
      <w:r w:rsidRPr="003A18C5">
        <w:rPr>
          <w:lang w:val="pt-BR"/>
        </w:rPr>
        <w:t xml:space="preserve"> </w:t>
      </w:r>
      <w:r w:rsidR="00065559">
        <w:rPr>
          <w:lang w:val="pt-BR"/>
        </w:rPr>
        <w:t>conhecer</w:t>
      </w:r>
      <w:r w:rsidR="00065559" w:rsidRPr="003A18C5">
        <w:rPr>
          <w:lang w:val="pt-BR"/>
        </w:rPr>
        <w:t xml:space="preserve"> </w:t>
      </w:r>
      <w:r w:rsidRPr="003A18C5">
        <w:rPr>
          <w:lang w:val="pt-BR"/>
        </w:rPr>
        <w:t xml:space="preserve">nossas divulgações </w:t>
      </w:r>
      <w:r w:rsidR="003A18C5">
        <w:rPr>
          <w:lang w:val="pt-BR"/>
        </w:rPr>
        <w:t>públicas on</w:t>
      </w:r>
      <w:r w:rsidRPr="003A18C5">
        <w:rPr>
          <w:lang w:val="pt-BR"/>
        </w:rPr>
        <w:t xml:space="preserve">line </w:t>
      </w:r>
      <w:r w:rsidR="003A18C5">
        <w:rPr>
          <w:lang w:val="pt-BR"/>
        </w:rPr>
        <w:t>quanto a este ponto</w:t>
      </w:r>
      <w:r w:rsidRPr="003A18C5">
        <w:rPr>
          <w:lang w:val="pt-BR"/>
        </w:rPr>
        <w:t xml:space="preserve">. </w:t>
      </w:r>
      <w:r w:rsidR="00D30EF8">
        <w:rPr>
          <w:lang w:val="pt-BR"/>
        </w:rPr>
        <w:t>A seguir, resumimos os principais fatos:</w:t>
      </w:r>
    </w:p>
    <w:p w14:paraId="5FE65A63" w14:textId="77777777" w:rsidR="00D01DEC" w:rsidRPr="003A18C5" w:rsidRDefault="00D01DEC" w:rsidP="008261BB">
      <w:pPr>
        <w:pStyle w:val="BodyText"/>
        <w:tabs>
          <w:tab w:val="left" w:pos="10206"/>
        </w:tabs>
        <w:spacing w:before="2"/>
        <w:ind w:right="807"/>
        <w:jc w:val="both"/>
        <w:rPr>
          <w:lang w:val="pt-BR"/>
        </w:rPr>
      </w:pPr>
    </w:p>
    <w:p w14:paraId="2326804D" w14:textId="77777777" w:rsidR="00504445" w:rsidRPr="0030605C" w:rsidRDefault="00504445" w:rsidP="008261BB">
      <w:pPr>
        <w:pStyle w:val="Heading1"/>
        <w:tabs>
          <w:tab w:val="left" w:pos="10206"/>
        </w:tabs>
        <w:ind w:left="0" w:right="807"/>
        <w:jc w:val="both"/>
        <w:rPr>
          <w:lang w:val="pt-BR"/>
        </w:rPr>
      </w:pPr>
    </w:p>
    <w:p w14:paraId="1714D8E0" w14:textId="77777777" w:rsidR="00504445" w:rsidRPr="00504445" w:rsidRDefault="00504445" w:rsidP="008261BB">
      <w:pPr>
        <w:pStyle w:val="Heading1"/>
        <w:tabs>
          <w:tab w:val="left" w:pos="10206"/>
        </w:tabs>
        <w:ind w:right="807"/>
        <w:jc w:val="center"/>
        <w:rPr>
          <w:lang w:val="pt-BR"/>
        </w:rPr>
      </w:pPr>
      <w:r w:rsidRPr="00504445">
        <w:rPr>
          <w:lang w:val="pt-BR"/>
        </w:rPr>
        <w:t xml:space="preserve">Comunidades Tradicionais (Quilombola) - </w:t>
      </w:r>
      <w:r>
        <w:rPr>
          <w:lang w:val="pt-BR"/>
        </w:rPr>
        <w:t>engajamento</w:t>
      </w:r>
      <w:r w:rsidRPr="00504445">
        <w:rPr>
          <w:lang w:val="pt-BR"/>
        </w:rPr>
        <w:t xml:space="preserve"> respeitoso e construtivo</w:t>
      </w:r>
    </w:p>
    <w:p w14:paraId="15D0C71E" w14:textId="77777777" w:rsidR="00504445" w:rsidRDefault="00504445" w:rsidP="008261BB">
      <w:pPr>
        <w:tabs>
          <w:tab w:val="left" w:pos="1666"/>
          <w:tab w:val="left" w:pos="1667"/>
          <w:tab w:val="left" w:pos="10206"/>
        </w:tabs>
        <w:spacing w:before="1"/>
        <w:ind w:right="807"/>
        <w:jc w:val="both"/>
        <w:rPr>
          <w:b/>
          <w:sz w:val="21"/>
          <w:szCs w:val="20"/>
          <w:lang w:val="pt-BR"/>
        </w:rPr>
      </w:pPr>
    </w:p>
    <w:p w14:paraId="05739727" w14:textId="77777777" w:rsidR="005472B8" w:rsidRPr="0030605C" w:rsidRDefault="005472B8" w:rsidP="008261BB">
      <w:pPr>
        <w:tabs>
          <w:tab w:val="left" w:pos="1666"/>
          <w:tab w:val="left" w:pos="1667"/>
          <w:tab w:val="left" w:pos="10206"/>
        </w:tabs>
        <w:spacing w:before="1"/>
        <w:ind w:right="807"/>
        <w:jc w:val="both"/>
        <w:rPr>
          <w:sz w:val="20"/>
          <w:lang w:val="pt-BR"/>
        </w:rPr>
      </w:pPr>
    </w:p>
    <w:p w14:paraId="3E7A710F" w14:textId="77777777" w:rsidR="00504445" w:rsidRPr="00504445" w:rsidRDefault="00504445" w:rsidP="008261BB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spacing w:before="1"/>
        <w:ind w:right="807"/>
        <w:jc w:val="both"/>
        <w:rPr>
          <w:sz w:val="20"/>
          <w:lang w:val="pt-BR"/>
        </w:rPr>
      </w:pPr>
      <w:r w:rsidRPr="00504445">
        <w:rPr>
          <w:sz w:val="20"/>
          <w:lang w:val="pt-BR"/>
        </w:rPr>
        <w:t xml:space="preserve">Contrariamente às opiniões expressas nos relatórios </w:t>
      </w:r>
      <w:r w:rsidR="00624169">
        <w:rPr>
          <w:sz w:val="20"/>
          <w:lang w:val="pt-BR"/>
        </w:rPr>
        <w:t xml:space="preserve">da </w:t>
      </w:r>
      <w:r w:rsidRPr="00504445">
        <w:rPr>
          <w:sz w:val="20"/>
          <w:lang w:val="pt-BR"/>
        </w:rPr>
        <w:t>AG-JG, de acordo com a legislação brasileira, as comunidades de quilombolas não detêm direitos de propriedade</w:t>
      </w:r>
      <w:r w:rsidR="00624169">
        <w:rPr>
          <w:sz w:val="20"/>
          <w:lang w:val="pt-BR"/>
        </w:rPr>
        <w:t xml:space="preserve"> </w:t>
      </w:r>
      <w:r w:rsidRPr="00504445">
        <w:rPr>
          <w:sz w:val="20"/>
          <w:lang w:val="pt-BR"/>
        </w:rPr>
        <w:t xml:space="preserve">sobre suas terras tradicionais, a menos e até que um processo administrativo e legal seja concluído para (a) reconhecer as terras tradicionais e (b) </w:t>
      </w:r>
      <w:r w:rsidR="00381CDD">
        <w:rPr>
          <w:sz w:val="20"/>
          <w:lang w:val="pt-BR"/>
        </w:rPr>
        <w:t>transmitir</w:t>
      </w:r>
      <w:r w:rsidRPr="00504445">
        <w:rPr>
          <w:sz w:val="20"/>
          <w:lang w:val="pt-BR"/>
        </w:rPr>
        <w:t xml:space="preserve"> título comunitário permanente para a comunidade, com justa compensação </w:t>
      </w:r>
      <w:r w:rsidR="00381CDD">
        <w:rPr>
          <w:sz w:val="20"/>
          <w:lang w:val="pt-BR"/>
        </w:rPr>
        <w:t xml:space="preserve">àqueles </w:t>
      </w:r>
      <w:r w:rsidRPr="00504445">
        <w:rPr>
          <w:sz w:val="20"/>
          <w:lang w:val="pt-BR"/>
        </w:rPr>
        <w:t>proprietários da terra</w:t>
      </w:r>
      <w:r w:rsidR="00381CDD">
        <w:rPr>
          <w:sz w:val="20"/>
          <w:lang w:val="pt-BR"/>
        </w:rPr>
        <w:t xml:space="preserve"> até essa decisão</w:t>
      </w:r>
      <w:r w:rsidRPr="00504445">
        <w:rPr>
          <w:sz w:val="20"/>
          <w:lang w:val="pt-BR"/>
        </w:rPr>
        <w:t>.</w:t>
      </w:r>
    </w:p>
    <w:p w14:paraId="7A5027A2" w14:textId="77777777" w:rsidR="00D01DEC" w:rsidRPr="00504445" w:rsidRDefault="00D01DEC" w:rsidP="008261BB">
      <w:pPr>
        <w:pStyle w:val="BodyText"/>
        <w:tabs>
          <w:tab w:val="left" w:pos="10206"/>
        </w:tabs>
        <w:spacing w:before="1"/>
        <w:ind w:right="807"/>
        <w:jc w:val="both"/>
        <w:rPr>
          <w:sz w:val="21"/>
          <w:lang w:val="pt-BR"/>
        </w:rPr>
      </w:pPr>
    </w:p>
    <w:p w14:paraId="700D7439" w14:textId="77777777" w:rsidR="00504445" w:rsidRPr="0030605C" w:rsidRDefault="00504445" w:rsidP="00CE3B7E">
      <w:pPr>
        <w:tabs>
          <w:tab w:val="left" w:pos="10206"/>
        </w:tabs>
        <w:jc w:val="both"/>
        <w:rPr>
          <w:sz w:val="20"/>
          <w:lang w:val="pt-BR"/>
        </w:rPr>
      </w:pPr>
    </w:p>
    <w:p w14:paraId="4F30B102" w14:textId="47EB93BE" w:rsidR="00504445" w:rsidRPr="00504445" w:rsidRDefault="00504445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880"/>
        <w:jc w:val="both"/>
        <w:rPr>
          <w:sz w:val="20"/>
          <w:lang w:val="pt-BR"/>
        </w:rPr>
      </w:pPr>
      <w:r w:rsidRPr="00504445">
        <w:rPr>
          <w:sz w:val="20"/>
          <w:lang w:val="pt-BR"/>
        </w:rPr>
        <w:t xml:space="preserve">No caso de nossas operações </w:t>
      </w:r>
      <w:r w:rsidR="00381CDD">
        <w:rPr>
          <w:sz w:val="20"/>
          <w:lang w:val="pt-BR"/>
        </w:rPr>
        <w:t>em</w:t>
      </w:r>
      <w:r w:rsidRPr="00504445">
        <w:rPr>
          <w:sz w:val="20"/>
          <w:lang w:val="pt-BR"/>
        </w:rPr>
        <w:t xml:space="preserve"> Paracatu, nem o processo administrativo nem o processo legal </w:t>
      </w:r>
      <w:r w:rsidR="00381CDD">
        <w:rPr>
          <w:sz w:val="20"/>
          <w:lang w:val="pt-BR"/>
        </w:rPr>
        <w:t>foram</w:t>
      </w:r>
      <w:r w:rsidRPr="00504445">
        <w:rPr>
          <w:sz w:val="20"/>
          <w:lang w:val="pt-BR"/>
        </w:rPr>
        <w:t xml:space="preserve"> concluído</w:t>
      </w:r>
      <w:r w:rsidR="00381CDD">
        <w:rPr>
          <w:sz w:val="20"/>
          <w:lang w:val="pt-BR"/>
        </w:rPr>
        <w:t>s</w:t>
      </w:r>
      <w:r w:rsidR="00996B39">
        <w:rPr>
          <w:sz w:val="20"/>
          <w:lang w:val="pt-BR"/>
        </w:rPr>
        <w:t>. Além disto,</w:t>
      </w:r>
      <w:r w:rsidRPr="00504445">
        <w:rPr>
          <w:sz w:val="20"/>
          <w:lang w:val="pt-BR"/>
        </w:rPr>
        <w:t xml:space="preserve"> nenhum direito de propriedade legal de terras tradicionais foi </w:t>
      </w:r>
      <w:r w:rsidR="00381CDD">
        <w:rPr>
          <w:sz w:val="20"/>
          <w:lang w:val="pt-BR"/>
        </w:rPr>
        <w:t>constituído</w:t>
      </w:r>
      <w:r w:rsidRPr="00504445">
        <w:rPr>
          <w:sz w:val="20"/>
          <w:lang w:val="pt-BR"/>
        </w:rPr>
        <w:t xml:space="preserve"> ou reconhecido.</w:t>
      </w:r>
    </w:p>
    <w:p w14:paraId="1A036EC6" w14:textId="77777777" w:rsidR="00381CDD" w:rsidRPr="0030605C" w:rsidRDefault="00381CDD" w:rsidP="00CE3B7E">
      <w:pPr>
        <w:tabs>
          <w:tab w:val="left" w:pos="10206"/>
        </w:tabs>
        <w:jc w:val="both"/>
        <w:rPr>
          <w:sz w:val="20"/>
          <w:lang w:val="pt-BR"/>
        </w:rPr>
      </w:pPr>
    </w:p>
    <w:p w14:paraId="10BD5BA1" w14:textId="338FAFF9" w:rsidR="00381CDD" w:rsidRDefault="00065559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816"/>
        <w:jc w:val="both"/>
        <w:rPr>
          <w:sz w:val="20"/>
        </w:rPr>
      </w:pPr>
      <w:r>
        <w:rPr>
          <w:sz w:val="20"/>
          <w:lang w:val="pt-BR"/>
        </w:rPr>
        <w:t xml:space="preserve">Todos </w:t>
      </w:r>
      <w:r w:rsidR="00381CDD">
        <w:rPr>
          <w:sz w:val="20"/>
          <w:lang w:val="pt-BR"/>
        </w:rPr>
        <w:t>os nosso</w:t>
      </w:r>
      <w:r w:rsidR="00381CDD" w:rsidRPr="00381CDD">
        <w:rPr>
          <w:sz w:val="20"/>
          <w:lang w:val="pt-BR"/>
        </w:rPr>
        <w:t xml:space="preserve">s </w:t>
      </w:r>
      <w:r w:rsidR="00381CDD">
        <w:rPr>
          <w:sz w:val="20"/>
          <w:lang w:val="pt-BR"/>
        </w:rPr>
        <w:t>procedimentos em relação ao</w:t>
      </w:r>
      <w:r w:rsidR="00381CDD" w:rsidRPr="00381CDD">
        <w:rPr>
          <w:sz w:val="20"/>
          <w:lang w:val="pt-BR"/>
        </w:rPr>
        <w:t xml:space="preserve"> processo de terra quilombola </w:t>
      </w:r>
      <w:r w:rsidR="00381CDD">
        <w:rPr>
          <w:sz w:val="20"/>
          <w:lang w:val="pt-BR"/>
        </w:rPr>
        <w:t>tem seguido</w:t>
      </w:r>
      <w:r w:rsidR="00381CDD" w:rsidRPr="00381CDD">
        <w:rPr>
          <w:sz w:val="20"/>
          <w:lang w:val="pt-BR"/>
        </w:rPr>
        <w:t xml:space="preserve"> a lei brasileira. Os tribunais no Brasil </w:t>
      </w:r>
      <w:r w:rsidR="00381CDD">
        <w:rPr>
          <w:sz w:val="20"/>
          <w:lang w:val="pt-BR"/>
        </w:rPr>
        <w:t>vêm repetidamente decidindo que a compra de terras pela</w:t>
      </w:r>
      <w:r w:rsidR="00381CDD" w:rsidRPr="00381CDD">
        <w:rPr>
          <w:sz w:val="20"/>
          <w:lang w:val="pt-BR"/>
        </w:rPr>
        <w:t xml:space="preserve"> Kinross e o uso contínuo dessas terras como instalações de mineração são legais e </w:t>
      </w:r>
      <w:r w:rsidR="00B95831">
        <w:rPr>
          <w:sz w:val="20"/>
          <w:lang w:val="pt-BR"/>
        </w:rPr>
        <w:t>estão de acordo</w:t>
      </w:r>
      <w:r w:rsidR="00381CDD" w:rsidRPr="00381CDD">
        <w:rPr>
          <w:sz w:val="20"/>
          <w:lang w:val="pt-BR"/>
        </w:rPr>
        <w:t xml:space="preserve"> com a Constituição e as leis do Brasil. Essas decisões analisaram a evidência e concluíram que as reivindicações de terras quilombolas na área da operação da mina não têm base legal. Em outras palavras, as terras não atendem à definição legal de quilombolo. </w:t>
      </w:r>
      <w:r w:rsidR="00381CDD" w:rsidRPr="00381CDD">
        <w:rPr>
          <w:sz w:val="20"/>
        </w:rPr>
        <w:t>Os fatos que apoiam as decisões judiciais incluem:</w:t>
      </w:r>
    </w:p>
    <w:p w14:paraId="4B70DDB8" w14:textId="77777777" w:rsidR="00381CDD" w:rsidRPr="005472B8" w:rsidRDefault="00381CDD" w:rsidP="00CE3B7E">
      <w:pPr>
        <w:tabs>
          <w:tab w:val="left" w:pos="10206"/>
        </w:tabs>
        <w:jc w:val="both"/>
        <w:rPr>
          <w:sz w:val="20"/>
        </w:rPr>
      </w:pPr>
    </w:p>
    <w:p w14:paraId="43F6B875" w14:textId="7AFE2A26" w:rsidR="00381CDD" w:rsidRPr="00381CDD" w:rsidRDefault="00381CDD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804"/>
        <w:jc w:val="both"/>
        <w:rPr>
          <w:sz w:val="20"/>
          <w:lang w:val="pt-BR"/>
        </w:rPr>
      </w:pPr>
      <w:r w:rsidRPr="00381CDD">
        <w:rPr>
          <w:sz w:val="20"/>
          <w:lang w:val="pt-BR"/>
        </w:rPr>
        <w:t xml:space="preserve">As propriedades em questão não foram usadas como território </w:t>
      </w:r>
      <w:r w:rsidR="009D04CB">
        <w:rPr>
          <w:sz w:val="20"/>
          <w:lang w:val="pt-BR"/>
        </w:rPr>
        <w:t>comum</w:t>
      </w:r>
      <w:r w:rsidR="009D04CB" w:rsidRPr="00381CDD">
        <w:rPr>
          <w:sz w:val="20"/>
          <w:lang w:val="pt-BR"/>
        </w:rPr>
        <w:t xml:space="preserve"> </w:t>
      </w:r>
      <w:r w:rsidRPr="00381CDD">
        <w:rPr>
          <w:sz w:val="20"/>
          <w:lang w:val="pt-BR"/>
        </w:rPr>
        <w:t xml:space="preserve">"tradicional" por muito tempo (se </w:t>
      </w:r>
      <w:r w:rsidR="00BD2A74">
        <w:rPr>
          <w:sz w:val="20"/>
          <w:lang w:val="pt-BR"/>
        </w:rPr>
        <w:t xml:space="preserve">é que foram </w:t>
      </w:r>
      <w:r w:rsidRPr="00381CDD">
        <w:rPr>
          <w:sz w:val="20"/>
          <w:lang w:val="pt-BR"/>
        </w:rPr>
        <w:t xml:space="preserve">alguma vez); </w:t>
      </w:r>
      <w:r w:rsidR="00996B39">
        <w:rPr>
          <w:sz w:val="20"/>
          <w:lang w:val="pt-BR"/>
        </w:rPr>
        <w:t>ao oposto</w:t>
      </w:r>
      <w:r w:rsidRPr="00381CDD">
        <w:rPr>
          <w:sz w:val="20"/>
          <w:lang w:val="pt-BR"/>
        </w:rPr>
        <w:t>, documentos históricos mostram que houve um</w:t>
      </w:r>
      <w:r w:rsidR="0007682C">
        <w:rPr>
          <w:sz w:val="20"/>
          <w:lang w:val="pt-BR"/>
        </w:rPr>
        <w:t>a</w:t>
      </w:r>
      <w:r w:rsidRPr="00381CDD">
        <w:rPr>
          <w:sz w:val="20"/>
          <w:lang w:val="pt-BR"/>
        </w:rPr>
        <w:t xml:space="preserve"> "</w:t>
      </w:r>
      <w:r w:rsidR="00630476">
        <w:rPr>
          <w:sz w:val="20"/>
          <w:lang w:val="pt-BR"/>
        </w:rPr>
        <w:t>alta rotatividade de</w:t>
      </w:r>
      <w:r w:rsidRPr="00381CDD">
        <w:rPr>
          <w:sz w:val="20"/>
          <w:lang w:val="pt-BR"/>
        </w:rPr>
        <w:t xml:space="preserve"> propriedades e proprietários, bem como que as áreas foram densamente povoadas e economicamente exploradas, características que são incompatíveis com a existência de um quilombo na área</w:t>
      </w:r>
      <w:r w:rsidR="00065559">
        <w:rPr>
          <w:sz w:val="20"/>
          <w:lang w:val="pt-BR"/>
        </w:rPr>
        <w:t>. A</w:t>
      </w:r>
      <w:r w:rsidRPr="00381CDD">
        <w:rPr>
          <w:sz w:val="20"/>
          <w:lang w:val="pt-BR"/>
        </w:rPr>
        <w:t xml:space="preserve">s terras eram o objeto de </w:t>
      </w:r>
      <w:r w:rsidR="00996B39">
        <w:rPr>
          <w:sz w:val="20"/>
          <w:lang w:val="pt-BR"/>
        </w:rPr>
        <w:t>compra e venda desde o século XIX</w:t>
      </w:r>
      <w:r w:rsidRPr="00381CDD">
        <w:rPr>
          <w:sz w:val="20"/>
          <w:lang w:val="pt-BR"/>
        </w:rPr>
        <w:t xml:space="preserve"> ".</w:t>
      </w:r>
    </w:p>
    <w:p w14:paraId="6B0F2775" w14:textId="77777777" w:rsidR="00996B39" w:rsidRPr="0007682C" w:rsidRDefault="00996B39" w:rsidP="00CE3B7E">
      <w:pPr>
        <w:tabs>
          <w:tab w:val="left" w:pos="10206"/>
        </w:tabs>
        <w:jc w:val="both"/>
        <w:rPr>
          <w:sz w:val="20"/>
          <w:lang w:val="pt-BR"/>
        </w:rPr>
      </w:pPr>
    </w:p>
    <w:p w14:paraId="3F69B43B" w14:textId="77777777" w:rsidR="00996B39" w:rsidRPr="00996B39" w:rsidRDefault="00996B39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1383"/>
        <w:jc w:val="both"/>
        <w:rPr>
          <w:sz w:val="20"/>
          <w:lang w:val="pt-BR"/>
        </w:rPr>
      </w:pPr>
      <w:r w:rsidRPr="00996B39">
        <w:rPr>
          <w:sz w:val="20"/>
          <w:lang w:val="pt-BR"/>
        </w:rPr>
        <w:t>Nenhum dos proprietários de terras</w:t>
      </w:r>
      <w:r w:rsidR="00B95831">
        <w:rPr>
          <w:sz w:val="20"/>
          <w:lang w:val="pt-BR"/>
        </w:rPr>
        <w:t>,</w:t>
      </w:r>
      <w:r w:rsidRPr="00996B39">
        <w:rPr>
          <w:sz w:val="20"/>
          <w:lang w:val="pt-BR"/>
        </w:rPr>
        <w:t xml:space="preserve"> </w:t>
      </w:r>
      <w:r w:rsidR="00B95831">
        <w:rPr>
          <w:sz w:val="20"/>
          <w:lang w:val="pt-BR"/>
        </w:rPr>
        <w:t>dos quais</w:t>
      </w:r>
      <w:r w:rsidR="00A24B2A">
        <w:rPr>
          <w:sz w:val="20"/>
          <w:lang w:val="pt-BR"/>
        </w:rPr>
        <w:t xml:space="preserve"> a</w:t>
      </w:r>
      <w:r w:rsidRPr="00996B39">
        <w:rPr>
          <w:sz w:val="20"/>
          <w:lang w:val="pt-BR"/>
        </w:rPr>
        <w:t xml:space="preserve"> Kinross comprou terrenos para expansão das instalações da mina</w:t>
      </w:r>
      <w:r w:rsidR="00B95831">
        <w:rPr>
          <w:sz w:val="20"/>
          <w:lang w:val="pt-BR"/>
        </w:rPr>
        <w:t>,</w:t>
      </w:r>
      <w:r w:rsidRPr="00996B39">
        <w:rPr>
          <w:sz w:val="20"/>
          <w:lang w:val="pt-BR"/>
        </w:rPr>
        <w:t xml:space="preserve"> </w:t>
      </w:r>
      <w:r w:rsidR="00A24B2A">
        <w:rPr>
          <w:sz w:val="20"/>
          <w:lang w:val="pt-BR"/>
        </w:rPr>
        <w:t>eram</w:t>
      </w:r>
      <w:r w:rsidRPr="00996B39">
        <w:rPr>
          <w:sz w:val="20"/>
          <w:lang w:val="pt-BR"/>
        </w:rPr>
        <w:t xml:space="preserve"> </w:t>
      </w:r>
      <w:r w:rsidR="00A24B2A">
        <w:rPr>
          <w:sz w:val="20"/>
          <w:lang w:val="pt-BR"/>
        </w:rPr>
        <w:t>parte</w:t>
      </w:r>
      <w:r w:rsidRPr="00996B39">
        <w:rPr>
          <w:sz w:val="20"/>
          <w:lang w:val="pt-BR"/>
        </w:rPr>
        <w:t xml:space="preserve"> no processo de reconhecimento de quilombolas.</w:t>
      </w:r>
    </w:p>
    <w:p w14:paraId="553417AB" w14:textId="77777777" w:rsidR="00996B39" w:rsidRPr="0030605C" w:rsidRDefault="00996B39" w:rsidP="00CE3B7E">
      <w:pPr>
        <w:tabs>
          <w:tab w:val="left" w:pos="10206"/>
        </w:tabs>
        <w:jc w:val="both"/>
        <w:rPr>
          <w:sz w:val="20"/>
          <w:lang w:val="pt-BR"/>
        </w:rPr>
      </w:pPr>
    </w:p>
    <w:p w14:paraId="4A7CEBF6" w14:textId="03A3EA6C" w:rsidR="00996B39" w:rsidRPr="00996B39" w:rsidRDefault="00FD7708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spacing w:before="1"/>
        <w:ind w:right="1441"/>
        <w:jc w:val="both"/>
        <w:rPr>
          <w:sz w:val="20"/>
          <w:lang w:val="pt-BR"/>
        </w:rPr>
      </w:pPr>
      <w:r>
        <w:rPr>
          <w:sz w:val="20"/>
          <w:lang w:val="pt-BR"/>
        </w:rPr>
        <w:t>As</w:t>
      </w:r>
      <w:r w:rsidR="00A24B2A" w:rsidRPr="00996B39">
        <w:rPr>
          <w:sz w:val="20"/>
          <w:lang w:val="pt-BR"/>
        </w:rPr>
        <w:t xml:space="preserve"> </w:t>
      </w:r>
      <w:r w:rsidR="00996B39" w:rsidRPr="00996B39">
        <w:rPr>
          <w:sz w:val="20"/>
          <w:lang w:val="pt-BR"/>
        </w:rPr>
        <w:t>associações</w:t>
      </w:r>
      <w:r>
        <w:rPr>
          <w:sz w:val="20"/>
          <w:lang w:val="pt-BR"/>
        </w:rPr>
        <w:t xml:space="preserve"> que se identificam como</w:t>
      </w:r>
      <w:r w:rsidR="00996B39" w:rsidRPr="00996B39">
        <w:rPr>
          <w:sz w:val="20"/>
          <w:lang w:val="pt-BR"/>
        </w:rPr>
        <w:t xml:space="preserve"> quilombolas </w:t>
      </w:r>
      <w:r>
        <w:rPr>
          <w:sz w:val="20"/>
          <w:lang w:val="pt-BR"/>
        </w:rPr>
        <w:t xml:space="preserve">e </w:t>
      </w:r>
      <w:r w:rsidR="00996B39" w:rsidRPr="00996B39">
        <w:rPr>
          <w:sz w:val="20"/>
          <w:lang w:val="pt-BR"/>
        </w:rPr>
        <w:t>que reivindicaram essas terras o fizeram sem</w:t>
      </w:r>
      <w:r w:rsidR="00624169">
        <w:rPr>
          <w:sz w:val="20"/>
          <w:lang w:val="pt-BR"/>
        </w:rPr>
        <w:t xml:space="preserve"> a intenção de ocupá</w:t>
      </w:r>
      <w:r w:rsidR="00A24B2A">
        <w:rPr>
          <w:sz w:val="20"/>
          <w:lang w:val="pt-BR"/>
        </w:rPr>
        <w:t xml:space="preserve">-las </w:t>
      </w:r>
      <w:r w:rsidR="00996B39" w:rsidRPr="00996B39">
        <w:rPr>
          <w:sz w:val="20"/>
          <w:lang w:val="pt-BR"/>
        </w:rPr>
        <w:t xml:space="preserve">como território </w:t>
      </w:r>
      <w:r w:rsidR="009D04CB">
        <w:rPr>
          <w:sz w:val="20"/>
          <w:lang w:val="pt-BR"/>
        </w:rPr>
        <w:t>comum</w:t>
      </w:r>
      <w:r w:rsidR="00996B39" w:rsidRPr="00996B39">
        <w:rPr>
          <w:sz w:val="20"/>
          <w:lang w:val="pt-BR"/>
        </w:rPr>
        <w:t>.</w:t>
      </w:r>
    </w:p>
    <w:p w14:paraId="35752B56" w14:textId="77777777" w:rsidR="00996B39" w:rsidRPr="00FD7708" w:rsidRDefault="00996B39" w:rsidP="00CE3B7E">
      <w:pPr>
        <w:tabs>
          <w:tab w:val="left" w:pos="10206"/>
        </w:tabs>
        <w:jc w:val="both"/>
        <w:rPr>
          <w:sz w:val="20"/>
          <w:lang w:val="pt-BR"/>
        </w:rPr>
      </w:pPr>
    </w:p>
    <w:p w14:paraId="6B0C5C74" w14:textId="77777777" w:rsidR="00996B39" w:rsidRPr="0030605C" w:rsidRDefault="00A24B2A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1105"/>
        <w:jc w:val="both"/>
        <w:rPr>
          <w:sz w:val="20"/>
          <w:lang w:val="pt-BR"/>
        </w:rPr>
      </w:pPr>
      <w:r w:rsidRPr="00EF3299">
        <w:rPr>
          <w:sz w:val="20"/>
          <w:lang w:val="pt-BR"/>
        </w:rPr>
        <w:t>A Kinross não era a única</w:t>
      </w:r>
      <w:r w:rsidR="00996B39" w:rsidRPr="00EF3299">
        <w:rPr>
          <w:sz w:val="20"/>
          <w:lang w:val="pt-BR"/>
        </w:rPr>
        <w:t xml:space="preserve"> </w:t>
      </w:r>
      <w:r w:rsidRPr="00EF3299">
        <w:rPr>
          <w:sz w:val="20"/>
          <w:lang w:val="pt-BR"/>
        </w:rPr>
        <w:t>parte potencialmente afetada</w:t>
      </w:r>
      <w:r w:rsidR="00996B39" w:rsidRPr="00EF3299">
        <w:rPr>
          <w:sz w:val="20"/>
          <w:lang w:val="pt-BR"/>
        </w:rPr>
        <w:t xml:space="preserve"> pelo processo de reconhecimento de quilombolas - também seriam afetadas centenas de outras propriedades privadas, </w:t>
      </w:r>
      <w:r w:rsidRPr="00EF3299">
        <w:rPr>
          <w:sz w:val="20"/>
          <w:lang w:val="pt-BR"/>
        </w:rPr>
        <w:t>cuja posse é de</w:t>
      </w:r>
      <w:r w:rsidR="00996B39" w:rsidRPr="00EF3299">
        <w:rPr>
          <w:sz w:val="20"/>
          <w:lang w:val="pt-BR"/>
        </w:rPr>
        <w:t xml:space="preserve"> não quilombolas, incluindo </w:t>
      </w:r>
      <w:r w:rsidRPr="00EF3299">
        <w:rPr>
          <w:sz w:val="20"/>
          <w:lang w:val="pt-BR"/>
        </w:rPr>
        <w:t>vilas</w:t>
      </w:r>
      <w:r w:rsidR="00996B39" w:rsidRPr="00EF3299">
        <w:rPr>
          <w:sz w:val="20"/>
          <w:lang w:val="pt-BR"/>
        </w:rPr>
        <w:t xml:space="preserve"> inteiras, outros negócios e proprietários privados</w:t>
      </w:r>
      <w:r w:rsidR="00EF3299">
        <w:rPr>
          <w:sz w:val="20"/>
          <w:lang w:val="pt-BR"/>
        </w:rPr>
        <w:t>.</w:t>
      </w:r>
    </w:p>
    <w:p w14:paraId="5443C2A7" w14:textId="77777777" w:rsidR="00EF3299" w:rsidRPr="0030605C" w:rsidRDefault="00EF3299" w:rsidP="00EF3299">
      <w:pPr>
        <w:pStyle w:val="ListParagraph"/>
        <w:rPr>
          <w:sz w:val="20"/>
          <w:lang w:val="pt-BR"/>
        </w:rPr>
      </w:pPr>
    </w:p>
    <w:p w14:paraId="468F6BE4" w14:textId="77777777" w:rsidR="00EF3299" w:rsidRPr="0030605C" w:rsidRDefault="00EF3299" w:rsidP="00EF3299">
      <w:pPr>
        <w:pStyle w:val="ListParagraph"/>
        <w:tabs>
          <w:tab w:val="left" w:pos="1666"/>
          <w:tab w:val="left" w:pos="1667"/>
          <w:tab w:val="left" w:pos="10206"/>
        </w:tabs>
        <w:ind w:right="1105" w:firstLine="0"/>
        <w:jc w:val="both"/>
        <w:rPr>
          <w:sz w:val="20"/>
          <w:lang w:val="pt-BR"/>
        </w:rPr>
      </w:pPr>
    </w:p>
    <w:p w14:paraId="072AE0E6" w14:textId="77777777" w:rsidR="00996B39" w:rsidRDefault="00996B39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spacing w:before="1"/>
        <w:ind w:right="1048"/>
        <w:jc w:val="both"/>
        <w:rPr>
          <w:sz w:val="20"/>
          <w:lang w:val="pt-BR"/>
        </w:rPr>
      </w:pPr>
      <w:r w:rsidRPr="00996B39">
        <w:rPr>
          <w:sz w:val="20"/>
          <w:lang w:val="pt-BR"/>
        </w:rPr>
        <w:t>Apesar das considerações legais acima descritas, a Kinross propôs soluções alternativas para apoiar as aspirações das associações de quilombolas, inclusive</w:t>
      </w:r>
      <w:r w:rsidR="00EF3299">
        <w:rPr>
          <w:sz w:val="20"/>
          <w:lang w:val="pt-BR"/>
        </w:rPr>
        <w:t>,</w:t>
      </w:r>
      <w:r w:rsidRPr="00996B39">
        <w:rPr>
          <w:sz w:val="20"/>
          <w:lang w:val="pt-BR"/>
        </w:rPr>
        <w:t xml:space="preserve"> oferecendo compensação financeira e doação de outras terras; </w:t>
      </w:r>
      <w:r w:rsidR="00E240BE" w:rsidRPr="00996B39">
        <w:rPr>
          <w:sz w:val="20"/>
          <w:lang w:val="pt-BR"/>
        </w:rPr>
        <w:t>no entanto</w:t>
      </w:r>
      <w:r w:rsidRPr="00996B39">
        <w:rPr>
          <w:sz w:val="20"/>
          <w:lang w:val="pt-BR"/>
        </w:rPr>
        <w:t xml:space="preserve">, essas propostas não foram apoiadas pelas agências governamentais </w:t>
      </w:r>
      <w:r w:rsidR="00B85907">
        <w:rPr>
          <w:sz w:val="20"/>
          <w:lang w:val="pt-BR"/>
        </w:rPr>
        <w:t>envolvidas</w:t>
      </w:r>
      <w:r w:rsidRPr="00996B39">
        <w:rPr>
          <w:sz w:val="20"/>
          <w:lang w:val="pt-BR"/>
        </w:rPr>
        <w:t xml:space="preserve">. A Kinross está pronta para </w:t>
      </w:r>
      <w:r w:rsidR="00B85907">
        <w:rPr>
          <w:sz w:val="20"/>
          <w:lang w:val="pt-BR"/>
        </w:rPr>
        <w:t>manter</w:t>
      </w:r>
      <w:r w:rsidRPr="00996B39">
        <w:rPr>
          <w:sz w:val="20"/>
          <w:lang w:val="pt-BR"/>
        </w:rPr>
        <w:t xml:space="preserve"> sua oferta de longa data de uma doação de terras, nos termos de referência acordados pelas partes em 2011.</w:t>
      </w:r>
    </w:p>
    <w:p w14:paraId="13028D95" w14:textId="77777777" w:rsidR="005472B8" w:rsidRPr="005472B8" w:rsidRDefault="005472B8" w:rsidP="00CE3B7E">
      <w:pPr>
        <w:pStyle w:val="ListParagraph"/>
        <w:tabs>
          <w:tab w:val="left" w:pos="10206"/>
        </w:tabs>
        <w:jc w:val="both"/>
        <w:rPr>
          <w:sz w:val="20"/>
          <w:lang w:val="pt-BR"/>
        </w:rPr>
      </w:pPr>
    </w:p>
    <w:p w14:paraId="63FE3F2E" w14:textId="77777777" w:rsidR="00996B39" w:rsidRPr="005472B8" w:rsidRDefault="005472B8" w:rsidP="00CE3B7E">
      <w:pPr>
        <w:pStyle w:val="BodyText"/>
        <w:numPr>
          <w:ilvl w:val="0"/>
          <w:numId w:val="1"/>
        </w:numPr>
        <w:tabs>
          <w:tab w:val="left" w:pos="10206"/>
        </w:tabs>
        <w:spacing w:before="94"/>
        <w:ind w:right="844"/>
        <w:jc w:val="both"/>
        <w:rPr>
          <w:lang w:val="pt-BR"/>
        </w:rPr>
      </w:pPr>
      <w:r w:rsidRPr="00996B39">
        <w:rPr>
          <w:lang w:val="pt-BR"/>
        </w:rPr>
        <w:t>Em particular, o</w:t>
      </w:r>
      <w:r w:rsidR="00EF3299">
        <w:rPr>
          <w:lang w:val="pt-BR"/>
        </w:rPr>
        <w:t>s relatórios da AG-JG deram falsa interpretação à</w:t>
      </w:r>
      <w:r w:rsidRPr="00996B39">
        <w:rPr>
          <w:lang w:val="pt-BR"/>
        </w:rPr>
        <w:t xml:space="preserve"> situação </w:t>
      </w:r>
      <w:r>
        <w:rPr>
          <w:lang w:val="pt-BR"/>
        </w:rPr>
        <w:t>em relação à</w:t>
      </w:r>
      <w:r w:rsidRPr="00996B39">
        <w:rPr>
          <w:lang w:val="pt-BR"/>
        </w:rPr>
        <w:t xml:space="preserve"> comunidade </w:t>
      </w:r>
      <w:r>
        <w:rPr>
          <w:lang w:val="pt-BR"/>
        </w:rPr>
        <w:t xml:space="preserve">de </w:t>
      </w:r>
      <w:r w:rsidRPr="00996B39">
        <w:rPr>
          <w:lang w:val="pt-BR"/>
        </w:rPr>
        <w:t>Amaros.</w:t>
      </w:r>
      <w:r>
        <w:rPr>
          <w:lang w:val="pt-BR"/>
        </w:rPr>
        <w:t xml:space="preserve"> Há uma família que participa do processo de</w:t>
      </w:r>
      <w:r w:rsidRPr="00996B39">
        <w:rPr>
          <w:lang w:val="pt-BR"/>
        </w:rPr>
        <w:t xml:space="preserve"> reivindicação de ter</w:t>
      </w:r>
      <w:r>
        <w:rPr>
          <w:lang w:val="pt-BR"/>
        </w:rPr>
        <w:t>ra, que detém o título de um terreno perto das instalações da mina da</w:t>
      </w:r>
      <w:r w:rsidRPr="00996B39">
        <w:rPr>
          <w:lang w:val="pt-BR"/>
        </w:rPr>
        <w:t xml:space="preserve"> Kinross. </w:t>
      </w:r>
      <w:r>
        <w:rPr>
          <w:lang w:val="pt-BR"/>
        </w:rPr>
        <w:t xml:space="preserve">A </w:t>
      </w:r>
      <w:r w:rsidRPr="00996B39">
        <w:rPr>
          <w:lang w:val="pt-BR"/>
        </w:rPr>
        <w:t xml:space="preserve">Kinross comprou outro </w:t>
      </w:r>
      <w:r>
        <w:rPr>
          <w:lang w:val="pt-BR"/>
        </w:rPr>
        <w:t>terreno</w:t>
      </w:r>
      <w:r w:rsidRPr="00996B39">
        <w:rPr>
          <w:lang w:val="pt-BR"/>
        </w:rPr>
        <w:t xml:space="preserve"> para a família que é de maior valor e forneceu apoio financeiro para eles</w:t>
      </w:r>
      <w:r>
        <w:rPr>
          <w:lang w:val="pt-BR"/>
        </w:rPr>
        <w:t xml:space="preserve"> </w:t>
      </w:r>
      <w:r w:rsidRPr="00996B39">
        <w:rPr>
          <w:lang w:val="pt-BR"/>
        </w:rPr>
        <w:t>para se mudar</w:t>
      </w:r>
      <w:r>
        <w:rPr>
          <w:lang w:val="pt-BR"/>
        </w:rPr>
        <w:t>em</w:t>
      </w:r>
      <w:r w:rsidRPr="00996B39">
        <w:rPr>
          <w:lang w:val="pt-BR"/>
        </w:rPr>
        <w:t xml:space="preserve"> para a sua nova terra. A família ainda mantém o título </w:t>
      </w:r>
      <w:r>
        <w:rPr>
          <w:lang w:val="pt-BR"/>
        </w:rPr>
        <w:t>pleno</w:t>
      </w:r>
      <w:r w:rsidRPr="00996B39">
        <w:rPr>
          <w:lang w:val="pt-BR"/>
        </w:rPr>
        <w:t xml:space="preserve">, o acesso e o uso do </w:t>
      </w:r>
      <w:r>
        <w:rPr>
          <w:lang w:val="pt-BR"/>
        </w:rPr>
        <w:t>terreno</w:t>
      </w:r>
      <w:r w:rsidRPr="00996B39">
        <w:rPr>
          <w:lang w:val="pt-BR"/>
        </w:rPr>
        <w:t xml:space="preserve"> original, e um membro da família </w:t>
      </w:r>
      <w:r>
        <w:rPr>
          <w:lang w:val="pt-BR"/>
        </w:rPr>
        <w:t>mudou-se de volta</w:t>
      </w:r>
      <w:r w:rsidRPr="00996B39">
        <w:rPr>
          <w:lang w:val="pt-BR"/>
        </w:rPr>
        <w:t xml:space="preserve"> para esse </w:t>
      </w:r>
      <w:r>
        <w:rPr>
          <w:lang w:val="pt-BR"/>
        </w:rPr>
        <w:t>terreno</w:t>
      </w:r>
      <w:r w:rsidRPr="00996B39">
        <w:rPr>
          <w:lang w:val="pt-BR"/>
        </w:rPr>
        <w:t xml:space="preserve"> original. </w:t>
      </w:r>
      <w:r>
        <w:rPr>
          <w:lang w:val="pt-BR"/>
        </w:rPr>
        <w:t xml:space="preserve">A </w:t>
      </w:r>
      <w:r w:rsidRPr="00996B39">
        <w:rPr>
          <w:lang w:val="pt-BR"/>
        </w:rPr>
        <w:t xml:space="preserve">Kinross também propôs doar terras adicionais para a associação comunitária, mas as agências governamentais </w:t>
      </w:r>
      <w:r>
        <w:rPr>
          <w:lang w:val="pt-BR"/>
        </w:rPr>
        <w:t>envolvidas</w:t>
      </w:r>
      <w:r w:rsidRPr="00996B39">
        <w:rPr>
          <w:lang w:val="pt-BR"/>
        </w:rPr>
        <w:t xml:space="preserve"> não </w:t>
      </w:r>
      <w:r>
        <w:rPr>
          <w:lang w:val="pt-BR"/>
        </w:rPr>
        <w:t>têm participado</w:t>
      </w:r>
      <w:r w:rsidRPr="00996B39">
        <w:rPr>
          <w:lang w:val="pt-BR"/>
        </w:rPr>
        <w:t xml:space="preserve"> de discussões sobre a </w:t>
      </w:r>
      <w:r>
        <w:rPr>
          <w:lang w:val="pt-BR"/>
        </w:rPr>
        <w:t>eventual doação desde 2015</w:t>
      </w:r>
    </w:p>
    <w:p w14:paraId="2BCAAE70" w14:textId="77777777" w:rsidR="00996B39" w:rsidRPr="0030605C" w:rsidRDefault="00996B39" w:rsidP="00CE3B7E">
      <w:pPr>
        <w:tabs>
          <w:tab w:val="left" w:pos="1666"/>
          <w:tab w:val="left" w:pos="1667"/>
          <w:tab w:val="left" w:pos="10206"/>
        </w:tabs>
        <w:ind w:right="906"/>
        <w:jc w:val="both"/>
        <w:rPr>
          <w:sz w:val="20"/>
          <w:lang w:val="pt-BR"/>
        </w:rPr>
      </w:pPr>
    </w:p>
    <w:p w14:paraId="1992D9A7" w14:textId="4264D307" w:rsidR="00996B39" w:rsidRPr="00996B39" w:rsidRDefault="005472B8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906"/>
        <w:jc w:val="both"/>
        <w:rPr>
          <w:sz w:val="20"/>
          <w:lang w:val="pt-BR"/>
        </w:rPr>
      </w:pPr>
      <w:r>
        <w:rPr>
          <w:sz w:val="20"/>
          <w:lang w:val="pt-BR"/>
        </w:rPr>
        <w:t>A</w:t>
      </w:r>
      <w:r w:rsidR="00996B39" w:rsidRPr="00996B39">
        <w:rPr>
          <w:sz w:val="20"/>
          <w:lang w:val="pt-BR"/>
        </w:rPr>
        <w:t xml:space="preserve"> Kinross mantém relações </w:t>
      </w:r>
      <w:r w:rsidR="001D5B3E">
        <w:rPr>
          <w:sz w:val="20"/>
          <w:lang w:val="pt-BR"/>
        </w:rPr>
        <w:t>de respeito e diálogo</w:t>
      </w:r>
      <w:r w:rsidR="00996B39" w:rsidRPr="00996B39">
        <w:rPr>
          <w:sz w:val="20"/>
          <w:lang w:val="pt-BR"/>
        </w:rPr>
        <w:t xml:space="preserve"> com a comunidade quilombola. Temos uma relação particularmente estreita com a </w:t>
      </w:r>
      <w:r w:rsidR="00EF3299">
        <w:rPr>
          <w:sz w:val="20"/>
          <w:lang w:val="pt-BR"/>
        </w:rPr>
        <w:t xml:space="preserve">comunidade </w:t>
      </w:r>
      <w:r w:rsidR="00996B39" w:rsidRPr="00996B39">
        <w:rPr>
          <w:sz w:val="20"/>
          <w:lang w:val="pt-BR"/>
        </w:rPr>
        <w:t>São Domingos. Juntos, desenvolvemos inúmeros projetos comunitários:</w:t>
      </w:r>
    </w:p>
    <w:p w14:paraId="31B4A2C7" w14:textId="77777777" w:rsidR="00D01DEC" w:rsidRPr="00996B39" w:rsidRDefault="00D01DEC" w:rsidP="00CE3B7E">
      <w:pPr>
        <w:pStyle w:val="BodyText"/>
        <w:tabs>
          <w:tab w:val="left" w:pos="10206"/>
        </w:tabs>
        <w:spacing w:before="1"/>
        <w:jc w:val="both"/>
        <w:rPr>
          <w:sz w:val="21"/>
          <w:lang w:val="pt-BR"/>
        </w:rPr>
      </w:pPr>
    </w:p>
    <w:p w14:paraId="79D56E3A" w14:textId="77777777" w:rsidR="00A71504" w:rsidRDefault="00A71504" w:rsidP="00CE3B7E">
      <w:pPr>
        <w:pStyle w:val="ListParagraph"/>
        <w:tabs>
          <w:tab w:val="left" w:pos="2227"/>
          <w:tab w:val="left" w:pos="2228"/>
          <w:tab w:val="left" w:pos="10206"/>
        </w:tabs>
        <w:spacing w:line="223" w:lineRule="auto"/>
        <w:ind w:left="2227" w:right="1045" w:firstLine="0"/>
        <w:jc w:val="both"/>
        <w:rPr>
          <w:sz w:val="20"/>
        </w:rPr>
      </w:pPr>
    </w:p>
    <w:p w14:paraId="0BF2A148" w14:textId="77777777" w:rsidR="0084674C" w:rsidRPr="00A71504" w:rsidRDefault="00A71504" w:rsidP="00CE3B7E">
      <w:pPr>
        <w:pStyle w:val="ListParagraph"/>
        <w:numPr>
          <w:ilvl w:val="1"/>
          <w:numId w:val="1"/>
        </w:numPr>
        <w:tabs>
          <w:tab w:val="left" w:pos="2227"/>
          <w:tab w:val="left" w:pos="2228"/>
          <w:tab w:val="left" w:pos="10206"/>
        </w:tabs>
        <w:spacing w:line="223" w:lineRule="auto"/>
        <w:ind w:right="1045"/>
        <w:jc w:val="both"/>
        <w:rPr>
          <w:sz w:val="20"/>
          <w:lang w:val="pt-BR"/>
        </w:rPr>
      </w:pPr>
      <w:r>
        <w:rPr>
          <w:sz w:val="20"/>
          <w:lang w:val="pt-BR"/>
        </w:rPr>
        <w:t xml:space="preserve">A </w:t>
      </w:r>
      <w:r w:rsidRPr="00A71504">
        <w:rPr>
          <w:sz w:val="20"/>
          <w:lang w:val="pt-BR"/>
        </w:rPr>
        <w:t xml:space="preserve">Kinross </w:t>
      </w:r>
      <w:r>
        <w:rPr>
          <w:sz w:val="20"/>
          <w:lang w:val="pt-BR"/>
        </w:rPr>
        <w:t>tem apoiado</w:t>
      </w:r>
      <w:r w:rsidRPr="00A71504">
        <w:rPr>
          <w:sz w:val="20"/>
          <w:lang w:val="pt-BR"/>
        </w:rPr>
        <w:t xml:space="preserve"> consistentemente a preservação da cultura</w:t>
      </w:r>
      <w:r w:rsidR="00EF3299">
        <w:rPr>
          <w:sz w:val="20"/>
          <w:lang w:val="pt-BR"/>
        </w:rPr>
        <w:t>, por meio</w:t>
      </w:r>
      <w:r w:rsidRPr="00A71504">
        <w:rPr>
          <w:sz w:val="20"/>
          <w:lang w:val="pt-BR"/>
        </w:rPr>
        <w:t xml:space="preserve"> de programas exclusivos </w:t>
      </w:r>
      <w:r>
        <w:rPr>
          <w:sz w:val="20"/>
          <w:lang w:val="pt-BR"/>
        </w:rPr>
        <w:t>para</w:t>
      </w:r>
      <w:r w:rsidRPr="00A71504">
        <w:rPr>
          <w:sz w:val="20"/>
          <w:lang w:val="pt-BR"/>
        </w:rPr>
        <w:t xml:space="preserve"> comunidade quilombola - incluindo artes, música, dança e esportes;</w:t>
      </w:r>
    </w:p>
    <w:p w14:paraId="76220485" w14:textId="77777777" w:rsidR="00A71504" w:rsidRPr="0030605C" w:rsidRDefault="00A71504" w:rsidP="00CE3B7E">
      <w:pPr>
        <w:tabs>
          <w:tab w:val="left" w:pos="10206"/>
        </w:tabs>
        <w:jc w:val="both"/>
        <w:rPr>
          <w:sz w:val="20"/>
          <w:lang w:val="pt-BR"/>
        </w:rPr>
      </w:pPr>
    </w:p>
    <w:p w14:paraId="31B889CA" w14:textId="4A353952" w:rsidR="00A71504" w:rsidRPr="0030605C" w:rsidRDefault="00A71504" w:rsidP="0030605C">
      <w:pPr>
        <w:pStyle w:val="ListParagraph"/>
        <w:numPr>
          <w:ilvl w:val="1"/>
          <w:numId w:val="1"/>
        </w:numPr>
        <w:tabs>
          <w:tab w:val="left" w:pos="2227"/>
          <w:tab w:val="left" w:pos="2228"/>
          <w:tab w:val="left" w:pos="10206"/>
        </w:tabs>
        <w:spacing w:line="223" w:lineRule="auto"/>
        <w:ind w:right="1179"/>
        <w:jc w:val="both"/>
        <w:rPr>
          <w:sz w:val="20"/>
          <w:lang w:val="pt-BR"/>
        </w:rPr>
      </w:pPr>
      <w:r w:rsidRPr="001D5B3E">
        <w:rPr>
          <w:sz w:val="20"/>
          <w:lang w:val="pt-BR"/>
        </w:rPr>
        <w:t xml:space="preserve">A Kinross </w:t>
      </w:r>
      <w:r w:rsidR="001D5B3E" w:rsidRPr="001D5B3E">
        <w:rPr>
          <w:sz w:val="20"/>
          <w:lang w:val="pt-BR"/>
        </w:rPr>
        <w:t xml:space="preserve">apoiou a criação de uma fábrica de biscoitos no </w:t>
      </w:r>
      <w:r w:rsidRPr="001D5B3E">
        <w:rPr>
          <w:sz w:val="20"/>
          <w:lang w:val="pt-BR"/>
        </w:rPr>
        <w:t>São Domingos</w:t>
      </w:r>
      <w:r w:rsidR="001D5B3E">
        <w:rPr>
          <w:sz w:val="20"/>
          <w:lang w:val="pt-BR"/>
        </w:rPr>
        <w:t>, dentro do Programa de Geração de Trabalho e Renda, desenvolvido pela empresa;</w:t>
      </w:r>
    </w:p>
    <w:p w14:paraId="0F8ACB46" w14:textId="76E4DA80" w:rsidR="00A71504" w:rsidRPr="00A71504" w:rsidRDefault="00A71504" w:rsidP="00CE3B7E">
      <w:pPr>
        <w:pStyle w:val="ListParagraph"/>
        <w:numPr>
          <w:ilvl w:val="1"/>
          <w:numId w:val="1"/>
        </w:numPr>
        <w:tabs>
          <w:tab w:val="left" w:pos="2227"/>
          <w:tab w:val="left" w:pos="2228"/>
          <w:tab w:val="left" w:pos="10206"/>
        </w:tabs>
        <w:spacing w:line="223" w:lineRule="auto"/>
        <w:ind w:right="814"/>
        <w:jc w:val="both"/>
        <w:rPr>
          <w:sz w:val="20"/>
          <w:lang w:val="pt-BR"/>
        </w:rPr>
      </w:pPr>
      <w:r>
        <w:rPr>
          <w:sz w:val="20"/>
          <w:lang w:val="pt-BR"/>
        </w:rPr>
        <w:t>A</w:t>
      </w:r>
      <w:r w:rsidRPr="00A71504">
        <w:rPr>
          <w:sz w:val="20"/>
          <w:lang w:val="pt-BR"/>
        </w:rPr>
        <w:t xml:space="preserve"> Kinross </w:t>
      </w:r>
      <w:r w:rsidR="0080694A">
        <w:rPr>
          <w:sz w:val="20"/>
          <w:lang w:val="pt-BR"/>
        </w:rPr>
        <w:t>viabilizou a construção da sede</w:t>
      </w:r>
      <w:r w:rsidRPr="00A71504">
        <w:rPr>
          <w:sz w:val="20"/>
          <w:lang w:val="pt-BR"/>
        </w:rPr>
        <w:t xml:space="preserve"> da Associação e forneceu caixas de junção elétrica e painéis de controle para 100 casas construídas com fundos federais como parte de um projeto habitacional;</w:t>
      </w:r>
    </w:p>
    <w:p w14:paraId="5AA4FB71" w14:textId="77777777" w:rsidR="00A71504" w:rsidRPr="0030605C" w:rsidRDefault="00A71504" w:rsidP="00CE3B7E">
      <w:pPr>
        <w:tabs>
          <w:tab w:val="left" w:pos="10206"/>
        </w:tabs>
        <w:jc w:val="both"/>
        <w:rPr>
          <w:sz w:val="20"/>
          <w:lang w:val="pt-BR"/>
        </w:rPr>
      </w:pPr>
    </w:p>
    <w:p w14:paraId="064F150A" w14:textId="77777777" w:rsidR="00A71504" w:rsidRPr="00A71504" w:rsidRDefault="005472B8" w:rsidP="00CE3B7E">
      <w:pPr>
        <w:pStyle w:val="ListParagraph"/>
        <w:numPr>
          <w:ilvl w:val="1"/>
          <w:numId w:val="1"/>
        </w:numPr>
        <w:tabs>
          <w:tab w:val="left" w:pos="2227"/>
          <w:tab w:val="left" w:pos="2228"/>
          <w:tab w:val="left" w:pos="10206"/>
        </w:tabs>
        <w:spacing w:line="223" w:lineRule="auto"/>
        <w:ind w:right="1058"/>
        <w:jc w:val="both"/>
        <w:rPr>
          <w:sz w:val="20"/>
          <w:lang w:val="pt-BR"/>
        </w:rPr>
      </w:pPr>
      <w:r w:rsidRPr="005472B8">
        <w:rPr>
          <w:sz w:val="20"/>
          <w:lang w:val="pt-BR"/>
        </w:rPr>
        <w:t xml:space="preserve">A </w:t>
      </w:r>
      <w:r w:rsidR="00A71504" w:rsidRPr="00A71504">
        <w:rPr>
          <w:sz w:val="20"/>
          <w:lang w:val="pt-BR"/>
        </w:rPr>
        <w:t>Kinross mantém uma estação de monito</w:t>
      </w:r>
      <w:r w:rsidR="00EF3299">
        <w:rPr>
          <w:sz w:val="20"/>
          <w:lang w:val="pt-BR"/>
        </w:rPr>
        <w:t>ramento ambiental na comunidade</w:t>
      </w:r>
      <w:r w:rsidR="00A71504" w:rsidRPr="00A71504">
        <w:rPr>
          <w:sz w:val="20"/>
          <w:lang w:val="pt-BR"/>
        </w:rPr>
        <w:t xml:space="preserve"> </w:t>
      </w:r>
      <w:r w:rsidR="00EF3299">
        <w:rPr>
          <w:sz w:val="20"/>
          <w:lang w:val="pt-BR"/>
        </w:rPr>
        <w:t>e treinou</w:t>
      </w:r>
      <w:r w:rsidR="00A71504" w:rsidRPr="00A71504">
        <w:rPr>
          <w:sz w:val="20"/>
          <w:lang w:val="pt-BR"/>
        </w:rPr>
        <w:t xml:space="preserve"> </w:t>
      </w:r>
      <w:r w:rsidR="00A71504" w:rsidRPr="00A71504">
        <w:rPr>
          <w:sz w:val="20"/>
          <w:lang w:val="pt-BR"/>
        </w:rPr>
        <w:lastRenderedPageBreak/>
        <w:t>residentes da comunidade como monitores;</w:t>
      </w:r>
    </w:p>
    <w:p w14:paraId="22E6E532" w14:textId="77777777" w:rsidR="00D01DEC" w:rsidRPr="00A71504" w:rsidRDefault="00D01DEC" w:rsidP="00CE3B7E">
      <w:pPr>
        <w:pStyle w:val="BodyText"/>
        <w:tabs>
          <w:tab w:val="left" w:pos="10206"/>
        </w:tabs>
        <w:spacing w:before="10"/>
        <w:jc w:val="both"/>
        <w:rPr>
          <w:lang w:val="pt-BR"/>
        </w:rPr>
      </w:pPr>
    </w:p>
    <w:p w14:paraId="0EF36A5C" w14:textId="77777777" w:rsidR="00A71504" w:rsidRPr="005472B8" w:rsidRDefault="00A71504" w:rsidP="00CE3B7E">
      <w:pPr>
        <w:tabs>
          <w:tab w:val="left" w:pos="10206"/>
        </w:tabs>
        <w:jc w:val="both"/>
        <w:rPr>
          <w:sz w:val="20"/>
          <w:lang w:val="pt-BR"/>
        </w:rPr>
      </w:pPr>
    </w:p>
    <w:p w14:paraId="2B4411EE" w14:textId="77777777" w:rsidR="00A71504" w:rsidRDefault="005472B8" w:rsidP="00CE3B7E">
      <w:pPr>
        <w:pStyle w:val="ListParagraph"/>
        <w:numPr>
          <w:ilvl w:val="1"/>
          <w:numId w:val="1"/>
        </w:numPr>
        <w:tabs>
          <w:tab w:val="left" w:pos="2227"/>
          <w:tab w:val="left" w:pos="2228"/>
          <w:tab w:val="left" w:pos="10206"/>
        </w:tabs>
        <w:spacing w:line="230" w:lineRule="auto"/>
        <w:ind w:right="1235"/>
        <w:jc w:val="both"/>
        <w:rPr>
          <w:sz w:val="20"/>
          <w:lang w:val="pt-BR"/>
        </w:rPr>
      </w:pPr>
      <w:r>
        <w:rPr>
          <w:sz w:val="20"/>
          <w:lang w:val="pt-BR"/>
        </w:rPr>
        <w:t>A</w:t>
      </w:r>
      <w:r w:rsidR="00A71504" w:rsidRPr="00A71504">
        <w:rPr>
          <w:sz w:val="20"/>
          <w:lang w:val="pt-BR"/>
        </w:rPr>
        <w:t xml:space="preserve"> Kinross </w:t>
      </w:r>
      <w:r w:rsidR="00A71504">
        <w:rPr>
          <w:sz w:val="20"/>
          <w:lang w:val="pt-BR"/>
        </w:rPr>
        <w:t>tem conduzido projetos de restauração no fluxo do riacho</w:t>
      </w:r>
      <w:r w:rsidR="00A71504" w:rsidRPr="00A71504">
        <w:rPr>
          <w:sz w:val="20"/>
          <w:lang w:val="pt-BR"/>
        </w:rPr>
        <w:t xml:space="preserve"> Rapadura, que atravessa </w:t>
      </w:r>
      <w:r w:rsidR="005D0EA7">
        <w:rPr>
          <w:sz w:val="20"/>
          <w:lang w:val="pt-BR"/>
        </w:rPr>
        <w:t xml:space="preserve">a comunidade </w:t>
      </w:r>
      <w:r w:rsidR="00A71504" w:rsidRPr="00A71504">
        <w:rPr>
          <w:sz w:val="20"/>
          <w:lang w:val="pt-BR"/>
        </w:rPr>
        <w:t xml:space="preserve">São Domingos e foi fortemente impactado </w:t>
      </w:r>
      <w:r w:rsidR="00EF3299">
        <w:rPr>
          <w:sz w:val="20"/>
          <w:lang w:val="pt-BR"/>
        </w:rPr>
        <w:t xml:space="preserve">pelo garimpo. </w:t>
      </w:r>
      <w:r w:rsidR="005D0EA7">
        <w:rPr>
          <w:sz w:val="20"/>
          <w:lang w:val="pt-BR"/>
        </w:rPr>
        <w:t>Está prevista a</w:t>
      </w:r>
      <w:r w:rsidR="00A71504" w:rsidRPr="00A71504">
        <w:rPr>
          <w:sz w:val="20"/>
          <w:lang w:val="pt-BR"/>
        </w:rPr>
        <w:t xml:space="preserve"> </w:t>
      </w:r>
      <w:r w:rsidR="00A217F0">
        <w:rPr>
          <w:sz w:val="20"/>
          <w:lang w:val="pt-BR"/>
        </w:rPr>
        <w:t>restauração</w:t>
      </w:r>
      <w:r w:rsidR="00EF3299">
        <w:rPr>
          <w:sz w:val="20"/>
          <w:lang w:val="pt-BR"/>
        </w:rPr>
        <w:t xml:space="preserve"> das </w:t>
      </w:r>
      <w:r w:rsidR="00A71504" w:rsidRPr="00A71504">
        <w:rPr>
          <w:sz w:val="20"/>
          <w:lang w:val="pt-BR"/>
        </w:rPr>
        <w:t xml:space="preserve">áreas </w:t>
      </w:r>
      <w:r w:rsidR="00EF3299">
        <w:rPr>
          <w:sz w:val="20"/>
          <w:lang w:val="pt-BR"/>
        </w:rPr>
        <w:t xml:space="preserve">usadas pelo garimpo </w:t>
      </w:r>
      <w:r w:rsidR="000E50BD">
        <w:rPr>
          <w:sz w:val="20"/>
          <w:lang w:val="pt-BR"/>
        </w:rPr>
        <w:t>artesanal</w:t>
      </w:r>
      <w:r w:rsidR="00A217F0">
        <w:rPr>
          <w:sz w:val="20"/>
          <w:lang w:val="pt-BR"/>
        </w:rPr>
        <w:t>,</w:t>
      </w:r>
      <w:r w:rsidR="00A71504" w:rsidRPr="00A71504">
        <w:rPr>
          <w:sz w:val="20"/>
          <w:lang w:val="pt-BR"/>
        </w:rPr>
        <w:t xml:space="preserve"> </w:t>
      </w:r>
      <w:r w:rsidR="00A217F0">
        <w:rPr>
          <w:sz w:val="20"/>
          <w:lang w:val="pt-BR"/>
        </w:rPr>
        <w:t xml:space="preserve">no </w:t>
      </w:r>
      <w:r w:rsidR="00A71504" w:rsidRPr="00A71504">
        <w:rPr>
          <w:sz w:val="20"/>
          <w:lang w:val="pt-BR"/>
        </w:rPr>
        <w:t>montante da cachoeira de São Domingo</w:t>
      </w:r>
      <w:r w:rsidR="00EF3299">
        <w:rPr>
          <w:sz w:val="20"/>
          <w:lang w:val="pt-BR"/>
        </w:rPr>
        <w:t>,</w:t>
      </w:r>
      <w:r w:rsidR="00A71504" w:rsidRPr="00A71504">
        <w:rPr>
          <w:sz w:val="20"/>
          <w:lang w:val="pt-BR"/>
        </w:rPr>
        <w:t xml:space="preserve"> </w:t>
      </w:r>
      <w:r w:rsidR="005D0EA7">
        <w:rPr>
          <w:sz w:val="20"/>
          <w:lang w:val="pt-BR"/>
        </w:rPr>
        <w:t xml:space="preserve">área </w:t>
      </w:r>
      <w:r w:rsidR="00A71504" w:rsidRPr="00A71504">
        <w:rPr>
          <w:sz w:val="20"/>
          <w:lang w:val="pt-BR"/>
        </w:rPr>
        <w:t>mencionada no relatório da AG.</w:t>
      </w:r>
    </w:p>
    <w:p w14:paraId="6D70AE60" w14:textId="77777777" w:rsidR="009D25B7" w:rsidRDefault="009D25B7" w:rsidP="00CE3B7E">
      <w:pPr>
        <w:pStyle w:val="Heading1"/>
        <w:tabs>
          <w:tab w:val="left" w:pos="10206"/>
        </w:tabs>
        <w:ind w:left="0"/>
        <w:jc w:val="both"/>
        <w:rPr>
          <w:lang w:val="pt-BR"/>
        </w:rPr>
      </w:pPr>
    </w:p>
    <w:p w14:paraId="16DE8DB1" w14:textId="01F9888A" w:rsidR="00D01DEC" w:rsidRPr="00144563" w:rsidRDefault="009D25B7" w:rsidP="00144563">
      <w:pPr>
        <w:pStyle w:val="Heading1"/>
        <w:tabs>
          <w:tab w:val="left" w:pos="10206"/>
        </w:tabs>
        <w:jc w:val="center"/>
        <w:rPr>
          <w:lang w:val="pt-BR"/>
        </w:rPr>
      </w:pPr>
      <w:r w:rsidRPr="009D25B7">
        <w:rPr>
          <w:lang w:val="pt-BR"/>
        </w:rPr>
        <w:t>“</w:t>
      </w:r>
      <w:r w:rsidR="00936EAF" w:rsidRPr="009D25B7">
        <w:rPr>
          <w:lang w:val="pt-BR"/>
        </w:rPr>
        <w:t>Garimpo</w:t>
      </w:r>
      <w:r w:rsidRPr="009D25B7">
        <w:rPr>
          <w:lang w:val="pt-BR"/>
        </w:rPr>
        <w:t xml:space="preserve"> </w:t>
      </w:r>
      <w:r>
        <w:rPr>
          <w:lang w:val="pt-BR"/>
        </w:rPr>
        <w:t>artesanal</w:t>
      </w:r>
      <w:r w:rsidRPr="009D25B7">
        <w:rPr>
          <w:lang w:val="pt-BR"/>
        </w:rPr>
        <w:t>” – Não há “garimp</w:t>
      </w:r>
      <w:r w:rsidR="00936EAF">
        <w:rPr>
          <w:lang w:val="pt-BR"/>
        </w:rPr>
        <w:t>o</w:t>
      </w:r>
      <w:r w:rsidRPr="009D25B7">
        <w:rPr>
          <w:lang w:val="pt-BR"/>
        </w:rPr>
        <w:t xml:space="preserve"> </w:t>
      </w:r>
      <w:r>
        <w:rPr>
          <w:lang w:val="pt-BR"/>
        </w:rPr>
        <w:t>artesanal</w:t>
      </w:r>
      <w:r w:rsidRPr="009D25B7">
        <w:rPr>
          <w:lang w:val="pt-BR"/>
        </w:rPr>
        <w:t>”</w:t>
      </w:r>
      <w:r>
        <w:rPr>
          <w:lang w:val="pt-BR"/>
        </w:rPr>
        <w:t xml:space="preserve"> na mina de Morro do Ouro</w:t>
      </w:r>
    </w:p>
    <w:p w14:paraId="72EE79AB" w14:textId="77777777" w:rsidR="004405C3" w:rsidRPr="00144563" w:rsidRDefault="004405C3" w:rsidP="00CE3B7E">
      <w:pPr>
        <w:pStyle w:val="ListParagraph"/>
        <w:tabs>
          <w:tab w:val="left" w:pos="1666"/>
          <w:tab w:val="left" w:pos="1667"/>
          <w:tab w:val="left" w:pos="10206"/>
        </w:tabs>
        <w:ind w:right="806" w:firstLine="0"/>
        <w:jc w:val="both"/>
        <w:rPr>
          <w:sz w:val="20"/>
          <w:lang w:val="pt-BR"/>
        </w:rPr>
      </w:pPr>
    </w:p>
    <w:p w14:paraId="41BE8211" w14:textId="449F46ED" w:rsidR="004405C3" w:rsidRPr="004405C3" w:rsidRDefault="004405C3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806"/>
        <w:jc w:val="both"/>
        <w:rPr>
          <w:sz w:val="20"/>
          <w:lang w:val="pt-BR"/>
        </w:rPr>
      </w:pPr>
      <w:r w:rsidRPr="004405C3">
        <w:rPr>
          <w:sz w:val="20"/>
          <w:lang w:val="pt-BR"/>
        </w:rPr>
        <w:t xml:space="preserve">O AG-JG </w:t>
      </w:r>
      <w:r w:rsidR="00565F05">
        <w:rPr>
          <w:sz w:val="20"/>
          <w:lang w:val="pt-BR"/>
        </w:rPr>
        <w:t>relata</w:t>
      </w:r>
      <w:r w:rsidRPr="004405C3">
        <w:rPr>
          <w:sz w:val="20"/>
          <w:lang w:val="pt-BR"/>
        </w:rPr>
        <w:t xml:space="preserve"> a tentativa de retratar invasões do território da mina por indivíduos armados como "</w:t>
      </w:r>
      <w:r w:rsidR="00565F05">
        <w:rPr>
          <w:sz w:val="20"/>
          <w:lang w:val="pt-BR"/>
        </w:rPr>
        <w:t>garimp</w:t>
      </w:r>
      <w:r w:rsidR="00936EAF">
        <w:rPr>
          <w:sz w:val="20"/>
          <w:lang w:val="pt-BR"/>
        </w:rPr>
        <w:t xml:space="preserve">o </w:t>
      </w:r>
      <w:r w:rsidRPr="004405C3">
        <w:rPr>
          <w:sz w:val="20"/>
          <w:lang w:val="pt-BR"/>
        </w:rPr>
        <w:t>artesanal" ou "</w:t>
      </w:r>
      <w:r w:rsidR="00565F05">
        <w:rPr>
          <w:sz w:val="20"/>
          <w:lang w:val="pt-BR"/>
        </w:rPr>
        <w:t>garimp</w:t>
      </w:r>
      <w:r w:rsidR="00936EAF">
        <w:rPr>
          <w:sz w:val="20"/>
          <w:lang w:val="pt-BR"/>
        </w:rPr>
        <w:t>o</w:t>
      </w:r>
      <w:r w:rsidRPr="004405C3">
        <w:rPr>
          <w:sz w:val="20"/>
          <w:lang w:val="pt-BR"/>
        </w:rPr>
        <w:t xml:space="preserve"> clandestin</w:t>
      </w:r>
      <w:r w:rsidR="00BA7369">
        <w:rPr>
          <w:sz w:val="20"/>
          <w:lang w:val="pt-BR"/>
        </w:rPr>
        <w:t>o</w:t>
      </w:r>
      <w:r w:rsidRPr="004405C3">
        <w:rPr>
          <w:sz w:val="20"/>
          <w:lang w:val="pt-BR"/>
        </w:rPr>
        <w:t xml:space="preserve">". Na realidade, não </w:t>
      </w:r>
      <w:r w:rsidR="00565F05">
        <w:rPr>
          <w:sz w:val="20"/>
          <w:lang w:val="pt-BR"/>
        </w:rPr>
        <w:t>há</w:t>
      </w:r>
      <w:r w:rsidRPr="004405C3">
        <w:rPr>
          <w:sz w:val="20"/>
          <w:lang w:val="pt-BR"/>
        </w:rPr>
        <w:t xml:space="preserve"> </w:t>
      </w:r>
      <w:r w:rsidR="00565F05">
        <w:rPr>
          <w:sz w:val="20"/>
          <w:lang w:val="pt-BR"/>
        </w:rPr>
        <w:t>garimp</w:t>
      </w:r>
      <w:r w:rsidR="00936EAF">
        <w:rPr>
          <w:sz w:val="20"/>
          <w:lang w:val="pt-BR"/>
        </w:rPr>
        <w:t>o</w:t>
      </w:r>
      <w:r w:rsidRPr="004405C3">
        <w:rPr>
          <w:sz w:val="20"/>
          <w:lang w:val="pt-BR"/>
        </w:rPr>
        <w:t xml:space="preserve"> "artesanal" em Paracat</w:t>
      </w:r>
      <w:r w:rsidR="005D0EA7">
        <w:rPr>
          <w:sz w:val="20"/>
          <w:lang w:val="pt-BR"/>
        </w:rPr>
        <w:t xml:space="preserve">u desde 1989. Na época </w:t>
      </w:r>
      <w:r w:rsidRPr="004405C3">
        <w:rPr>
          <w:sz w:val="20"/>
          <w:lang w:val="pt-BR"/>
        </w:rPr>
        <w:t xml:space="preserve">o </w:t>
      </w:r>
      <w:r w:rsidR="005D0EA7">
        <w:rPr>
          <w:sz w:val="20"/>
          <w:lang w:val="pt-BR"/>
        </w:rPr>
        <w:t>G</w:t>
      </w:r>
      <w:r w:rsidRPr="004405C3">
        <w:rPr>
          <w:sz w:val="20"/>
          <w:lang w:val="pt-BR"/>
        </w:rPr>
        <w:t xml:space="preserve">overno </w:t>
      </w:r>
      <w:r w:rsidR="005D0EA7">
        <w:rPr>
          <w:sz w:val="20"/>
          <w:lang w:val="pt-BR"/>
        </w:rPr>
        <w:t>do Estado</w:t>
      </w:r>
      <w:r w:rsidRPr="004405C3">
        <w:rPr>
          <w:sz w:val="20"/>
          <w:lang w:val="pt-BR"/>
        </w:rPr>
        <w:t xml:space="preserve"> de Minas Gerais lançou</w:t>
      </w:r>
      <w:r w:rsidR="005D0EA7">
        <w:rPr>
          <w:sz w:val="20"/>
          <w:lang w:val="pt-BR"/>
        </w:rPr>
        <w:t xml:space="preserve"> o programa</w:t>
      </w:r>
      <w:r w:rsidRPr="004405C3">
        <w:rPr>
          <w:sz w:val="20"/>
          <w:lang w:val="pt-BR"/>
        </w:rPr>
        <w:t xml:space="preserve"> "SOS Paracatu" para </w:t>
      </w:r>
      <w:r w:rsidR="00565F05">
        <w:rPr>
          <w:sz w:val="20"/>
          <w:lang w:val="pt-BR"/>
        </w:rPr>
        <w:t>frear</w:t>
      </w:r>
      <w:r w:rsidRPr="004405C3">
        <w:rPr>
          <w:sz w:val="20"/>
          <w:lang w:val="pt-BR"/>
        </w:rPr>
        <w:t xml:space="preserve"> a </w:t>
      </w:r>
      <w:r w:rsidR="00565F05">
        <w:rPr>
          <w:sz w:val="20"/>
          <w:lang w:val="pt-BR"/>
        </w:rPr>
        <w:t>garimp</w:t>
      </w:r>
      <w:r w:rsidR="00936EAF">
        <w:rPr>
          <w:sz w:val="20"/>
          <w:lang w:val="pt-BR"/>
        </w:rPr>
        <w:t>o</w:t>
      </w:r>
      <w:r w:rsidRPr="004405C3">
        <w:rPr>
          <w:sz w:val="20"/>
          <w:lang w:val="pt-BR"/>
        </w:rPr>
        <w:t xml:space="preserve"> artesanal devido aos impactos significativos</w:t>
      </w:r>
      <w:r w:rsidR="005D0EA7">
        <w:rPr>
          <w:sz w:val="20"/>
          <w:lang w:val="pt-BR"/>
        </w:rPr>
        <w:t xml:space="preserve"> da atividade</w:t>
      </w:r>
      <w:r w:rsidRPr="004405C3">
        <w:rPr>
          <w:sz w:val="20"/>
          <w:lang w:val="pt-BR"/>
        </w:rPr>
        <w:t xml:space="preserve"> </w:t>
      </w:r>
      <w:r w:rsidR="00565F05">
        <w:rPr>
          <w:sz w:val="20"/>
          <w:lang w:val="pt-BR"/>
        </w:rPr>
        <w:t>na</w:t>
      </w:r>
      <w:r w:rsidR="005D0EA7">
        <w:rPr>
          <w:sz w:val="20"/>
          <w:lang w:val="pt-BR"/>
        </w:rPr>
        <w:t xml:space="preserve"> saúde, segurança, meio ambiente e nos rios da região</w:t>
      </w:r>
      <w:r w:rsidRPr="004405C3">
        <w:rPr>
          <w:sz w:val="20"/>
          <w:lang w:val="pt-BR"/>
        </w:rPr>
        <w:t xml:space="preserve">. </w:t>
      </w:r>
      <w:r w:rsidR="005D0EA7">
        <w:rPr>
          <w:sz w:val="20"/>
          <w:lang w:val="pt-BR"/>
        </w:rPr>
        <w:t>Após a ação do Governo, s</w:t>
      </w:r>
      <w:r w:rsidRPr="004405C3">
        <w:rPr>
          <w:sz w:val="20"/>
          <w:lang w:val="pt-BR"/>
        </w:rPr>
        <w:t>eguiu-se uma resolução formal da COPAM (</w:t>
      </w:r>
      <w:r w:rsidR="00565F05">
        <w:rPr>
          <w:sz w:val="20"/>
          <w:lang w:val="pt-BR"/>
        </w:rPr>
        <w:t xml:space="preserve">Órgão </w:t>
      </w:r>
      <w:r w:rsidRPr="004405C3">
        <w:rPr>
          <w:sz w:val="20"/>
          <w:lang w:val="pt-BR"/>
        </w:rPr>
        <w:t>Estatal de Política Ambiental)</w:t>
      </w:r>
      <w:r w:rsidR="005D0EA7">
        <w:rPr>
          <w:sz w:val="20"/>
          <w:lang w:val="pt-BR"/>
        </w:rPr>
        <w:t>,</w:t>
      </w:r>
      <w:r w:rsidRPr="004405C3">
        <w:rPr>
          <w:sz w:val="20"/>
          <w:lang w:val="pt-BR"/>
        </w:rPr>
        <w:t xml:space="preserve"> em 1990</w:t>
      </w:r>
      <w:r w:rsidR="005D0EA7">
        <w:rPr>
          <w:sz w:val="20"/>
          <w:lang w:val="pt-BR"/>
        </w:rPr>
        <w:t>,</w:t>
      </w:r>
      <w:r w:rsidRPr="004405C3">
        <w:rPr>
          <w:sz w:val="20"/>
          <w:lang w:val="pt-BR"/>
        </w:rPr>
        <w:t xml:space="preserve"> para suspender a atividade.</w:t>
      </w:r>
    </w:p>
    <w:p w14:paraId="4490A436" w14:textId="77777777" w:rsidR="004405C3" w:rsidRPr="0030605C" w:rsidRDefault="004405C3" w:rsidP="00CE3B7E">
      <w:pPr>
        <w:tabs>
          <w:tab w:val="left" w:pos="10206"/>
        </w:tabs>
        <w:jc w:val="both"/>
        <w:rPr>
          <w:sz w:val="20"/>
          <w:lang w:val="pt-BR"/>
        </w:rPr>
      </w:pPr>
    </w:p>
    <w:p w14:paraId="7BF883E1" w14:textId="4E6FD773" w:rsidR="004405C3" w:rsidRPr="004405C3" w:rsidRDefault="004405C3" w:rsidP="00911E96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spacing w:before="1"/>
        <w:ind w:right="895"/>
        <w:jc w:val="both"/>
        <w:rPr>
          <w:sz w:val="20"/>
          <w:lang w:val="pt-BR"/>
        </w:rPr>
      </w:pPr>
      <w:r w:rsidRPr="004405C3">
        <w:rPr>
          <w:sz w:val="20"/>
          <w:lang w:val="pt-BR"/>
        </w:rPr>
        <w:t>Desde então, houve incidentes ocasionais</w:t>
      </w:r>
      <w:r w:rsidR="005D0EA7">
        <w:rPr>
          <w:sz w:val="20"/>
          <w:lang w:val="pt-BR"/>
        </w:rPr>
        <w:t>,</w:t>
      </w:r>
      <w:r w:rsidRPr="004405C3">
        <w:rPr>
          <w:sz w:val="20"/>
          <w:lang w:val="pt-BR"/>
        </w:rPr>
        <w:t xml:space="preserve"> envolvendo </w:t>
      </w:r>
      <w:r w:rsidR="00BA7369">
        <w:rPr>
          <w:sz w:val="20"/>
          <w:lang w:val="pt-BR"/>
        </w:rPr>
        <w:t>invasões nas áreas da empresa.</w:t>
      </w:r>
      <w:r w:rsidRPr="004405C3">
        <w:rPr>
          <w:sz w:val="20"/>
          <w:lang w:val="pt-BR"/>
        </w:rPr>
        <w:t>. Isso não é "mineração", mas sim grupos de pessoas armadas e</w:t>
      </w:r>
      <w:r w:rsidR="005D0EA7">
        <w:rPr>
          <w:sz w:val="20"/>
          <w:lang w:val="pt-BR"/>
        </w:rPr>
        <w:t>,</w:t>
      </w:r>
      <w:r w:rsidRPr="004405C3">
        <w:rPr>
          <w:sz w:val="20"/>
          <w:lang w:val="pt-BR"/>
        </w:rPr>
        <w:t xml:space="preserve"> às vezes</w:t>
      </w:r>
      <w:r w:rsidR="005D0EA7">
        <w:rPr>
          <w:sz w:val="20"/>
          <w:lang w:val="pt-BR"/>
        </w:rPr>
        <w:t>,</w:t>
      </w:r>
      <w:r w:rsidRPr="004405C3">
        <w:rPr>
          <w:sz w:val="20"/>
          <w:lang w:val="pt-BR"/>
        </w:rPr>
        <w:t xml:space="preserve"> violentas que se deslocam para assumir o controle de partes da instalação industrial. Ao tentar acessar o </w:t>
      </w:r>
      <w:r w:rsidR="00565F05">
        <w:rPr>
          <w:sz w:val="20"/>
          <w:lang w:val="pt-BR"/>
        </w:rPr>
        <w:t>local</w:t>
      </w:r>
      <w:r w:rsidRPr="004405C3">
        <w:rPr>
          <w:sz w:val="20"/>
          <w:lang w:val="pt-BR"/>
        </w:rPr>
        <w:t>, ignoram sinais e barreiras colocadas para proteger áreas industriais</w:t>
      </w:r>
      <w:r w:rsidR="00911E96">
        <w:rPr>
          <w:sz w:val="20"/>
          <w:lang w:val="pt-BR"/>
        </w:rPr>
        <w:t xml:space="preserve"> com acesso restrito </w:t>
      </w:r>
      <w:r w:rsidRPr="004405C3">
        <w:rPr>
          <w:sz w:val="20"/>
          <w:lang w:val="pt-BR"/>
        </w:rPr>
        <w:t xml:space="preserve">Esses grupos muitas vezes </w:t>
      </w:r>
      <w:r w:rsidR="00911E96">
        <w:rPr>
          <w:sz w:val="20"/>
          <w:lang w:val="pt-BR"/>
        </w:rPr>
        <w:t xml:space="preserve">realizam disparos </w:t>
      </w:r>
      <w:r w:rsidR="00565F05">
        <w:rPr>
          <w:sz w:val="20"/>
          <w:lang w:val="pt-BR"/>
        </w:rPr>
        <w:t xml:space="preserve">com </w:t>
      </w:r>
      <w:r w:rsidRPr="004405C3">
        <w:rPr>
          <w:sz w:val="20"/>
          <w:lang w:val="pt-BR"/>
        </w:rPr>
        <w:t>armas letais nos funcionário</w:t>
      </w:r>
      <w:r w:rsidR="00565F05">
        <w:rPr>
          <w:sz w:val="20"/>
          <w:lang w:val="pt-BR"/>
        </w:rPr>
        <w:t>s da mina e, ocasionalmente, uns nos</w:t>
      </w:r>
      <w:r w:rsidRPr="004405C3">
        <w:rPr>
          <w:sz w:val="20"/>
          <w:lang w:val="pt-BR"/>
        </w:rPr>
        <w:t xml:space="preserve"> outro</w:t>
      </w:r>
      <w:r w:rsidR="00565F05">
        <w:rPr>
          <w:sz w:val="20"/>
          <w:lang w:val="pt-BR"/>
        </w:rPr>
        <w:t>s</w:t>
      </w:r>
      <w:r w:rsidRPr="004405C3">
        <w:rPr>
          <w:sz w:val="20"/>
          <w:lang w:val="pt-BR"/>
        </w:rPr>
        <w:t>.</w:t>
      </w:r>
    </w:p>
    <w:p w14:paraId="07E84DE5" w14:textId="77777777" w:rsidR="004405C3" w:rsidRPr="0030605C" w:rsidRDefault="004405C3" w:rsidP="00CE3B7E">
      <w:pPr>
        <w:tabs>
          <w:tab w:val="left" w:pos="10206"/>
        </w:tabs>
        <w:jc w:val="both"/>
        <w:rPr>
          <w:sz w:val="20"/>
          <w:lang w:val="pt-BR"/>
        </w:rPr>
      </w:pPr>
    </w:p>
    <w:p w14:paraId="7601071B" w14:textId="33A930B1" w:rsidR="004405C3" w:rsidRPr="004405C3" w:rsidRDefault="00D81892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906"/>
        <w:jc w:val="both"/>
        <w:rPr>
          <w:sz w:val="20"/>
          <w:lang w:val="pt-BR"/>
        </w:rPr>
      </w:pPr>
      <w:r>
        <w:rPr>
          <w:sz w:val="20"/>
          <w:lang w:val="pt-BR"/>
        </w:rPr>
        <w:t>Da nossa parte tentamos</w:t>
      </w:r>
      <w:r w:rsidR="004405C3" w:rsidRPr="004405C3">
        <w:rPr>
          <w:sz w:val="20"/>
          <w:lang w:val="pt-BR"/>
        </w:rPr>
        <w:t xml:space="preserve"> melhorar o cercamento, a iluminação, as patrulhas e outras medidas </w:t>
      </w:r>
      <w:r w:rsidR="00811896">
        <w:rPr>
          <w:sz w:val="20"/>
          <w:lang w:val="pt-BR"/>
        </w:rPr>
        <w:t xml:space="preserve">protetivas para garantir a segurança dos nossos empregados e </w:t>
      </w:r>
      <w:r w:rsidR="004405C3" w:rsidRPr="004405C3">
        <w:rPr>
          <w:sz w:val="20"/>
          <w:lang w:val="pt-BR"/>
        </w:rPr>
        <w:t>para limitar o acesso às áreas-alvo</w:t>
      </w:r>
      <w:r>
        <w:rPr>
          <w:sz w:val="20"/>
          <w:lang w:val="pt-BR"/>
        </w:rPr>
        <w:t xml:space="preserve">. Também cooperamos </w:t>
      </w:r>
      <w:r w:rsidR="004405C3" w:rsidRPr="004405C3">
        <w:rPr>
          <w:sz w:val="20"/>
          <w:lang w:val="pt-BR"/>
        </w:rPr>
        <w:t xml:space="preserve">com </w:t>
      </w:r>
      <w:r w:rsidR="00272EE3" w:rsidRPr="004405C3">
        <w:rPr>
          <w:sz w:val="20"/>
          <w:lang w:val="pt-BR"/>
        </w:rPr>
        <w:t>as autoridades locais responsáveis</w:t>
      </w:r>
      <w:r w:rsidR="004405C3" w:rsidRPr="004405C3">
        <w:rPr>
          <w:sz w:val="20"/>
          <w:lang w:val="pt-BR"/>
        </w:rPr>
        <w:t>.</w:t>
      </w:r>
    </w:p>
    <w:p w14:paraId="207A8A80" w14:textId="77777777" w:rsidR="004405C3" w:rsidRPr="0030605C" w:rsidRDefault="004405C3" w:rsidP="00CE3B7E">
      <w:pPr>
        <w:tabs>
          <w:tab w:val="left" w:pos="10206"/>
        </w:tabs>
        <w:jc w:val="both"/>
        <w:rPr>
          <w:sz w:val="20"/>
          <w:lang w:val="pt-BR"/>
        </w:rPr>
      </w:pPr>
    </w:p>
    <w:p w14:paraId="1820155D" w14:textId="77777777" w:rsidR="004405C3" w:rsidRPr="004405C3" w:rsidRDefault="007872A0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jc w:val="both"/>
        <w:rPr>
          <w:sz w:val="20"/>
          <w:lang w:val="pt-BR"/>
        </w:rPr>
      </w:pPr>
      <w:r>
        <w:rPr>
          <w:sz w:val="20"/>
          <w:lang w:val="pt-BR"/>
        </w:rPr>
        <w:t>A</w:t>
      </w:r>
      <w:r w:rsidR="004405C3" w:rsidRPr="004405C3">
        <w:rPr>
          <w:sz w:val="20"/>
          <w:lang w:val="pt-BR"/>
        </w:rPr>
        <w:t xml:space="preserve"> Kinross apoia os </w:t>
      </w:r>
      <w:r w:rsidR="00D81892">
        <w:rPr>
          <w:sz w:val="20"/>
          <w:lang w:val="pt-BR"/>
        </w:rPr>
        <w:t>“</w:t>
      </w:r>
      <w:r w:rsidR="004405C3" w:rsidRPr="004405C3">
        <w:rPr>
          <w:sz w:val="20"/>
          <w:lang w:val="pt-BR"/>
        </w:rPr>
        <w:t>Princípios Voluntários de Segurança e Direitos Humanos</w:t>
      </w:r>
      <w:r w:rsidR="00D81892">
        <w:rPr>
          <w:sz w:val="20"/>
          <w:lang w:val="pt-BR"/>
        </w:rPr>
        <w:t>”</w:t>
      </w:r>
      <w:r w:rsidR="004405C3" w:rsidRPr="004405C3">
        <w:rPr>
          <w:sz w:val="20"/>
          <w:lang w:val="pt-BR"/>
        </w:rPr>
        <w:t xml:space="preserve"> e implementou um extenso Programa de Adesão e Verificação de Direitos Humanos. Como parte deste programa, os funcionários recebem </w:t>
      </w:r>
      <w:r w:rsidR="00272EE3">
        <w:rPr>
          <w:sz w:val="20"/>
          <w:lang w:val="pt-BR"/>
        </w:rPr>
        <w:t xml:space="preserve">anualmente </w:t>
      </w:r>
      <w:r w:rsidR="004405C3" w:rsidRPr="004405C3">
        <w:rPr>
          <w:sz w:val="20"/>
          <w:lang w:val="pt-BR"/>
        </w:rPr>
        <w:t>treinamento em direitos humanos. Todas as ações tomadas pelo pessoal de segurança em Paracatu, incluindo o trabalho com a polícia militar no Brasil, foram realizadas de acordo com o Programa de Padronização de Segurança Global da Kinross.</w:t>
      </w:r>
    </w:p>
    <w:p w14:paraId="21E0417E" w14:textId="77777777" w:rsidR="004405C3" w:rsidRPr="0030605C" w:rsidRDefault="004405C3" w:rsidP="00CE3B7E">
      <w:pPr>
        <w:tabs>
          <w:tab w:val="left" w:pos="10206"/>
        </w:tabs>
        <w:jc w:val="both"/>
        <w:rPr>
          <w:sz w:val="20"/>
          <w:lang w:val="pt-BR"/>
        </w:rPr>
      </w:pPr>
    </w:p>
    <w:p w14:paraId="333D34CC" w14:textId="77777777" w:rsidR="004405C3" w:rsidRPr="00565F05" w:rsidRDefault="004405C3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918"/>
        <w:jc w:val="both"/>
        <w:rPr>
          <w:sz w:val="20"/>
          <w:lang w:val="pt-BR"/>
        </w:rPr>
      </w:pPr>
      <w:r w:rsidRPr="00565F05">
        <w:rPr>
          <w:sz w:val="20"/>
          <w:lang w:val="pt-BR"/>
        </w:rPr>
        <w:t xml:space="preserve">Em 2015, implementamos </w:t>
      </w:r>
      <w:r w:rsidR="00272EE3" w:rsidRPr="00565F05">
        <w:rPr>
          <w:sz w:val="20"/>
          <w:lang w:val="pt-BR"/>
        </w:rPr>
        <w:t xml:space="preserve">também </w:t>
      </w:r>
      <w:r w:rsidRPr="00565F05">
        <w:rPr>
          <w:sz w:val="20"/>
          <w:lang w:val="pt-BR"/>
        </w:rPr>
        <w:t xml:space="preserve">um programa de educação pública para aumentar a conscientização sobre os problemas de saúde e segurança associados a essas atividades, bem como preocupações comuns entre os vizinhos sobre invasão e respeito pela propriedade privada. </w:t>
      </w:r>
      <w:r w:rsidR="00272EE3">
        <w:rPr>
          <w:sz w:val="20"/>
          <w:lang w:val="pt-BR"/>
        </w:rPr>
        <w:t xml:space="preserve">A </w:t>
      </w:r>
      <w:r w:rsidRPr="00565F05">
        <w:rPr>
          <w:sz w:val="20"/>
          <w:lang w:val="pt-BR"/>
        </w:rPr>
        <w:t>Kinross está apoiando os esforços da comunidade para enfrentar os problemas subjacentes à criminalidade em Paracatu.</w:t>
      </w:r>
    </w:p>
    <w:p w14:paraId="4E1F4E86" w14:textId="77777777" w:rsidR="004405C3" w:rsidRPr="00565F05" w:rsidRDefault="004405C3" w:rsidP="00CE3B7E">
      <w:pPr>
        <w:tabs>
          <w:tab w:val="left" w:pos="1666"/>
          <w:tab w:val="left" w:pos="1667"/>
          <w:tab w:val="left" w:pos="10206"/>
        </w:tabs>
        <w:ind w:right="918"/>
        <w:jc w:val="both"/>
        <w:rPr>
          <w:sz w:val="20"/>
          <w:lang w:val="pt-BR"/>
        </w:rPr>
      </w:pPr>
    </w:p>
    <w:p w14:paraId="22145169" w14:textId="77777777" w:rsidR="004405C3" w:rsidRPr="00565F05" w:rsidRDefault="004405C3" w:rsidP="00CE3B7E">
      <w:pPr>
        <w:tabs>
          <w:tab w:val="left" w:pos="1666"/>
          <w:tab w:val="left" w:pos="1667"/>
          <w:tab w:val="left" w:pos="10206"/>
        </w:tabs>
        <w:ind w:right="918"/>
        <w:jc w:val="both"/>
        <w:rPr>
          <w:sz w:val="20"/>
          <w:lang w:val="pt-BR"/>
        </w:rPr>
        <w:sectPr w:rsidR="004405C3" w:rsidRPr="00565F05">
          <w:headerReference w:type="default" r:id="rId11"/>
          <w:pgSz w:w="12240" w:h="15840"/>
          <w:pgMar w:top="1120" w:right="300" w:bottom="760" w:left="360" w:header="450" w:footer="573" w:gutter="0"/>
          <w:cols w:space="720"/>
        </w:sectPr>
      </w:pPr>
    </w:p>
    <w:p w14:paraId="5DDEAF7E" w14:textId="1E42696B" w:rsidR="00D01DEC" w:rsidRPr="00272EE3" w:rsidRDefault="0030605C" w:rsidP="00FB1672">
      <w:pPr>
        <w:pStyle w:val="Heading1"/>
        <w:tabs>
          <w:tab w:val="left" w:pos="10206"/>
        </w:tabs>
        <w:spacing w:before="92"/>
        <w:ind w:left="0" w:right="1852"/>
        <w:jc w:val="center"/>
        <w:rPr>
          <w:lang w:val="pt-BR"/>
        </w:rPr>
      </w:pPr>
      <w:r>
        <w:rPr>
          <w:lang w:val="pt-BR"/>
        </w:rPr>
        <w:lastRenderedPageBreak/>
        <w:t xml:space="preserve">                      </w:t>
      </w:r>
      <w:r w:rsidR="00272EE3" w:rsidRPr="00272EE3">
        <w:rPr>
          <w:lang w:val="pt-BR"/>
        </w:rPr>
        <w:t>Meio</w:t>
      </w:r>
      <w:r w:rsidR="00272EE3">
        <w:rPr>
          <w:lang w:val="pt-BR"/>
        </w:rPr>
        <w:t xml:space="preserve"> a</w:t>
      </w:r>
      <w:r w:rsidR="00272EE3" w:rsidRPr="00272EE3">
        <w:rPr>
          <w:lang w:val="pt-BR"/>
        </w:rPr>
        <w:t>mbiente e Saúde Pública - anos de estudos demonstram que</w:t>
      </w:r>
      <w:r w:rsidR="0004759E">
        <w:rPr>
          <w:lang w:val="pt-BR"/>
        </w:rPr>
        <w:t xml:space="preserve"> não há</w:t>
      </w:r>
      <w:r>
        <w:rPr>
          <w:lang w:val="pt-BR"/>
        </w:rPr>
        <w:t xml:space="preserve"> </w:t>
      </w:r>
      <w:r w:rsidR="0004759E">
        <w:rPr>
          <w:lang w:val="pt-BR"/>
        </w:rPr>
        <w:t>contaminação pela</w:t>
      </w:r>
      <w:r w:rsidR="00272EE3" w:rsidRPr="00272EE3">
        <w:rPr>
          <w:lang w:val="pt-BR"/>
        </w:rPr>
        <w:t xml:space="preserve"> mina e que o arsênio não é um problema de saúde públic</w:t>
      </w:r>
      <w:r w:rsidR="00FB1672">
        <w:rPr>
          <w:lang w:val="pt-BR"/>
        </w:rPr>
        <w:t>a em P</w:t>
      </w:r>
      <w:r w:rsidR="00272EE3" w:rsidRPr="00272EE3">
        <w:rPr>
          <w:lang w:val="pt-BR"/>
        </w:rPr>
        <w:t>aracatu</w:t>
      </w:r>
    </w:p>
    <w:p w14:paraId="42FF5D13" w14:textId="77777777" w:rsidR="00272EE3" w:rsidRPr="00144563" w:rsidRDefault="00272EE3" w:rsidP="00CE3B7E">
      <w:pPr>
        <w:tabs>
          <w:tab w:val="left" w:pos="1666"/>
          <w:tab w:val="left" w:pos="1667"/>
          <w:tab w:val="left" w:pos="10206"/>
        </w:tabs>
        <w:ind w:right="839"/>
        <w:jc w:val="both"/>
        <w:rPr>
          <w:sz w:val="20"/>
          <w:lang w:val="pt-BR"/>
        </w:rPr>
      </w:pPr>
    </w:p>
    <w:p w14:paraId="59A28136" w14:textId="7CBDCEF0" w:rsidR="00272EE3" w:rsidRPr="00272EE3" w:rsidRDefault="00272EE3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839"/>
        <w:jc w:val="both"/>
        <w:rPr>
          <w:sz w:val="20"/>
          <w:lang w:val="pt-BR"/>
        </w:rPr>
      </w:pPr>
      <w:r w:rsidRPr="00272EE3">
        <w:rPr>
          <w:sz w:val="20"/>
          <w:lang w:val="pt-BR"/>
        </w:rPr>
        <w:t xml:space="preserve">Especialistas </w:t>
      </w:r>
      <w:r w:rsidR="0004759E" w:rsidRPr="00272EE3">
        <w:rPr>
          <w:sz w:val="20"/>
          <w:lang w:val="pt-BR"/>
        </w:rPr>
        <w:t xml:space="preserve">em toxicologia </w:t>
      </w:r>
      <w:r w:rsidRPr="00272EE3">
        <w:rPr>
          <w:sz w:val="20"/>
          <w:lang w:val="pt-BR"/>
        </w:rPr>
        <w:t xml:space="preserve">de renome </w:t>
      </w:r>
      <w:r w:rsidR="009B0303" w:rsidRPr="00272EE3">
        <w:rPr>
          <w:sz w:val="20"/>
          <w:lang w:val="pt-BR"/>
        </w:rPr>
        <w:t>mundial realizaram</w:t>
      </w:r>
      <w:r w:rsidRPr="00272EE3">
        <w:rPr>
          <w:sz w:val="20"/>
          <w:lang w:val="pt-BR"/>
        </w:rPr>
        <w:t xml:space="preserve"> extensos estudos ao longo de muitos anos e </w:t>
      </w:r>
      <w:r w:rsidR="00AF0B37">
        <w:rPr>
          <w:sz w:val="20"/>
          <w:lang w:val="pt-BR"/>
        </w:rPr>
        <w:t>constataram</w:t>
      </w:r>
      <w:r w:rsidR="00AF0B37" w:rsidRPr="00272EE3">
        <w:rPr>
          <w:sz w:val="20"/>
          <w:lang w:val="pt-BR"/>
        </w:rPr>
        <w:t xml:space="preserve"> </w:t>
      </w:r>
      <w:r w:rsidRPr="00272EE3">
        <w:rPr>
          <w:sz w:val="20"/>
          <w:lang w:val="pt-BR"/>
        </w:rPr>
        <w:t>que não há aumento no risco de saúde do empregado ou da comunidade pelo arsênio</w:t>
      </w:r>
      <w:r w:rsidR="0004759E">
        <w:rPr>
          <w:sz w:val="20"/>
          <w:lang w:val="pt-BR"/>
        </w:rPr>
        <w:t>,</w:t>
      </w:r>
      <w:r w:rsidRPr="00272EE3">
        <w:rPr>
          <w:sz w:val="20"/>
          <w:lang w:val="pt-BR"/>
        </w:rPr>
        <w:t xml:space="preserve"> devi</w:t>
      </w:r>
      <w:r w:rsidR="00FD7708">
        <w:rPr>
          <w:sz w:val="20"/>
          <w:lang w:val="pt-BR"/>
        </w:rPr>
        <w:t>do às atividades de mineração da</w:t>
      </w:r>
      <w:r w:rsidRPr="00272EE3">
        <w:rPr>
          <w:sz w:val="20"/>
          <w:lang w:val="pt-BR"/>
        </w:rPr>
        <w:t xml:space="preserve"> Kinross.</w:t>
      </w:r>
    </w:p>
    <w:p w14:paraId="4A43D041" w14:textId="77777777" w:rsidR="00272EE3" w:rsidRPr="00FD7708" w:rsidRDefault="00272EE3" w:rsidP="00CE3B7E">
      <w:pPr>
        <w:tabs>
          <w:tab w:val="left" w:pos="10206"/>
        </w:tabs>
        <w:jc w:val="both"/>
        <w:rPr>
          <w:sz w:val="20"/>
          <w:lang w:val="pt-BR"/>
        </w:rPr>
      </w:pPr>
    </w:p>
    <w:p w14:paraId="26992D13" w14:textId="18B8C8D2" w:rsidR="00272EE3" w:rsidRPr="00272EE3" w:rsidRDefault="00272EE3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872"/>
        <w:jc w:val="both"/>
        <w:rPr>
          <w:sz w:val="20"/>
          <w:lang w:val="pt-BR"/>
        </w:rPr>
      </w:pPr>
      <w:r w:rsidRPr="00272EE3">
        <w:rPr>
          <w:sz w:val="20"/>
          <w:lang w:val="pt-BR"/>
        </w:rPr>
        <w:t>No início de 2016, o resultado final de um programa de pesquisa de seis anos</w:t>
      </w:r>
      <w:r w:rsidR="00D81892">
        <w:rPr>
          <w:sz w:val="20"/>
          <w:lang w:val="pt-BR"/>
        </w:rPr>
        <w:t>,</w:t>
      </w:r>
      <w:r w:rsidRPr="00272EE3">
        <w:rPr>
          <w:sz w:val="20"/>
          <w:lang w:val="pt-BR"/>
        </w:rPr>
        <w:t xml:space="preserve"> coordenado pelo Instituto Nacional de Ciência e Tecnologia em Recursos Minerais Água e Biodiversidade (INCT), com o apoio de pesquisadores de universidades federais do Brasil e da Universidade </w:t>
      </w:r>
      <w:r w:rsidR="0004759E">
        <w:rPr>
          <w:sz w:val="20"/>
          <w:lang w:val="pt-BR"/>
        </w:rPr>
        <w:t>de Queensland,</w:t>
      </w:r>
      <w:r w:rsidRPr="00272EE3">
        <w:rPr>
          <w:sz w:val="20"/>
          <w:lang w:val="pt-BR"/>
        </w:rPr>
        <w:t xml:space="preserve"> Austrália</w:t>
      </w:r>
      <w:r w:rsidR="0004759E">
        <w:rPr>
          <w:sz w:val="20"/>
          <w:lang w:val="pt-BR"/>
        </w:rPr>
        <w:t xml:space="preserve"> </w:t>
      </w:r>
      <w:r w:rsidRPr="00272EE3">
        <w:rPr>
          <w:sz w:val="20"/>
          <w:lang w:val="pt-BR"/>
        </w:rPr>
        <w:t>foi publicad</w:t>
      </w:r>
      <w:r w:rsidR="00AF0B37">
        <w:rPr>
          <w:sz w:val="20"/>
          <w:lang w:val="pt-BR"/>
        </w:rPr>
        <w:t>o</w:t>
      </w:r>
      <w:r w:rsidRPr="00272EE3">
        <w:rPr>
          <w:sz w:val="20"/>
          <w:lang w:val="pt-BR"/>
        </w:rPr>
        <w:t>, incluindo uma avaliação completa do risco de saúde humana. Os estudos científicos conclu</w:t>
      </w:r>
      <w:r w:rsidR="0004759E">
        <w:rPr>
          <w:sz w:val="20"/>
          <w:lang w:val="pt-BR"/>
        </w:rPr>
        <w:t>íram que a exposição ao arsênio</w:t>
      </w:r>
      <w:r w:rsidRPr="00272EE3">
        <w:rPr>
          <w:sz w:val="20"/>
          <w:lang w:val="pt-BR"/>
        </w:rPr>
        <w:t xml:space="preserve"> em Paracatu é baixa e que o risco para a saúde humana é baixo e que a exposição total ao arsênio </w:t>
      </w:r>
      <w:r w:rsidR="0004759E">
        <w:rPr>
          <w:sz w:val="20"/>
          <w:lang w:val="pt-BR"/>
        </w:rPr>
        <w:t>vindo de</w:t>
      </w:r>
      <w:r w:rsidRPr="00272EE3">
        <w:rPr>
          <w:sz w:val="20"/>
          <w:lang w:val="pt-BR"/>
        </w:rPr>
        <w:t xml:space="preserve"> alimentos, água, poeira e solo em Paracatu é dez vezes menor do que a dose de referência pa</w:t>
      </w:r>
      <w:r w:rsidR="0004759E">
        <w:rPr>
          <w:sz w:val="20"/>
          <w:lang w:val="pt-BR"/>
        </w:rPr>
        <w:t>ra a ingestão diária de arsênio</w:t>
      </w:r>
      <w:r w:rsidRPr="00272EE3">
        <w:rPr>
          <w:sz w:val="20"/>
          <w:lang w:val="pt-BR"/>
        </w:rPr>
        <w:t xml:space="preserve"> estabelecida </w:t>
      </w:r>
      <w:r w:rsidR="0004759E">
        <w:rPr>
          <w:sz w:val="20"/>
          <w:lang w:val="pt-BR"/>
        </w:rPr>
        <w:t>pela</w:t>
      </w:r>
      <w:r w:rsidRPr="00272EE3">
        <w:rPr>
          <w:sz w:val="20"/>
          <w:lang w:val="pt-BR"/>
        </w:rPr>
        <w:t xml:space="preserve"> Organização Mundial de Saúde e </w:t>
      </w:r>
      <w:r w:rsidR="0004759E">
        <w:rPr>
          <w:sz w:val="20"/>
          <w:lang w:val="pt-BR"/>
        </w:rPr>
        <w:t xml:space="preserve">pela </w:t>
      </w:r>
      <w:r w:rsidRPr="00272EE3">
        <w:rPr>
          <w:sz w:val="20"/>
          <w:lang w:val="pt-BR"/>
        </w:rPr>
        <w:t>Organização das Nações Unidas para a Alimentação e a Agricultura.</w:t>
      </w:r>
    </w:p>
    <w:p w14:paraId="5D62F51D" w14:textId="77777777" w:rsidR="00272EE3" w:rsidRPr="0030605C" w:rsidRDefault="00272EE3" w:rsidP="00CE3B7E">
      <w:pPr>
        <w:tabs>
          <w:tab w:val="left" w:pos="10206"/>
        </w:tabs>
        <w:jc w:val="both"/>
        <w:rPr>
          <w:sz w:val="20"/>
          <w:lang w:val="pt-BR"/>
        </w:rPr>
      </w:pPr>
    </w:p>
    <w:p w14:paraId="386230C1" w14:textId="3F0915F7" w:rsidR="00272EE3" w:rsidRPr="00272EE3" w:rsidRDefault="00272EE3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794"/>
        <w:jc w:val="both"/>
        <w:rPr>
          <w:sz w:val="20"/>
          <w:lang w:val="pt-BR"/>
        </w:rPr>
      </w:pPr>
      <w:r w:rsidRPr="00272EE3">
        <w:rPr>
          <w:sz w:val="20"/>
          <w:lang w:val="pt-BR"/>
        </w:rPr>
        <w:t>Estes estudos c</w:t>
      </w:r>
      <w:r w:rsidR="0004759E">
        <w:rPr>
          <w:sz w:val="20"/>
          <w:lang w:val="pt-BR"/>
        </w:rPr>
        <w:t xml:space="preserve">ientíficos foram publicados nas deliberações </w:t>
      </w:r>
      <w:r w:rsidRPr="00272EE3">
        <w:rPr>
          <w:sz w:val="20"/>
          <w:lang w:val="pt-BR"/>
        </w:rPr>
        <w:t>do 4º Con</w:t>
      </w:r>
      <w:r w:rsidR="0004759E">
        <w:rPr>
          <w:sz w:val="20"/>
          <w:lang w:val="pt-BR"/>
        </w:rPr>
        <w:t>gresso Internacional de Arsênio</w:t>
      </w:r>
      <w:r w:rsidRPr="00272EE3">
        <w:rPr>
          <w:sz w:val="20"/>
          <w:lang w:val="pt-BR"/>
        </w:rPr>
        <w:t xml:space="preserve"> no Meio Ambiente (julho de 2012), e os resultados e as conclusões foram compartilhados com funcionários da Kinross</w:t>
      </w:r>
      <w:r w:rsidR="00AF0B37">
        <w:rPr>
          <w:sz w:val="20"/>
          <w:lang w:val="pt-BR"/>
        </w:rPr>
        <w:t xml:space="preserve"> e comunidade local</w:t>
      </w:r>
      <w:r w:rsidRPr="00272EE3">
        <w:rPr>
          <w:sz w:val="20"/>
          <w:lang w:val="pt-BR"/>
        </w:rPr>
        <w:t>.</w:t>
      </w:r>
    </w:p>
    <w:p w14:paraId="29F52013" w14:textId="77777777" w:rsidR="00272EE3" w:rsidRPr="0030605C" w:rsidRDefault="00272EE3" w:rsidP="00CE3B7E">
      <w:pPr>
        <w:tabs>
          <w:tab w:val="left" w:pos="10206"/>
        </w:tabs>
        <w:jc w:val="both"/>
        <w:rPr>
          <w:sz w:val="20"/>
          <w:lang w:val="pt-BR"/>
        </w:rPr>
      </w:pPr>
    </w:p>
    <w:p w14:paraId="3BDC4914" w14:textId="327AB16C" w:rsidR="00272EE3" w:rsidRPr="00272EE3" w:rsidRDefault="00272EE3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861"/>
        <w:jc w:val="both"/>
        <w:rPr>
          <w:sz w:val="20"/>
          <w:lang w:val="pt-BR"/>
        </w:rPr>
      </w:pPr>
      <w:r w:rsidRPr="00272EE3">
        <w:rPr>
          <w:sz w:val="20"/>
          <w:lang w:val="pt-BR"/>
        </w:rPr>
        <w:t xml:space="preserve">Separadamente, o município de Paracatu divulgou os resultados de seu próprio estudo no início de 2014, </w:t>
      </w:r>
      <w:r w:rsidR="0004759E">
        <w:rPr>
          <w:sz w:val="20"/>
          <w:lang w:val="pt-BR"/>
        </w:rPr>
        <w:t>concluindo</w:t>
      </w:r>
      <w:r w:rsidRPr="00272EE3">
        <w:rPr>
          <w:sz w:val="20"/>
          <w:lang w:val="pt-BR"/>
        </w:rPr>
        <w:t xml:space="preserve"> que o risco para a saúde do arsênio na comunidade é baixo. O estudo foi liderado pelo Centro de Tecnologia Mineral (CETEM), um instituto de pesquisa do governo federal</w:t>
      </w:r>
      <w:r w:rsidR="009B0303">
        <w:rPr>
          <w:sz w:val="20"/>
          <w:lang w:val="pt-BR"/>
        </w:rPr>
        <w:t xml:space="preserve"> brasileiro</w:t>
      </w:r>
      <w:r w:rsidRPr="00272EE3">
        <w:rPr>
          <w:sz w:val="20"/>
          <w:lang w:val="pt-BR"/>
        </w:rPr>
        <w:t>, e foi conduzido ao longo de três anos com o apoio de mais de 70 pesquisadores, incluindo epidemiologistas, bioquímicos e geólogos ambientais de cinco instituições parceiras.</w:t>
      </w:r>
    </w:p>
    <w:p w14:paraId="0CEC4562" w14:textId="77777777" w:rsidR="00272EE3" w:rsidRPr="0030605C" w:rsidRDefault="00272EE3" w:rsidP="00CE3B7E">
      <w:pPr>
        <w:tabs>
          <w:tab w:val="left" w:pos="10206"/>
        </w:tabs>
        <w:jc w:val="both"/>
        <w:rPr>
          <w:sz w:val="20"/>
          <w:lang w:val="pt-BR"/>
        </w:rPr>
      </w:pPr>
    </w:p>
    <w:p w14:paraId="5F2E6E28" w14:textId="77777777" w:rsidR="00272EE3" w:rsidRPr="000F6DE2" w:rsidRDefault="000F6DE2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1029"/>
        <w:jc w:val="both"/>
        <w:rPr>
          <w:sz w:val="20"/>
          <w:lang w:val="pt-BR"/>
        </w:rPr>
      </w:pPr>
      <w:r w:rsidRPr="000F6DE2">
        <w:rPr>
          <w:sz w:val="20"/>
          <w:lang w:val="pt-BR"/>
        </w:rPr>
        <w:t>Além disso, mais de 7.000 testes de funcionários em cinco anos (2012 - 2016) não encontraram um único resultado acima das diretrizes de exposição ocupac</w:t>
      </w:r>
      <w:r w:rsidR="0004759E">
        <w:rPr>
          <w:sz w:val="20"/>
          <w:lang w:val="pt-BR"/>
        </w:rPr>
        <w:t>ional brasileira para o arsênio</w:t>
      </w:r>
      <w:r w:rsidRPr="000F6DE2">
        <w:rPr>
          <w:sz w:val="20"/>
          <w:lang w:val="pt-BR"/>
        </w:rPr>
        <w:t>.</w:t>
      </w:r>
    </w:p>
    <w:p w14:paraId="1344DF28" w14:textId="77777777" w:rsidR="000F6DE2" w:rsidRPr="0030605C" w:rsidRDefault="000F6DE2" w:rsidP="00CE3B7E">
      <w:pPr>
        <w:tabs>
          <w:tab w:val="left" w:pos="10206"/>
        </w:tabs>
        <w:jc w:val="both"/>
        <w:rPr>
          <w:sz w:val="20"/>
          <w:lang w:val="pt-BR"/>
        </w:rPr>
      </w:pPr>
    </w:p>
    <w:p w14:paraId="5431C737" w14:textId="4A75AB37" w:rsidR="0004759E" w:rsidRPr="0004759E" w:rsidRDefault="000F6DE2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1063" w:hanging="360"/>
        <w:jc w:val="both"/>
        <w:rPr>
          <w:sz w:val="20"/>
          <w:lang w:val="pt-BR"/>
        </w:rPr>
      </w:pPr>
      <w:r w:rsidRPr="000F6DE2">
        <w:rPr>
          <w:sz w:val="20"/>
          <w:lang w:val="pt-BR"/>
        </w:rPr>
        <w:t xml:space="preserve">Para obter mais informações, incluindo versões completas dos relatórios científicos, currículos dos cientistas envolvidos nos estudos e outras informações, </w:t>
      </w:r>
      <w:r w:rsidR="0004759E">
        <w:rPr>
          <w:sz w:val="20"/>
          <w:lang w:val="pt-BR"/>
        </w:rPr>
        <w:t xml:space="preserve">favor consultar </w:t>
      </w:r>
      <w:hyperlink r:id="rId12">
        <w:r w:rsidR="0004759E" w:rsidRPr="0004759E">
          <w:rPr>
            <w:color w:val="0000FF"/>
            <w:sz w:val="20"/>
            <w:u w:val="single" w:color="0000FF"/>
            <w:lang w:val="pt-BR"/>
          </w:rPr>
          <w:t>http://arsenio.kinross.com.br/en/</w:t>
        </w:r>
      </w:hyperlink>
    </w:p>
    <w:p w14:paraId="14B45FFA" w14:textId="77777777" w:rsidR="000F6DE2" w:rsidRPr="0004759E" w:rsidRDefault="000F6DE2" w:rsidP="00CE3B7E">
      <w:pPr>
        <w:tabs>
          <w:tab w:val="left" w:pos="1666"/>
          <w:tab w:val="left" w:pos="1667"/>
          <w:tab w:val="left" w:pos="10206"/>
        </w:tabs>
        <w:ind w:left="1306" w:right="1063"/>
        <w:jc w:val="both"/>
        <w:rPr>
          <w:sz w:val="20"/>
          <w:lang w:val="pt-BR"/>
        </w:rPr>
      </w:pPr>
    </w:p>
    <w:p w14:paraId="66D2A8E0" w14:textId="77777777" w:rsidR="001915C7" w:rsidRPr="0030605C" w:rsidRDefault="001915C7" w:rsidP="00CE3B7E">
      <w:pPr>
        <w:pStyle w:val="Heading1"/>
        <w:tabs>
          <w:tab w:val="left" w:pos="10206"/>
        </w:tabs>
        <w:ind w:left="0"/>
        <w:jc w:val="both"/>
        <w:rPr>
          <w:lang w:val="pt-BR"/>
        </w:rPr>
      </w:pPr>
    </w:p>
    <w:p w14:paraId="3AA575E9" w14:textId="77777777" w:rsidR="001915C7" w:rsidRPr="001915C7" w:rsidRDefault="001915C7" w:rsidP="00CE3B7E">
      <w:pPr>
        <w:pStyle w:val="Heading1"/>
        <w:tabs>
          <w:tab w:val="left" w:pos="10206"/>
        </w:tabs>
        <w:jc w:val="center"/>
        <w:rPr>
          <w:lang w:val="pt-BR"/>
        </w:rPr>
      </w:pPr>
      <w:r w:rsidRPr="001915C7">
        <w:rPr>
          <w:lang w:val="pt-BR"/>
        </w:rPr>
        <w:t xml:space="preserve">Acesso a água limpa - fontes de </w:t>
      </w:r>
      <w:r>
        <w:rPr>
          <w:lang w:val="pt-BR"/>
        </w:rPr>
        <w:t xml:space="preserve">água da </w:t>
      </w:r>
      <w:r w:rsidRPr="001915C7">
        <w:rPr>
          <w:lang w:val="pt-BR"/>
        </w:rPr>
        <w:t xml:space="preserve">Kinross </w:t>
      </w:r>
      <w:r>
        <w:rPr>
          <w:lang w:val="pt-BR"/>
        </w:rPr>
        <w:t xml:space="preserve">vêm </w:t>
      </w:r>
      <w:r w:rsidRPr="001915C7">
        <w:rPr>
          <w:lang w:val="pt-BR"/>
        </w:rPr>
        <w:t>de bacias que não servem a cidade</w:t>
      </w:r>
    </w:p>
    <w:p w14:paraId="78A951FE" w14:textId="77777777" w:rsidR="001915C7" w:rsidRPr="00144563" w:rsidRDefault="001915C7" w:rsidP="00CE3B7E">
      <w:pPr>
        <w:tabs>
          <w:tab w:val="left" w:pos="1666"/>
          <w:tab w:val="left" w:pos="1667"/>
          <w:tab w:val="left" w:pos="10206"/>
        </w:tabs>
        <w:ind w:right="1519"/>
        <w:jc w:val="both"/>
        <w:rPr>
          <w:sz w:val="20"/>
          <w:lang w:val="pt-BR"/>
        </w:rPr>
      </w:pPr>
    </w:p>
    <w:p w14:paraId="6A9BAEF8" w14:textId="2D0584BF" w:rsidR="00AF0B37" w:rsidRDefault="00AF0B37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1519"/>
        <w:jc w:val="both"/>
        <w:rPr>
          <w:sz w:val="20"/>
          <w:lang w:val="pt-BR"/>
        </w:rPr>
      </w:pPr>
      <w:r>
        <w:rPr>
          <w:sz w:val="20"/>
          <w:lang w:val="pt-BR"/>
        </w:rPr>
        <w:t>A Kinross reutiliza cerca de 85% da água usada no seu processo. A quantidade adicional captada, vem da Bacia São Pedro, portanto, fonte diferente do abastecimento da cidade de Paracatu, que é feito através da Bacia Santa Izabel.</w:t>
      </w:r>
    </w:p>
    <w:p w14:paraId="12BB8220" w14:textId="41F4111A" w:rsidR="001915C7" w:rsidRPr="001915C7" w:rsidRDefault="001915C7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1519"/>
        <w:jc w:val="both"/>
        <w:rPr>
          <w:sz w:val="20"/>
          <w:lang w:val="pt-BR"/>
        </w:rPr>
      </w:pPr>
      <w:r w:rsidRPr="001915C7">
        <w:rPr>
          <w:sz w:val="20"/>
          <w:lang w:val="pt-BR"/>
        </w:rPr>
        <w:t>.</w:t>
      </w:r>
    </w:p>
    <w:p w14:paraId="3E7BBB0D" w14:textId="77777777" w:rsidR="001915C7" w:rsidRPr="0030605C" w:rsidRDefault="001915C7" w:rsidP="00CE3B7E">
      <w:pPr>
        <w:tabs>
          <w:tab w:val="left" w:pos="10206"/>
        </w:tabs>
        <w:jc w:val="both"/>
        <w:rPr>
          <w:sz w:val="20"/>
          <w:lang w:val="pt-BR"/>
        </w:rPr>
      </w:pPr>
    </w:p>
    <w:p w14:paraId="2BC3A8C2" w14:textId="4B40D86E" w:rsidR="001915C7" w:rsidRPr="001915C7" w:rsidRDefault="001915C7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937"/>
        <w:jc w:val="both"/>
        <w:rPr>
          <w:sz w:val="20"/>
          <w:lang w:val="pt-BR"/>
        </w:rPr>
      </w:pPr>
      <w:r w:rsidRPr="001915C7">
        <w:rPr>
          <w:sz w:val="20"/>
          <w:lang w:val="pt-BR"/>
        </w:rPr>
        <w:t xml:space="preserve">Todos os usuários de água foram afetados pela seca plurianual em Paracatu e </w:t>
      </w:r>
      <w:r w:rsidR="00D7091E">
        <w:rPr>
          <w:sz w:val="20"/>
          <w:lang w:val="pt-BR"/>
        </w:rPr>
        <w:t>sua</w:t>
      </w:r>
      <w:r w:rsidRPr="001915C7">
        <w:rPr>
          <w:sz w:val="20"/>
          <w:lang w:val="pt-BR"/>
        </w:rPr>
        <w:t xml:space="preserve"> área circundante. </w:t>
      </w:r>
      <w:r w:rsidR="00D7091E">
        <w:rPr>
          <w:sz w:val="20"/>
          <w:lang w:val="pt-BR"/>
        </w:rPr>
        <w:t xml:space="preserve">A </w:t>
      </w:r>
      <w:r w:rsidRPr="001915C7">
        <w:rPr>
          <w:sz w:val="20"/>
          <w:lang w:val="pt-BR"/>
        </w:rPr>
        <w:t>Kinross trabalhou</w:t>
      </w:r>
      <w:r w:rsidR="00D7091E">
        <w:rPr>
          <w:sz w:val="20"/>
          <w:lang w:val="pt-BR"/>
        </w:rPr>
        <w:t>,</w:t>
      </w:r>
      <w:r w:rsidRPr="001915C7">
        <w:rPr>
          <w:sz w:val="20"/>
          <w:lang w:val="pt-BR"/>
        </w:rPr>
        <w:t xml:space="preserve"> em coordenação com as autoridades locais</w:t>
      </w:r>
      <w:r w:rsidR="00D7091E">
        <w:rPr>
          <w:sz w:val="20"/>
          <w:lang w:val="pt-BR"/>
        </w:rPr>
        <w:t>,</w:t>
      </w:r>
      <w:r w:rsidRPr="001915C7">
        <w:rPr>
          <w:sz w:val="20"/>
          <w:lang w:val="pt-BR"/>
        </w:rPr>
        <w:t xml:space="preserve"> para prestar apoio às comunidades afetadas perto do </w:t>
      </w:r>
      <w:r w:rsidR="00D7091E">
        <w:rPr>
          <w:sz w:val="20"/>
          <w:lang w:val="pt-BR"/>
        </w:rPr>
        <w:t>local</w:t>
      </w:r>
      <w:r w:rsidRPr="001915C7">
        <w:rPr>
          <w:sz w:val="20"/>
          <w:lang w:val="pt-BR"/>
        </w:rPr>
        <w:t xml:space="preserve"> da mina através do uso de caminhões de água da </w:t>
      </w:r>
      <w:r w:rsidR="00C3219B">
        <w:rPr>
          <w:sz w:val="20"/>
          <w:lang w:val="pt-BR"/>
        </w:rPr>
        <w:t>e</w:t>
      </w:r>
      <w:r w:rsidR="00D7091E">
        <w:rPr>
          <w:sz w:val="20"/>
          <w:lang w:val="pt-BR"/>
        </w:rPr>
        <w:t>mpresa</w:t>
      </w:r>
      <w:r w:rsidRPr="001915C7">
        <w:rPr>
          <w:sz w:val="20"/>
          <w:lang w:val="pt-BR"/>
        </w:rPr>
        <w:t xml:space="preserve"> e fornecimento de água para </w:t>
      </w:r>
      <w:r w:rsidR="00C3219B">
        <w:rPr>
          <w:sz w:val="20"/>
          <w:lang w:val="pt-BR"/>
        </w:rPr>
        <w:t xml:space="preserve">a </w:t>
      </w:r>
      <w:r w:rsidRPr="001915C7">
        <w:rPr>
          <w:sz w:val="20"/>
          <w:lang w:val="pt-BR"/>
        </w:rPr>
        <w:t>Copasa.</w:t>
      </w:r>
    </w:p>
    <w:p w14:paraId="0C2DD573" w14:textId="77777777" w:rsidR="001915C7" w:rsidRPr="0030605C" w:rsidRDefault="001915C7" w:rsidP="00CE3B7E">
      <w:pPr>
        <w:tabs>
          <w:tab w:val="left" w:pos="10206"/>
        </w:tabs>
        <w:jc w:val="both"/>
        <w:rPr>
          <w:sz w:val="20"/>
          <w:lang w:val="pt-BR"/>
        </w:rPr>
      </w:pPr>
    </w:p>
    <w:p w14:paraId="55624E61" w14:textId="77777777" w:rsidR="001915C7" w:rsidRDefault="007872A0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861"/>
        <w:jc w:val="both"/>
        <w:rPr>
          <w:sz w:val="20"/>
        </w:rPr>
      </w:pPr>
      <w:r w:rsidRPr="007872A0">
        <w:rPr>
          <w:sz w:val="20"/>
          <w:lang w:val="pt-BR"/>
        </w:rPr>
        <w:t>A</w:t>
      </w:r>
      <w:r w:rsidR="001915C7" w:rsidRPr="00D7091E">
        <w:rPr>
          <w:sz w:val="20"/>
          <w:lang w:val="pt-BR"/>
        </w:rPr>
        <w:t xml:space="preserve"> Kinross também realizou esforços extensivos para proteger as fontes, restaurar os fluxos e, de outra forma, remediar a poluição da água em torno da mina Morro do Ouro, resultante de décadas de </w:t>
      </w:r>
      <w:r w:rsidR="00D7091E">
        <w:rPr>
          <w:sz w:val="20"/>
          <w:lang w:val="pt-BR"/>
        </w:rPr>
        <w:t>atividade garimpeira</w:t>
      </w:r>
      <w:r w:rsidR="001915C7" w:rsidRPr="00D7091E">
        <w:rPr>
          <w:sz w:val="20"/>
          <w:lang w:val="pt-BR"/>
        </w:rPr>
        <w:t xml:space="preserve"> descontrolada</w:t>
      </w:r>
      <w:r w:rsidR="00D7091E">
        <w:rPr>
          <w:sz w:val="20"/>
          <w:lang w:val="pt-BR"/>
        </w:rPr>
        <w:t>,</w:t>
      </w:r>
      <w:r w:rsidR="001915C7" w:rsidRPr="00D7091E">
        <w:rPr>
          <w:sz w:val="20"/>
          <w:lang w:val="pt-BR"/>
        </w:rPr>
        <w:t xml:space="preserve"> antes da proibição em 1989. Desde que nossas operações começaram, houve uma melhoria significativa na qualidade da água corrente em toda a mina, devido aos nossos controles ambientais e esforços para recuperar os danos e poluição causados pelos garimpeiros. Este trabalho foi reconhecido em um prêmio de recuperação ambiental em 2015. </w:t>
      </w:r>
      <w:r w:rsidR="001915C7" w:rsidRPr="001915C7">
        <w:rPr>
          <w:sz w:val="20"/>
        </w:rPr>
        <w:t>(http://paracatu.net/view/1481-kinross-recebe-selo- benchmarking).</w:t>
      </w:r>
    </w:p>
    <w:p w14:paraId="3765C285" w14:textId="77777777" w:rsidR="00D01DEC" w:rsidRDefault="00D01DEC" w:rsidP="00CE3B7E">
      <w:pPr>
        <w:tabs>
          <w:tab w:val="left" w:pos="10206"/>
        </w:tabs>
        <w:jc w:val="both"/>
        <w:rPr>
          <w:sz w:val="20"/>
        </w:rPr>
        <w:sectPr w:rsidR="00D01DEC">
          <w:pgSz w:w="12240" w:h="15840"/>
          <w:pgMar w:top="1120" w:right="300" w:bottom="760" w:left="360" w:header="450" w:footer="573" w:gutter="0"/>
          <w:cols w:space="720"/>
        </w:sectPr>
      </w:pPr>
    </w:p>
    <w:p w14:paraId="55E435A4" w14:textId="77777777" w:rsidR="00D01DEC" w:rsidRDefault="00D01DEC" w:rsidP="00CE3B7E">
      <w:pPr>
        <w:pStyle w:val="BodyText"/>
        <w:tabs>
          <w:tab w:val="left" w:pos="10206"/>
        </w:tabs>
        <w:spacing w:before="7"/>
        <w:jc w:val="both"/>
        <w:rPr>
          <w:sz w:val="29"/>
        </w:rPr>
      </w:pPr>
    </w:p>
    <w:p w14:paraId="2EEABFCD" w14:textId="11BBC077" w:rsidR="00D01DEC" w:rsidRPr="00E00969" w:rsidRDefault="00FB1672" w:rsidP="00FB1672">
      <w:pPr>
        <w:pStyle w:val="Heading1"/>
        <w:tabs>
          <w:tab w:val="left" w:pos="10206"/>
        </w:tabs>
        <w:spacing w:before="92"/>
        <w:rPr>
          <w:lang w:val="pt-BR"/>
        </w:rPr>
      </w:pPr>
      <w:r>
        <w:rPr>
          <w:lang w:val="pt-BR"/>
        </w:rPr>
        <w:t xml:space="preserve">            </w:t>
      </w:r>
      <w:r w:rsidR="00E00969" w:rsidRPr="00E00969">
        <w:rPr>
          <w:lang w:val="pt-BR"/>
        </w:rPr>
        <w:t xml:space="preserve">Poeira, Barulho, Vibrações </w:t>
      </w:r>
    </w:p>
    <w:p w14:paraId="7ECCF289" w14:textId="77777777" w:rsidR="007D07DC" w:rsidRPr="00144563" w:rsidRDefault="007D07DC" w:rsidP="00CE3B7E">
      <w:pPr>
        <w:tabs>
          <w:tab w:val="left" w:pos="1666"/>
          <w:tab w:val="left" w:pos="1667"/>
          <w:tab w:val="left" w:pos="10206"/>
        </w:tabs>
        <w:ind w:right="803"/>
        <w:jc w:val="both"/>
        <w:rPr>
          <w:sz w:val="20"/>
          <w:lang w:val="pt-BR"/>
        </w:rPr>
      </w:pPr>
    </w:p>
    <w:p w14:paraId="1E183000" w14:textId="34C065FA" w:rsidR="001933FB" w:rsidRPr="007D07DC" w:rsidRDefault="00524DE5" w:rsidP="001933FB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1039"/>
        <w:jc w:val="both"/>
        <w:rPr>
          <w:sz w:val="20"/>
          <w:lang w:val="pt-BR"/>
        </w:rPr>
      </w:pPr>
      <w:r w:rsidRPr="001933FB">
        <w:rPr>
          <w:sz w:val="20"/>
          <w:lang w:val="pt-BR"/>
        </w:rPr>
        <w:t>Paracatu foi fundada</w:t>
      </w:r>
      <w:r w:rsidR="007D07DC" w:rsidRPr="001933FB">
        <w:rPr>
          <w:sz w:val="20"/>
          <w:lang w:val="pt-BR"/>
        </w:rPr>
        <w:t xml:space="preserve"> </w:t>
      </w:r>
      <w:r w:rsidRPr="001933FB">
        <w:rPr>
          <w:sz w:val="20"/>
          <w:lang w:val="pt-BR"/>
        </w:rPr>
        <w:t>originariamente</w:t>
      </w:r>
      <w:r w:rsidR="007D07DC" w:rsidRPr="001933FB">
        <w:rPr>
          <w:sz w:val="20"/>
          <w:lang w:val="pt-BR"/>
        </w:rPr>
        <w:t xml:space="preserve"> quando o ouro foi descoberto no século </w:t>
      </w:r>
      <w:r w:rsidRPr="001933FB">
        <w:rPr>
          <w:sz w:val="20"/>
          <w:lang w:val="pt-BR"/>
        </w:rPr>
        <w:t>XVIII</w:t>
      </w:r>
      <w:r w:rsidR="007D07DC" w:rsidRPr="001933FB">
        <w:rPr>
          <w:sz w:val="20"/>
          <w:lang w:val="pt-BR"/>
        </w:rPr>
        <w:t xml:space="preserve">, e como tal, a cidade </w:t>
      </w:r>
      <w:r w:rsidRPr="001933FB">
        <w:rPr>
          <w:sz w:val="20"/>
          <w:lang w:val="pt-BR"/>
        </w:rPr>
        <w:t>cresceu</w:t>
      </w:r>
      <w:r w:rsidR="007D07DC" w:rsidRPr="001933FB">
        <w:rPr>
          <w:sz w:val="20"/>
          <w:lang w:val="pt-BR"/>
        </w:rPr>
        <w:t xml:space="preserve"> diretamente sobre </w:t>
      </w:r>
      <w:r w:rsidR="007D07DC" w:rsidRPr="0030605C">
        <w:rPr>
          <w:sz w:val="20"/>
          <w:lang w:val="pt-BR"/>
        </w:rPr>
        <w:t>o depósito</w:t>
      </w:r>
      <w:r w:rsidR="001933FB" w:rsidRPr="001933FB">
        <w:rPr>
          <w:sz w:val="20"/>
          <w:lang w:val="pt-BR"/>
        </w:rPr>
        <w:t xml:space="preserve"> de minério</w:t>
      </w:r>
      <w:r w:rsidR="007D07DC" w:rsidRPr="001933FB">
        <w:rPr>
          <w:sz w:val="20"/>
          <w:lang w:val="pt-BR"/>
        </w:rPr>
        <w:t xml:space="preserve">. Com o advento das modernas técnicas de mineração, houve mudanças drásticas na qualidade da água em toda a área, o uso descontrolado de substâncias tóxicas, como o mercúrio, foi eliminado e a cidade conseguiu crescer e diversificar sua base econômica. A proximidade da cidade com a mina, no entanto, cria desafios específicos. </w:t>
      </w:r>
      <w:r w:rsidR="00176325" w:rsidRPr="00EF0807">
        <w:rPr>
          <w:sz w:val="20"/>
          <w:lang w:val="pt-BR"/>
        </w:rPr>
        <w:t xml:space="preserve">A </w:t>
      </w:r>
      <w:r w:rsidR="007D07DC" w:rsidRPr="00EF0807">
        <w:rPr>
          <w:sz w:val="20"/>
          <w:lang w:val="pt-BR"/>
        </w:rPr>
        <w:t xml:space="preserve">Kinross leva </w:t>
      </w:r>
      <w:r w:rsidR="00176325" w:rsidRPr="00EF0807">
        <w:rPr>
          <w:sz w:val="20"/>
          <w:lang w:val="pt-BR"/>
        </w:rPr>
        <w:t>essa questão</w:t>
      </w:r>
      <w:r w:rsidR="007D07DC" w:rsidRPr="001933FB">
        <w:rPr>
          <w:sz w:val="20"/>
          <w:lang w:val="pt-BR"/>
        </w:rPr>
        <w:t xml:space="preserve"> muito a sério e tem sido muito transpare</w:t>
      </w:r>
      <w:r w:rsidR="00176325" w:rsidRPr="001933FB">
        <w:rPr>
          <w:sz w:val="20"/>
          <w:lang w:val="pt-BR"/>
        </w:rPr>
        <w:t>nte sobre as medidas que toma</w:t>
      </w:r>
      <w:r w:rsidR="007D07DC" w:rsidRPr="001933FB">
        <w:rPr>
          <w:sz w:val="20"/>
          <w:lang w:val="pt-BR"/>
        </w:rPr>
        <w:t xml:space="preserve">, em conjunto com a comunidade, para abordar </w:t>
      </w:r>
      <w:r w:rsidR="00176325" w:rsidRPr="001933FB">
        <w:rPr>
          <w:sz w:val="20"/>
          <w:lang w:val="pt-BR"/>
        </w:rPr>
        <w:t xml:space="preserve">estas </w:t>
      </w:r>
      <w:r w:rsidR="007D07DC" w:rsidRPr="001933FB">
        <w:rPr>
          <w:sz w:val="20"/>
          <w:lang w:val="pt-BR"/>
        </w:rPr>
        <w:t xml:space="preserve">questões. Isso inclui o monitoramento </w:t>
      </w:r>
      <w:r w:rsidR="00176325" w:rsidRPr="001933FB">
        <w:rPr>
          <w:sz w:val="20"/>
          <w:lang w:val="pt-BR"/>
        </w:rPr>
        <w:t>comunitário</w:t>
      </w:r>
      <w:r w:rsidR="007D07DC" w:rsidRPr="001933FB">
        <w:rPr>
          <w:sz w:val="20"/>
          <w:lang w:val="pt-BR"/>
        </w:rPr>
        <w:t xml:space="preserve">, que é considerado globalmente como </w:t>
      </w:r>
      <w:r w:rsidR="001933FB">
        <w:rPr>
          <w:sz w:val="20"/>
          <w:lang w:val="pt-BR"/>
        </w:rPr>
        <w:t xml:space="preserve">uma boa prática na construção de relacionamentos sustentáveis. E uma </w:t>
      </w:r>
      <w:r w:rsidR="001933FB" w:rsidRPr="00044225">
        <w:rPr>
          <w:sz w:val="20"/>
          <w:lang w:val="pt-BR"/>
        </w:rPr>
        <w:t xml:space="preserve">linha </w:t>
      </w:r>
      <w:r w:rsidR="001933FB">
        <w:rPr>
          <w:sz w:val="20"/>
          <w:lang w:val="pt-BR"/>
        </w:rPr>
        <w:t>aberta que funciona</w:t>
      </w:r>
      <w:r w:rsidR="001933FB" w:rsidRPr="00044225">
        <w:rPr>
          <w:sz w:val="20"/>
          <w:lang w:val="pt-BR"/>
        </w:rPr>
        <w:t xml:space="preserve"> de 24 horas</w:t>
      </w:r>
      <w:r w:rsidR="001933FB">
        <w:rPr>
          <w:sz w:val="20"/>
          <w:lang w:val="pt-BR"/>
        </w:rPr>
        <w:t xml:space="preserve"> por dia</w:t>
      </w:r>
      <w:r w:rsidR="001933FB" w:rsidRPr="007D07DC">
        <w:rPr>
          <w:sz w:val="20"/>
          <w:lang w:val="pt-BR"/>
        </w:rPr>
        <w:t xml:space="preserve"> e toma </w:t>
      </w:r>
      <w:r w:rsidR="001933FB">
        <w:rPr>
          <w:sz w:val="20"/>
          <w:lang w:val="pt-BR"/>
        </w:rPr>
        <w:t>medidas imediatas quando recebe</w:t>
      </w:r>
      <w:r w:rsidR="001933FB" w:rsidRPr="007D07DC">
        <w:rPr>
          <w:sz w:val="20"/>
          <w:lang w:val="pt-BR"/>
        </w:rPr>
        <w:t xml:space="preserve"> reclamações sobre poeira ou ruído.</w:t>
      </w:r>
    </w:p>
    <w:p w14:paraId="5C5FEACE" w14:textId="16B76C1F" w:rsidR="007D07DC" w:rsidRDefault="001933FB" w:rsidP="0030605C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803"/>
        <w:jc w:val="both"/>
        <w:rPr>
          <w:sz w:val="20"/>
          <w:lang w:val="pt-BR"/>
        </w:rPr>
      </w:pPr>
      <w:r>
        <w:rPr>
          <w:sz w:val="20"/>
          <w:lang w:val="pt-BR"/>
        </w:rPr>
        <w:t xml:space="preserve">Além disso, a empresa tem investido ao longo dos anos nas melhores tecnologias para  controle de ruído, poeira e detonação e mantêm um trabalho integrado entre as áreas de operação, meio ambiente e relacionamento com a comunidade, com o objetivo de minimizar qualquer desconforto que suas operações venham causar. </w:t>
      </w:r>
    </w:p>
    <w:p w14:paraId="15BB95A4" w14:textId="77777777" w:rsidR="001933FB" w:rsidRPr="0030605C" w:rsidRDefault="001933FB" w:rsidP="0030605C">
      <w:pPr>
        <w:tabs>
          <w:tab w:val="left" w:pos="1666"/>
          <w:tab w:val="left" w:pos="1667"/>
          <w:tab w:val="left" w:pos="10206"/>
        </w:tabs>
        <w:ind w:right="803"/>
        <w:jc w:val="both"/>
        <w:rPr>
          <w:sz w:val="20"/>
          <w:lang w:val="pt-BR"/>
        </w:rPr>
      </w:pPr>
    </w:p>
    <w:p w14:paraId="28DEF16E" w14:textId="28F92FA2" w:rsidR="001933FB" w:rsidRPr="0030605C" w:rsidRDefault="00F60C42" w:rsidP="0030605C">
      <w:pPr>
        <w:pStyle w:val="ListParagraph"/>
        <w:rPr>
          <w:sz w:val="20"/>
          <w:lang w:val="pt-BR"/>
        </w:rPr>
      </w:pPr>
      <w:r w:rsidRPr="001933FB">
        <w:rPr>
          <w:sz w:val="20"/>
          <w:lang w:val="pt-BR"/>
        </w:rPr>
        <w:t xml:space="preserve">A </w:t>
      </w:r>
      <w:r w:rsidR="007D07DC" w:rsidRPr="001933FB">
        <w:rPr>
          <w:sz w:val="20"/>
          <w:lang w:val="pt-BR"/>
        </w:rPr>
        <w:t xml:space="preserve">Kinross </w:t>
      </w:r>
      <w:r w:rsidR="001933FB">
        <w:rPr>
          <w:sz w:val="20"/>
          <w:lang w:val="pt-BR"/>
        </w:rPr>
        <w:t>possui estações on line de monitoramento de ar em pontos estratégicos da cidade, como forma de garantir a qualidade do ar.</w:t>
      </w:r>
    </w:p>
    <w:p w14:paraId="42CF60FB" w14:textId="58EADF7B" w:rsidR="001933FB" w:rsidRPr="007D07DC" w:rsidRDefault="001933FB" w:rsidP="00935266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1039"/>
        <w:jc w:val="both"/>
        <w:rPr>
          <w:sz w:val="20"/>
          <w:lang w:val="pt-BR"/>
        </w:rPr>
      </w:pPr>
      <w:r>
        <w:rPr>
          <w:sz w:val="20"/>
          <w:lang w:val="pt-BR"/>
        </w:rPr>
        <w:t xml:space="preserve">A empresa também assegura, através de seus controles de sismografia e ruído, que </w:t>
      </w:r>
      <w:r w:rsidR="00953FE7">
        <w:rPr>
          <w:sz w:val="20"/>
          <w:lang w:val="pt-BR"/>
        </w:rPr>
        <w:t xml:space="preserve">todos os indicadores da sua operação estão muito abaixo dos limites determinados por lei. </w:t>
      </w:r>
    </w:p>
    <w:p w14:paraId="679641B8" w14:textId="41ABF998" w:rsidR="007D07DC" w:rsidRPr="0030605C" w:rsidRDefault="0030605C" w:rsidP="00144563">
      <w:pPr>
        <w:pStyle w:val="Heading1"/>
        <w:tabs>
          <w:tab w:val="left" w:pos="10206"/>
        </w:tabs>
        <w:ind w:left="0"/>
        <w:jc w:val="both"/>
        <w:rPr>
          <w:b w:val="0"/>
          <w:lang w:val="pt-BR"/>
        </w:rPr>
      </w:pPr>
      <w:r>
        <w:rPr>
          <w:b w:val="0"/>
          <w:sz w:val="20"/>
          <w:lang w:val="pt-BR"/>
        </w:rPr>
        <w:t xml:space="preserve">                             </w:t>
      </w:r>
      <w:r w:rsidR="007D07DC" w:rsidRPr="0030605C">
        <w:rPr>
          <w:b w:val="0"/>
          <w:sz w:val="20"/>
          <w:lang w:val="pt-BR"/>
        </w:rPr>
        <w:t xml:space="preserve">Há um conjunto robusto de evidências que mostram que as questões levantadas pelas comunidades são </w:t>
      </w:r>
      <w:r>
        <w:rPr>
          <w:b w:val="0"/>
          <w:sz w:val="20"/>
          <w:lang w:val="pt-BR"/>
        </w:rPr>
        <w:t xml:space="preserve">                                     </w:t>
      </w:r>
      <w:r w:rsidR="007D07DC" w:rsidRPr="0030605C">
        <w:rPr>
          <w:b w:val="0"/>
          <w:sz w:val="20"/>
          <w:lang w:val="pt-BR"/>
        </w:rPr>
        <w:t xml:space="preserve">resolvidas de maneira construtiva e colaborativa. </w:t>
      </w:r>
    </w:p>
    <w:p w14:paraId="0A641560" w14:textId="77777777" w:rsidR="00D01DEC" w:rsidRDefault="007D07DC" w:rsidP="00CE3B7E">
      <w:pPr>
        <w:pStyle w:val="Heading1"/>
        <w:tabs>
          <w:tab w:val="left" w:pos="10206"/>
        </w:tabs>
        <w:jc w:val="both"/>
      </w:pPr>
      <w:r>
        <w:t>Demais afirmações infundadas</w:t>
      </w:r>
    </w:p>
    <w:p w14:paraId="3C94BC12" w14:textId="77777777" w:rsidR="004B7FD7" w:rsidRPr="0007682C" w:rsidRDefault="004B7FD7" w:rsidP="00CE3B7E">
      <w:pPr>
        <w:tabs>
          <w:tab w:val="left" w:pos="1666"/>
          <w:tab w:val="left" w:pos="1667"/>
          <w:tab w:val="left" w:pos="10206"/>
        </w:tabs>
        <w:jc w:val="both"/>
        <w:rPr>
          <w:sz w:val="20"/>
        </w:rPr>
      </w:pPr>
    </w:p>
    <w:p w14:paraId="30FFE139" w14:textId="77777777" w:rsidR="004B7FD7" w:rsidRPr="004B7FD7" w:rsidRDefault="004B7FD7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jc w:val="both"/>
        <w:rPr>
          <w:sz w:val="20"/>
          <w:lang w:val="pt-BR"/>
        </w:rPr>
      </w:pPr>
      <w:r w:rsidRPr="004B7FD7">
        <w:rPr>
          <w:sz w:val="20"/>
          <w:lang w:val="pt-BR"/>
        </w:rPr>
        <w:t xml:space="preserve">Os relatórios da AG-JG </w:t>
      </w:r>
      <w:r w:rsidR="00590039">
        <w:rPr>
          <w:sz w:val="20"/>
          <w:lang w:val="pt-BR"/>
        </w:rPr>
        <w:t>reportam</w:t>
      </w:r>
      <w:r w:rsidRPr="004B7FD7">
        <w:rPr>
          <w:sz w:val="20"/>
          <w:lang w:val="pt-BR"/>
        </w:rPr>
        <w:t xml:space="preserve"> uma ação judicial contra </w:t>
      </w:r>
      <w:r w:rsidR="007872A0">
        <w:rPr>
          <w:sz w:val="20"/>
          <w:lang w:val="pt-BR"/>
        </w:rPr>
        <w:t xml:space="preserve">a </w:t>
      </w:r>
      <w:r w:rsidRPr="004B7FD7">
        <w:rPr>
          <w:sz w:val="20"/>
          <w:lang w:val="pt-BR"/>
        </w:rPr>
        <w:t xml:space="preserve">Kinross </w:t>
      </w:r>
      <w:r w:rsidR="00590039">
        <w:rPr>
          <w:sz w:val="20"/>
          <w:lang w:val="pt-BR"/>
        </w:rPr>
        <w:t>ajuizada pelas</w:t>
      </w:r>
      <w:r w:rsidRPr="004B7FD7">
        <w:rPr>
          <w:sz w:val="20"/>
          <w:lang w:val="pt-BR"/>
        </w:rPr>
        <w:t xml:space="preserve"> autoridades federais </w:t>
      </w:r>
      <w:r w:rsidR="00590039">
        <w:rPr>
          <w:sz w:val="20"/>
          <w:lang w:val="pt-BR"/>
        </w:rPr>
        <w:t>em relação</w:t>
      </w:r>
      <w:r w:rsidRPr="004B7FD7">
        <w:rPr>
          <w:sz w:val="20"/>
          <w:lang w:val="pt-BR"/>
        </w:rPr>
        <w:t xml:space="preserve"> ao pagamento de royalties sobre o subproduto de prata. Observamos que os tribunais d</w:t>
      </w:r>
      <w:r w:rsidR="007872A0">
        <w:rPr>
          <w:sz w:val="20"/>
          <w:lang w:val="pt-BR"/>
        </w:rPr>
        <w:t>ecidiram recentemente a favor da</w:t>
      </w:r>
      <w:r w:rsidRPr="004B7FD7">
        <w:rPr>
          <w:sz w:val="20"/>
          <w:lang w:val="pt-BR"/>
        </w:rPr>
        <w:t xml:space="preserve"> Kinross nesta questão.</w:t>
      </w:r>
    </w:p>
    <w:p w14:paraId="637003A6" w14:textId="77777777" w:rsidR="00D01DEC" w:rsidRPr="004B7FD7" w:rsidRDefault="00D01DEC" w:rsidP="00CE3B7E">
      <w:pPr>
        <w:pStyle w:val="BodyText"/>
        <w:tabs>
          <w:tab w:val="left" w:pos="10206"/>
        </w:tabs>
        <w:jc w:val="both"/>
        <w:rPr>
          <w:sz w:val="22"/>
          <w:lang w:val="pt-BR"/>
        </w:rPr>
      </w:pPr>
    </w:p>
    <w:p w14:paraId="5B48DD22" w14:textId="77777777" w:rsidR="004B7FD7" w:rsidRPr="007872A0" w:rsidRDefault="004B7FD7" w:rsidP="00CE3B7E">
      <w:pPr>
        <w:pStyle w:val="Heading2"/>
        <w:tabs>
          <w:tab w:val="left" w:pos="10206"/>
        </w:tabs>
        <w:ind w:left="0" w:right="812"/>
        <w:jc w:val="both"/>
        <w:rPr>
          <w:lang w:val="pt-BR"/>
        </w:rPr>
      </w:pPr>
    </w:p>
    <w:p w14:paraId="7406426E" w14:textId="06875735" w:rsidR="00D01DEC" w:rsidRPr="004B7FD7" w:rsidRDefault="00EF0807" w:rsidP="00CE3B7E">
      <w:pPr>
        <w:pStyle w:val="BodyText"/>
        <w:tabs>
          <w:tab w:val="left" w:pos="10206"/>
        </w:tabs>
        <w:jc w:val="both"/>
        <w:rPr>
          <w:b/>
          <w:sz w:val="22"/>
          <w:lang w:val="pt-BR"/>
        </w:rPr>
      </w:pPr>
      <w:r>
        <w:rPr>
          <w:lang w:val="pt-BR"/>
        </w:rPr>
        <w:t>Também é</w:t>
      </w:r>
      <w:r w:rsidR="004B7FD7" w:rsidRPr="004B7FD7">
        <w:rPr>
          <w:lang w:val="pt-BR"/>
        </w:rPr>
        <w:t xml:space="preserve"> importante destacar</w:t>
      </w:r>
      <w:r w:rsidR="0030605C">
        <w:rPr>
          <w:lang w:val="pt-BR"/>
        </w:rPr>
        <w:t xml:space="preserve"> </w:t>
      </w:r>
      <w:r>
        <w:rPr>
          <w:lang w:val="pt-BR"/>
        </w:rPr>
        <w:t>alguns dos resultados do trabalho conjunto que desenvolvemos na cidade de Paracatu, através da nossa política de responsabilidade corporativa</w:t>
      </w:r>
    </w:p>
    <w:p w14:paraId="256C914A" w14:textId="77777777" w:rsidR="00CC4899" w:rsidRPr="0030605C" w:rsidRDefault="00CC4899" w:rsidP="00CE3B7E">
      <w:pPr>
        <w:tabs>
          <w:tab w:val="left" w:pos="1666"/>
          <w:tab w:val="left" w:pos="1667"/>
          <w:tab w:val="left" w:pos="10206"/>
        </w:tabs>
        <w:ind w:right="961"/>
        <w:jc w:val="both"/>
        <w:rPr>
          <w:sz w:val="20"/>
          <w:lang w:val="pt-BR"/>
        </w:rPr>
      </w:pPr>
    </w:p>
    <w:p w14:paraId="510E9D92" w14:textId="77777777" w:rsidR="00CC4899" w:rsidRPr="00B34A9D" w:rsidRDefault="00CC4899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961"/>
        <w:jc w:val="both"/>
        <w:rPr>
          <w:sz w:val="20"/>
          <w:lang w:val="pt-BR"/>
        </w:rPr>
      </w:pPr>
      <w:r w:rsidRPr="00B34A9D">
        <w:rPr>
          <w:sz w:val="20"/>
          <w:lang w:val="pt-BR"/>
        </w:rPr>
        <w:t xml:space="preserve">Embora existam múltiplos contribuintes para o equilíbrio econômico de Paracatu, à exemplo do agronegócio e da educação, acreditamos que as colaborações da mina Morro do Ouro, incluindo salários e benefícios, compras locais e impostos, </w:t>
      </w:r>
      <w:r>
        <w:rPr>
          <w:sz w:val="20"/>
          <w:lang w:val="pt-BR"/>
        </w:rPr>
        <w:t>tem sido</w:t>
      </w:r>
      <w:r w:rsidRPr="00B34A9D">
        <w:rPr>
          <w:sz w:val="20"/>
          <w:lang w:val="pt-BR"/>
        </w:rPr>
        <w:t xml:space="preserve"> </w:t>
      </w:r>
      <w:r>
        <w:rPr>
          <w:sz w:val="20"/>
          <w:lang w:val="pt-BR"/>
        </w:rPr>
        <w:t>favoráveis</w:t>
      </w:r>
      <w:r w:rsidRPr="00B34A9D">
        <w:rPr>
          <w:sz w:val="20"/>
          <w:lang w:val="pt-BR"/>
        </w:rPr>
        <w:t xml:space="preserve"> para o desenvolvimento da cidade.</w:t>
      </w:r>
    </w:p>
    <w:p w14:paraId="38BFD423" w14:textId="77777777" w:rsidR="00CC4899" w:rsidRPr="0030605C" w:rsidRDefault="00CC4899" w:rsidP="00CE3B7E">
      <w:pPr>
        <w:tabs>
          <w:tab w:val="left" w:pos="10206"/>
        </w:tabs>
        <w:jc w:val="both"/>
        <w:rPr>
          <w:sz w:val="20"/>
          <w:lang w:val="pt-BR"/>
        </w:rPr>
      </w:pPr>
    </w:p>
    <w:p w14:paraId="323A2459" w14:textId="77777777" w:rsidR="00CC4899" w:rsidRPr="007157EB" w:rsidRDefault="00CC4899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spacing w:before="1"/>
        <w:ind w:right="916"/>
        <w:jc w:val="both"/>
        <w:rPr>
          <w:sz w:val="20"/>
          <w:lang w:val="pt-BR"/>
        </w:rPr>
      </w:pPr>
      <w:r>
        <w:rPr>
          <w:sz w:val="20"/>
          <w:lang w:val="pt-BR"/>
        </w:rPr>
        <w:t xml:space="preserve">Em </w:t>
      </w:r>
      <w:r w:rsidRPr="00E66D74">
        <w:rPr>
          <w:sz w:val="20"/>
          <w:lang w:val="pt-BR"/>
        </w:rPr>
        <w:t>nível municipal, os dados do Índice de Desenvolvimento Humano</w:t>
      </w:r>
      <w:r>
        <w:rPr>
          <w:sz w:val="20"/>
          <w:lang w:val="pt-BR"/>
        </w:rPr>
        <w:t xml:space="preserve"> (IDH) revelam que, desde 1990, </w:t>
      </w:r>
      <w:r w:rsidRPr="00E66D74">
        <w:rPr>
          <w:sz w:val="20"/>
          <w:lang w:val="pt-BR"/>
        </w:rPr>
        <w:t>quando a mineração moderna começou em Paracatu, a cidade avançou mais rapidamente do que o</w:t>
      </w:r>
      <w:r>
        <w:rPr>
          <w:sz w:val="20"/>
          <w:lang w:val="pt-BR"/>
        </w:rPr>
        <w:t xml:space="preserve"> próprio país e o E</w:t>
      </w:r>
      <w:r w:rsidRPr="00E66D74">
        <w:rPr>
          <w:sz w:val="20"/>
          <w:lang w:val="pt-BR"/>
        </w:rPr>
        <w:t>stado de Minas Gerais, onde é localizada.</w:t>
      </w:r>
    </w:p>
    <w:p w14:paraId="7B9137CE" w14:textId="77777777" w:rsidR="00CC4899" w:rsidRPr="0030605C" w:rsidRDefault="00CC4899" w:rsidP="00CE3B7E">
      <w:pPr>
        <w:tabs>
          <w:tab w:val="left" w:pos="1666"/>
          <w:tab w:val="left" w:pos="1667"/>
          <w:tab w:val="left" w:pos="10206"/>
        </w:tabs>
        <w:ind w:right="783"/>
        <w:jc w:val="both"/>
        <w:rPr>
          <w:sz w:val="20"/>
          <w:lang w:val="pt-BR"/>
        </w:rPr>
      </w:pPr>
    </w:p>
    <w:p w14:paraId="3FA94F89" w14:textId="1E8B34F7" w:rsidR="00CC4899" w:rsidRPr="008B2FA6" w:rsidRDefault="00CC4899" w:rsidP="008B2FA6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783"/>
        <w:jc w:val="both"/>
        <w:rPr>
          <w:sz w:val="20"/>
          <w:lang w:val="pt-BR"/>
        </w:rPr>
        <w:sectPr w:rsidR="00CC4899" w:rsidRPr="008B2FA6">
          <w:pgSz w:w="12240" w:h="15840"/>
          <w:pgMar w:top="1120" w:right="300" w:bottom="760" w:left="360" w:header="450" w:footer="573" w:gutter="0"/>
          <w:cols w:space="720"/>
        </w:sectPr>
      </w:pPr>
      <w:r w:rsidRPr="008B2FA6">
        <w:rPr>
          <w:sz w:val="20"/>
          <w:lang w:val="pt-BR"/>
        </w:rPr>
        <w:t>Como resultado desta melhoria, a cidade de Paracatu atualmente está classificada acima das médias nacionais e estaduais em alguns dos principais indicadores sociais.</w:t>
      </w:r>
      <w:r w:rsidR="008B2FA6" w:rsidRPr="008B2FA6">
        <w:rPr>
          <w:sz w:val="20"/>
          <w:lang w:val="pt-BR"/>
        </w:rPr>
        <w:t xml:space="preserve"> Veja qua</w:t>
      </w:r>
      <w:r w:rsidR="008B2FA6">
        <w:rPr>
          <w:sz w:val="20"/>
          <w:lang w:val="pt-BR"/>
        </w:rPr>
        <w:t>dr</w:t>
      </w:r>
      <w:r w:rsidR="008B2FA6" w:rsidRPr="008B2FA6">
        <w:rPr>
          <w:sz w:val="20"/>
          <w:lang w:val="pt-BR"/>
        </w:rPr>
        <w:t>o abaixo:</w:t>
      </w:r>
    </w:p>
    <w:tbl>
      <w:tblPr>
        <w:tblStyle w:val="GridTable2Accent2"/>
        <w:tblpPr w:leftFromText="141" w:rightFromText="141" w:vertAnchor="page" w:horzAnchor="page" w:tblpX="2470" w:tblpY="1085"/>
        <w:tblW w:w="0" w:type="auto"/>
        <w:tblLook w:val="04A0" w:firstRow="1" w:lastRow="0" w:firstColumn="1" w:lastColumn="0" w:noHBand="0" w:noVBand="1"/>
      </w:tblPr>
      <w:tblGrid>
        <w:gridCol w:w="3696"/>
        <w:gridCol w:w="1638"/>
        <w:gridCol w:w="913"/>
        <w:gridCol w:w="1467"/>
      </w:tblGrid>
      <w:tr w:rsidR="00CC4899" w:rsidRPr="00EE68FF" w14:paraId="046C679D" w14:textId="77777777" w:rsidTr="00076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tcBorders>
              <w:bottom w:val="nil"/>
            </w:tcBorders>
            <w:shd w:val="clear" w:color="auto" w:fill="FDE9D9" w:themeFill="accent6" w:themeFillTint="33"/>
          </w:tcPr>
          <w:p w14:paraId="5D5D1EDF" w14:textId="77777777" w:rsidR="00CC4899" w:rsidRPr="00EF5C71" w:rsidRDefault="00CC4899" w:rsidP="00CE3B7E">
            <w:pPr>
              <w:tabs>
                <w:tab w:val="left" w:pos="10206"/>
              </w:tabs>
              <w:jc w:val="both"/>
              <w:rPr>
                <w:sz w:val="20"/>
                <w:szCs w:val="20"/>
              </w:rPr>
            </w:pPr>
          </w:p>
          <w:p w14:paraId="587644A0" w14:textId="77777777" w:rsidR="00CC4899" w:rsidRPr="00EF5C71" w:rsidRDefault="00CC4899" w:rsidP="00CE3B7E">
            <w:pPr>
              <w:tabs>
                <w:tab w:val="left" w:pos="10206"/>
              </w:tabs>
              <w:jc w:val="both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DADOS 2010</w:t>
            </w:r>
          </w:p>
        </w:tc>
        <w:tc>
          <w:tcPr>
            <w:tcW w:w="1638" w:type="dxa"/>
            <w:tcBorders>
              <w:bottom w:val="nil"/>
            </w:tcBorders>
            <w:shd w:val="clear" w:color="auto" w:fill="FDE9D9" w:themeFill="accent6" w:themeFillTint="33"/>
          </w:tcPr>
          <w:p w14:paraId="4C339261" w14:textId="77777777" w:rsidR="00CC4899" w:rsidRPr="00EF5C71" w:rsidRDefault="00CC4899" w:rsidP="00CE3B7E">
            <w:pPr>
              <w:tabs>
                <w:tab w:val="left" w:pos="1020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DE9D9" w:themeFill="accent6" w:themeFillTint="33"/>
          </w:tcPr>
          <w:p w14:paraId="71836E6C" w14:textId="77777777" w:rsidR="00CC4899" w:rsidRPr="00EF5C71" w:rsidRDefault="00CC4899" w:rsidP="00CE3B7E">
            <w:pPr>
              <w:tabs>
                <w:tab w:val="left" w:pos="1020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bottom w:val="nil"/>
            </w:tcBorders>
            <w:shd w:val="clear" w:color="auto" w:fill="FDE9D9" w:themeFill="accent6" w:themeFillTint="33"/>
          </w:tcPr>
          <w:p w14:paraId="5A30279C" w14:textId="77777777" w:rsidR="00CC4899" w:rsidRPr="00EF5C71" w:rsidRDefault="00CC4899" w:rsidP="00CE3B7E">
            <w:pPr>
              <w:tabs>
                <w:tab w:val="left" w:pos="1020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C4899" w:rsidRPr="00EE68FF" w14:paraId="3D7B74AA" w14:textId="77777777" w:rsidTr="0007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DCFA0A4" w14:textId="77777777" w:rsidR="00CC4899" w:rsidRPr="00EF5C71" w:rsidRDefault="00CC4899" w:rsidP="00CE3B7E">
            <w:pPr>
              <w:tabs>
                <w:tab w:val="left" w:pos="1020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1528CAB" w14:textId="77777777" w:rsidR="00CC4899" w:rsidRPr="00EF5C71" w:rsidRDefault="00CC4899" w:rsidP="00CE3B7E">
            <w:pPr>
              <w:tabs>
                <w:tab w:val="left" w:pos="1020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79646" w:themeColor="accent6"/>
                <w:sz w:val="20"/>
                <w:szCs w:val="20"/>
              </w:rPr>
            </w:pPr>
            <w:r w:rsidRPr="00EF5C71">
              <w:rPr>
                <w:b/>
                <w:color w:val="F79646" w:themeColor="accent6"/>
                <w:sz w:val="20"/>
                <w:szCs w:val="20"/>
              </w:rPr>
              <w:t>Paracatu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6EB54D6" w14:textId="77777777" w:rsidR="00CC4899" w:rsidRPr="00EF5C71" w:rsidRDefault="00CC4899" w:rsidP="00CE3B7E">
            <w:pPr>
              <w:tabs>
                <w:tab w:val="left" w:pos="1020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79646" w:themeColor="accent6"/>
                <w:sz w:val="20"/>
                <w:szCs w:val="20"/>
              </w:rPr>
            </w:pPr>
            <w:r w:rsidRPr="00EF5C71">
              <w:rPr>
                <w:b/>
                <w:color w:val="F79646" w:themeColor="accent6"/>
                <w:sz w:val="20"/>
                <w:szCs w:val="20"/>
              </w:rPr>
              <w:t>Brasil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D2271FA" w14:textId="77777777" w:rsidR="00CC4899" w:rsidRPr="00EF5C71" w:rsidRDefault="00CC4899" w:rsidP="00CE3B7E">
            <w:pPr>
              <w:tabs>
                <w:tab w:val="left" w:pos="1020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79646" w:themeColor="accent6"/>
                <w:sz w:val="20"/>
                <w:szCs w:val="20"/>
              </w:rPr>
            </w:pPr>
            <w:r w:rsidRPr="00EF5C71">
              <w:rPr>
                <w:b/>
                <w:color w:val="F79646" w:themeColor="accent6"/>
                <w:sz w:val="20"/>
                <w:szCs w:val="20"/>
              </w:rPr>
              <w:t>Minas Gerais</w:t>
            </w:r>
          </w:p>
        </w:tc>
      </w:tr>
      <w:tr w:rsidR="00CC4899" w:rsidRPr="00EE68FF" w14:paraId="66D24CE2" w14:textId="77777777" w:rsidTr="0007682C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tcBorders>
              <w:top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14:paraId="4437665D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rPr>
                <w:b w:val="0"/>
                <w:sz w:val="20"/>
                <w:szCs w:val="20"/>
              </w:rPr>
            </w:pPr>
          </w:p>
          <w:p w14:paraId="1C5ED800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F5C71">
              <w:rPr>
                <w:b w:val="0"/>
                <w:sz w:val="20"/>
                <w:szCs w:val="20"/>
              </w:rPr>
              <w:t>Mortalidade Infantil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D914626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93D0AF4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13.5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45DA02E4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7ADACE8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16.7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</w:tcBorders>
            <w:shd w:val="clear" w:color="auto" w:fill="FDE9D9" w:themeFill="accent6" w:themeFillTint="33"/>
          </w:tcPr>
          <w:p w14:paraId="3CCF3672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68780C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15.08</w:t>
            </w:r>
          </w:p>
        </w:tc>
      </w:tr>
      <w:tr w:rsidR="00CC4899" w:rsidRPr="00EE68FF" w14:paraId="22430F41" w14:textId="77777777" w:rsidTr="0007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2CDC62EE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F5C71">
              <w:rPr>
                <w:b w:val="0"/>
                <w:sz w:val="20"/>
                <w:szCs w:val="20"/>
              </w:rPr>
              <w:t xml:space="preserve">Mortalidade abaixo de 5 anos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DCBFC5C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15.7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59D1C3B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18.8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6750CFDC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17.3</w:t>
            </w:r>
          </w:p>
        </w:tc>
      </w:tr>
      <w:tr w:rsidR="00CC4899" w:rsidRPr="00EE68FF" w14:paraId="27CFA0BC" w14:textId="77777777" w:rsidTr="0007682C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01ACEC69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F5C71">
              <w:rPr>
                <w:b w:val="0"/>
                <w:sz w:val="20"/>
                <w:szCs w:val="20"/>
              </w:rPr>
              <w:t xml:space="preserve">Expectativa de vida </w:t>
            </w:r>
            <w:r>
              <w:rPr>
                <w:b w:val="0"/>
                <w:sz w:val="20"/>
                <w:szCs w:val="20"/>
              </w:rPr>
              <w:t>no</w:t>
            </w:r>
            <w:r w:rsidRPr="00EF5C71">
              <w:rPr>
                <w:b w:val="0"/>
                <w:sz w:val="20"/>
                <w:szCs w:val="20"/>
              </w:rPr>
              <w:t xml:space="preserve"> nascimento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1F629AC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76.22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BA987CD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73.94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1CB858F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75.3</w:t>
            </w:r>
          </w:p>
        </w:tc>
      </w:tr>
      <w:tr w:rsidR="00CC4899" w:rsidRPr="00EE68FF" w14:paraId="51082B69" w14:textId="77777777" w:rsidTr="0007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356016B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F5C71">
              <w:rPr>
                <w:b w:val="0"/>
                <w:sz w:val="20"/>
                <w:szCs w:val="20"/>
              </w:rPr>
              <w:t>Domicílios com água (%)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5815DC1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95.16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EF6A6ED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92.72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576ECF01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94.44</w:t>
            </w:r>
          </w:p>
        </w:tc>
      </w:tr>
      <w:tr w:rsidR="00CC4899" w:rsidRPr="00EE68FF" w14:paraId="7F5A5DDF" w14:textId="77777777" w:rsidTr="0007682C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41763103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F5C71">
              <w:rPr>
                <w:b w:val="0"/>
                <w:sz w:val="20"/>
                <w:szCs w:val="20"/>
              </w:rPr>
              <w:t>Domicílios com saneamento (%)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6E432012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95.04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0324688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87.16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3C889C7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94.91</w:t>
            </w:r>
          </w:p>
        </w:tc>
      </w:tr>
      <w:tr w:rsidR="00CC4899" w:rsidRPr="00EE68FF" w14:paraId="0AEACEBC" w14:textId="77777777" w:rsidTr="0007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48D03843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F5C71">
              <w:rPr>
                <w:b w:val="0"/>
                <w:sz w:val="20"/>
                <w:szCs w:val="20"/>
              </w:rPr>
              <w:t>Domicílios com coletas de lixo (%)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770B2CBE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99.12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2C05D07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97.02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28BD8D84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97.85</w:t>
            </w:r>
          </w:p>
        </w:tc>
      </w:tr>
      <w:tr w:rsidR="00CC4899" w:rsidRPr="00EE68FF" w14:paraId="0B48332D" w14:textId="77777777" w:rsidTr="0007682C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D09BB3D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F5C71">
              <w:rPr>
                <w:b w:val="0"/>
                <w:sz w:val="20"/>
                <w:szCs w:val="20"/>
              </w:rPr>
              <w:t>Domicílios com eletricidade (%)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2961152A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99.58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C75A56E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98.58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8583725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99.35</w:t>
            </w:r>
          </w:p>
        </w:tc>
      </w:tr>
      <w:tr w:rsidR="00CC4899" w:rsidRPr="00EE68FF" w14:paraId="5CCF0BDF" w14:textId="77777777" w:rsidTr="0007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6BE009AE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F5C71">
              <w:rPr>
                <w:b w:val="0"/>
                <w:sz w:val="20"/>
                <w:szCs w:val="20"/>
              </w:rPr>
              <w:t xml:space="preserve">Domicílios com </w:t>
            </w:r>
            <w:r>
              <w:rPr>
                <w:b w:val="0"/>
                <w:sz w:val="20"/>
                <w:szCs w:val="20"/>
              </w:rPr>
              <w:t>paredes adequada</w:t>
            </w:r>
            <w:r w:rsidRPr="00EF5C71">
              <w:rPr>
                <w:b w:val="0"/>
                <w:sz w:val="20"/>
                <w:szCs w:val="20"/>
              </w:rPr>
              <w:t>s (%)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CE04B3B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99.54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13B2C305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96.58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4BF04D37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99.03</w:t>
            </w:r>
          </w:p>
        </w:tc>
      </w:tr>
      <w:tr w:rsidR="00CC4899" w:rsidRPr="00EE68FF" w14:paraId="6FC77F97" w14:textId="77777777" w:rsidTr="0007682C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0E076280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F5C71">
              <w:rPr>
                <w:b w:val="0"/>
                <w:sz w:val="20"/>
                <w:szCs w:val="20"/>
              </w:rPr>
              <w:t>Gini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EF5C71">
              <w:rPr>
                <w:b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4C5A7EF9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0.51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46C5F252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0.60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32EE01CA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0.56</w:t>
            </w:r>
          </w:p>
        </w:tc>
      </w:tr>
      <w:tr w:rsidR="00CC4899" w:rsidRPr="00EE68FF" w14:paraId="7D47E4C4" w14:textId="77777777" w:rsidTr="0007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5376C28F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F5C71">
              <w:rPr>
                <w:b w:val="0"/>
                <w:sz w:val="20"/>
                <w:szCs w:val="20"/>
              </w:rPr>
              <w:t>População – pobre (%)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E12C7C9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9.34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18729B6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15.2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3957EDBB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10.97</w:t>
            </w:r>
          </w:p>
        </w:tc>
      </w:tr>
      <w:tr w:rsidR="00CC4899" w:rsidRPr="00EE68FF" w14:paraId="03BB9BC0" w14:textId="77777777" w:rsidTr="0007682C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4A202398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F5C71">
              <w:rPr>
                <w:b w:val="0"/>
                <w:sz w:val="20"/>
                <w:szCs w:val="20"/>
              </w:rPr>
              <w:t xml:space="preserve">População – </w:t>
            </w:r>
            <w:r>
              <w:rPr>
                <w:b w:val="0"/>
                <w:sz w:val="20"/>
                <w:szCs w:val="20"/>
              </w:rPr>
              <w:t>pobreza extrema</w:t>
            </w:r>
            <w:r w:rsidRPr="00EF5C71">
              <w:rPr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4E0269BE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2.37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4D9F6A9A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6.62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77C961D8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3.49</w:t>
            </w:r>
          </w:p>
        </w:tc>
      </w:tr>
      <w:tr w:rsidR="00CC4899" w:rsidRPr="00EE68FF" w14:paraId="5BABA625" w14:textId="77777777" w:rsidTr="00076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14:paraId="4F52C707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F5C71">
              <w:rPr>
                <w:b w:val="0"/>
                <w:sz w:val="20"/>
                <w:szCs w:val="20"/>
              </w:rPr>
              <w:t>Crianças – pobres (%)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5AA2CD0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15.82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C85F629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26.01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14:paraId="1A41717E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20.48</w:t>
            </w:r>
          </w:p>
        </w:tc>
      </w:tr>
      <w:tr w:rsidR="00CC4899" w:rsidRPr="00EE68FF" w14:paraId="02ADC165" w14:textId="77777777" w:rsidTr="0007682C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tcBorders>
              <w:top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311BC32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rPr>
                <w:b w:val="0"/>
                <w:sz w:val="20"/>
                <w:szCs w:val="20"/>
              </w:rPr>
            </w:pPr>
            <w:r w:rsidRPr="00EF5C71">
              <w:rPr>
                <w:b w:val="0"/>
                <w:sz w:val="20"/>
                <w:szCs w:val="20"/>
              </w:rPr>
              <w:t xml:space="preserve">Crianças – </w:t>
            </w:r>
            <w:r>
              <w:rPr>
                <w:b w:val="0"/>
                <w:sz w:val="20"/>
                <w:szCs w:val="20"/>
              </w:rPr>
              <w:t>pobreza extrema</w:t>
            </w:r>
            <w:r w:rsidRPr="00EF5C71">
              <w:rPr>
                <w:b w:val="0"/>
                <w:sz w:val="20"/>
                <w:szCs w:val="20"/>
              </w:rPr>
              <w:t xml:space="preserve"> (%)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A6DB370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3.94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D89B165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11.47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6674423" w14:textId="77777777" w:rsidR="00CC4899" w:rsidRPr="00EF5C71" w:rsidRDefault="00CC4899" w:rsidP="00CE3B7E">
            <w:pPr>
              <w:tabs>
                <w:tab w:val="left" w:pos="1020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5C71">
              <w:rPr>
                <w:sz w:val="20"/>
                <w:szCs w:val="20"/>
              </w:rPr>
              <w:t>6.35</w:t>
            </w:r>
          </w:p>
        </w:tc>
      </w:tr>
    </w:tbl>
    <w:p w14:paraId="5EE0E887" w14:textId="77777777" w:rsidR="00CC4899" w:rsidRPr="003808DC" w:rsidRDefault="00CC4899" w:rsidP="00CE3B7E">
      <w:pPr>
        <w:pStyle w:val="BodyText"/>
        <w:tabs>
          <w:tab w:val="left" w:pos="10206"/>
        </w:tabs>
        <w:jc w:val="both"/>
        <w:rPr>
          <w:lang w:val="pt-BR"/>
        </w:rPr>
      </w:pPr>
    </w:p>
    <w:p w14:paraId="75455CA8" w14:textId="77777777" w:rsidR="00CC4899" w:rsidRPr="003808DC" w:rsidRDefault="00CC4899" w:rsidP="00CE3B7E">
      <w:pPr>
        <w:pStyle w:val="BodyText"/>
        <w:tabs>
          <w:tab w:val="left" w:pos="10206"/>
        </w:tabs>
        <w:jc w:val="both"/>
        <w:rPr>
          <w:lang w:val="pt-BR"/>
        </w:rPr>
      </w:pPr>
    </w:p>
    <w:p w14:paraId="0100932B" w14:textId="77777777" w:rsidR="00CC4899" w:rsidRPr="003808DC" w:rsidRDefault="00CC4899" w:rsidP="00CE3B7E">
      <w:pPr>
        <w:pStyle w:val="BodyText"/>
        <w:tabs>
          <w:tab w:val="left" w:pos="10206"/>
        </w:tabs>
        <w:spacing w:before="8" w:after="1"/>
        <w:jc w:val="both"/>
        <w:rPr>
          <w:sz w:val="17"/>
          <w:lang w:val="pt-BR"/>
        </w:rPr>
      </w:pPr>
    </w:p>
    <w:p w14:paraId="0E1A8F19" w14:textId="77777777" w:rsidR="00CC4899" w:rsidRDefault="00CC4899" w:rsidP="00CE3B7E">
      <w:pPr>
        <w:pStyle w:val="BodyText"/>
        <w:tabs>
          <w:tab w:val="left" w:pos="10206"/>
        </w:tabs>
        <w:ind w:left="2094"/>
        <w:jc w:val="both"/>
      </w:pPr>
    </w:p>
    <w:p w14:paraId="2BF06795" w14:textId="77777777" w:rsidR="00CC4899" w:rsidRPr="00CE3B7E" w:rsidRDefault="00CC4899" w:rsidP="00CE3B7E">
      <w:pPr>
        <w:pStyle w:val="ListParagraph"/>
        <w:numPr>
          <w:ilvl w:val="0"/>
          <w:numId w:val="2"/>
        </w:numPr>
        <w:tabs>
          <w:tab w:val="left" w:pos="10490"/>
        </w:tabs>
        <w:spacing w:before="11"/>
        <w:ind w:right="1799"/>
        <w:jc w:val="both"/>
        <w:rPr>
          <w:i/>
          <w:sz w:val="18"/>
          <w:szCs w:val="18"/>
          <w:lang w:val="pt-BR"/>
        </w:rPr>
      </w:pPr>
      <w:r w:rsidRPr="00CE3B7E">
        <w:rPr>
          <w:i/>
          <w:sz w:val="18"/>
          <w:szCs w:val="18"/>
          <w:lang w:val="pt-BR"/>
        </w:rPr>
        <w:t xml:space="preserve">Gini é uma medida de </w:t>
      </w:r>
      <w:r w:rsidR="00CE3B7E" w:rsidRPr="00CE3B7E">
        <w:rPr>
          <w:i/>
          <w:sz w:val="18"/>
          <w:szCs w:val="18"/>
          <w:lang w:val="pt-BR"/>
        </w:rPr>
        <w:t xml:space="preserve">Gini é uma medida de 1. </w:t>
      </w:r>
      <w:r w:rsidRPr="00CE3B7E">
        <w:rPr>
          <w:i/>
          <w:sz w:val="18"/>
          <w:szCs w:val="18"/>
          <w:lang w:val="pt-BR"/>
        </w:rPr>
        <w:t>distribuição de renda – maiores pontuações refletem uma distribuição mais desigual</w:t>
      </w:r>
    </w:p>
    <w:p w14:paraId="40C298A2" w14:textId="77777777" w:rsidR="00CE3B7E" w:rsidRDefault="00CE3B7E" w:rsidP="00CE3B7E">
      <w:pPr>
        <w:pStyle w:val="BodyText"/>
        <w:tabs>
          <w:tab w:val="left" w:pos="10206"/>
        </w:tabs>
        <w:ind w:right="818"/>
        <w:jc w:val="both"/>
        <w:rPr>
          <w:lang w:val="pt-BR"/>
        </w:rPr>
      </w:pPr>
    </w:p>
    <w:p w14:paraId="0466445A" w14:textId="6CEC4BE6" w:rsidR="00CC4899" w:rsidRPr="00ED24F9" w:rsidRDefault="00B2471D" w:rsidP="00CE3B7E">
      <w:pPr>
        <w:pStyle w:val="BodyText"/>
        <w:tabs>
          <w:tab w:val="left" w:pos="10206"/>
        </w:tabs>
        <w:ind w:left="747" w:right="818"/>
        <w:jc w:val="both"/>
        <w:rPr>
          <w:lang w:val="pt-BR"/>
        </w:rPr>
      </w:pPr>
      <w:r>
        <w:rPr>
          <w:lang w:val="pt-BR"/>
        </w:rPr>
        <w:t xml:space="preserve">Além dessa contribuição para a cidade de Paracatu, a Kinross também </w:t>
      </w:r>
      <w:r w:rsidR="00EF0807">
        <w:rPr>
          <w:lang w:val="pt-BR"/>
        </w:rPr>
        <w:t xml:space="preserve">investe em  </w:t>
      </w:r>
      <w:r w:rsidR="00CC4899" w:rsidRPr="00ED24F9">
        <w:rPr>
          <w:lang w:val="pt-BR"/>
        </w:rPr>
        <w:t>programas de responsabilidade corporativa e ambiental de classe mundial</w:t>
      </w:r>
      <w:r>
        <w:rPr>
          <w:lang w:val="pt-BR"/>
        </w:rPr>
        <w:t>. Um exemplo do seu comprometimento são os vários prêmios e reconhecimentos que nossa operação no Brasil recebe</w:t>
      </w:r>
      <w:r w:rsidR="00EF0807">
        <w:rPr>
          <w:lang w:val="pt-BR"/>
        </w:rPr>
        <w:t>u</w:t>
      </w:r>
      <w:r>
        <w:rPr>
          <w:lang w:val="pt-BR"/>
        </w:rPr>
        <w:t xml:space="preserve"> de entidades independentes, como listados abaixo:</w:t>
      </w:r>
      <w:r w:rsidR="00CC4899" w:rsidRPr="00ED24F9">
        <w:rPr>
          <w:lang w:val="pt-BR"/>
        </w:rPr>
        <w:t xml:space="preserve"> </w:t>
      </w:r>
    </w:p>
    <w:p w14:paraId="6258E30C" w14:textId="77777777" w:rsidR="00CC4899" w:rsidRPr="00CE3B7E" w:rsidRDefault="00CC4899" w:rsidP="00CE3B7E">
      <w:pPr>
        <w:tabs>
          <w:tab w:val="left" w:pos="1666"/>
          <w:tab w:val="left" w:pos="1667"/>
          <w:tab w:val="left" w:pos="10206"/>
        </w:tabs>
        <w:ind w:right="1595"/>
        <w:jc w:val="both"/>
        <w:rPr>
          <w:sz w:val="20"/>
          <w:lang w:val="pt-BR"/>
        </w:rPr>
      </w:pPr>
    </w:p>
    <w:p w14:paraId="070B1F9A" w14:textId="7A3420B3" w:rsidR="00CC4899" w:rsidRDefault="00CC4899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948"/>
        <w:jc w:val="both"/>
        <w:rPr>
          <w:sz w:val="20"/>
          <w:lang w:val="pt-BR"/>
        </w:rPr>
      </w:pPr>
      <w:r w:rsidRPr="0025123B">
        <w:rPr>
          <w:sz w:val="20"/>
          <w:lang w:val="pt-BR"/>
        </w:rPr>
        <w:t>Prêmio Internacional 2017 para Melhores Práticas em Prevenção d</w:t>
      </w:r>
      <w:r>
        <w:rPr>
          <w:sz w:val="20"/>
          <w:lang w:val="pt-BR"/>
        </w:rPr>
        <w:t xml:space="preserve">e Drenagem de Ácidos em local </w:t>
      </w:r>
      <w:r w:rsidRPr="0025123B">
        <w:rPr>
          <w:sz w:val="20"/>
          <w:lang w:val="pt-BR"/>
        </w:rPr>
        <w:t xml:space="preserve">de mineração, </w:t>
      </w:r>
      <w:r w:rsidRPr="009A7338">
        <w:rPr>
          <w:i/>
          <w:sz w:val="20"/>
          <w:lang w:val="pt-BR"/>
        </w:rPr>
        <w:t>International Network for Acid Prevention</w:t>
      </w:r>
      <w:r w:rsidRPr="009A7338">
        <w:rPr>
          <w:spacing w:val="-7"/>
          <w:sz w:val="20"/>
          <w:lang w:val="pt-BR"/>
        </w:rPr>
        <w:t xml:space="preserve"> </w:t>
      </w:r>
      <w:r>
        <w:rPr>
          <w:spacing w:val="-7"/>
          <w:sz w:val="20"/>
          <w:lang w:val="pt-BR"/>
        </w:rPr>
        <w:t>– INAP (</w:t>
      </w:r>
      <w:r w:rsidRPr="0025123B">
        <w:rPr>
          <w:sz w:val="20"/>
          <w:lang w:val="pt-BR"/>
        </w:rPr>
        <w:t>Rede Internacion</w:t>
      </w:r>
      <w:r>
        <w:rPr>
          <w:sz w:val="20"/>
          <w:lang w:val="pt-BR"/>
        </w:rPr>
        <w:t>al de Prevenção de Ácidos)</w:t>
      </w:r>
      <w:r w:rsidR="00270C0E">
        <w:rPr>
          <w:sz w:val="20"/>
          <w:lang w:val="pt-BR"/>
        </w:rPr>
        <w:t>.</w:t>
      </w:r>
    </w:p>
    <w:p w14:paraId="50C7FB0F" w14:textId="77777777" w:rsidR="00CC4899" w:rsidRPr="0053749E" w:rsidRDefault="00CC4899" w:rsidP="00CE3B7E">
      <w:pPr>
        <w:tabs>
          <w:tab w:val="left" w:pos="1666"/>
          <w:tab w:val="left" w:pos="1667"/>
          <w:tab w:val="left" w:pos="10206"/>
        </w:tabs>
        <w:ind w:right="948"/>
        <w:jc w:val="both"/>
        <w:rPr>
          <w:sz w:val="20"/>
          <w:lang w:val="pt-BR"/>
        </w:rPr>
      </w:pPr>
    </w:p>
    <w:p w14:paraId="22F75D6C" w14:textId="4D3EB860" w:rsidR="00CC4899" w:rsidRPr="0007682C" w:rsidRDefault="00CC4899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948"/>
        <w:jc w:val="both"/>
        <w:rPr>
          <w:sz w:val="20"/>
          <w:lang w:val="pt-BR"/>
        </w:rPr>
      </w:pPr>
      <w:r>
        <w:rPr>
          <w:sz w:val="20"/>
          <w:lang w:val="pt-BR"/>
        </w:rPr>
        <w:t xml:space="preserve">“Empresa do Ano” </w:t>
      </w:r>
      <w:r w:rsidRPr="003544CF">
        <w:rPr>
          <w:sz w:val="20"/>
          <w:lang w:val="pt-BR"/>
        </w:rPr>
        <w:t xml:space="preserve">em 2015, categoria </w:t>
      </w:r>
      <w:r w:rsidRPr="003544CF">
        <w:rPr>
          <w:i/>
          <w:sz w:val="20"/>
          <w:lang w:val="pt-BR"/>
        </w:rPr>
        <w:t>Precious Metals and Mineral</w:t>
      </w:r>
      <w:r w:rsidRPr="003544CF">
        <w:rPr>
          <w:sz w:val="20"/>
          <w:lang w:val="pt-BR"/>
        </w:rPr>
        <w:t xml:space="preserve"> (Metais e Mine</w:t>
      </w:r>
      <w:r>
        <w:rPr>
          <w:sz w:val="20"/>
          <w:lang w:val="pt-BR"/>
        </w:rPr>
        <w:t>rais Preciosos), Revista Brasil Mineral</w:t>
      </w:r>
      <w:r w:rsidR="00270C0E">
        <w:rPr>
          <w:sz w:val="20"/>
          <w:lang w:val="pt-BR"/>
        </w:rPr>
        <w:t>.</w:t>
      </w:r>
      <w:r w:rsidRPr="0007682C">
        <w:rPr>
          <w:sz w:val="20"/>
          <w:lang w:val="pt-BR"/>
        </w:rPr>
        <w:t xml:space="preserve"> </w:t>
      </w:r>
    </w:p>
    <w:p w14:paraId="06C7AC17" w14:textId="77777777" w:rsidR="00CC4899" w:rsidRPr="0030605C" w:rsidRDefault="00CC4899" w:rsidP="00CE3B7E">
      <w:pPr>
        <w:tabs>
          <w:tab w:val="left" w:pos="1666"/>
          <w:tab w:val="left" w:pos="1667"/>
          <w:tab w:val="left" w:pos="10206"/>
        </w:tabs>
        <w:spacing w:before="1"/>
        <w:ind w:right="948"/>
        <w:jc w:val="both"/>
        <w:rPr>
          <w:sz w:val="20"/>
          <w:lang w:val="pt-BR"/>
        </w:rPr>
      </w:pPr>
    </w:p>
    <w:p w14:paraId="35219625" w14:textId="0B51693B" w:rsidR="00CC4899" w:rsidRPr="0053749E" w:rsidRDefault="00CC4899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spacing w:before="1"/>
        <w:ind w:right="948"/>
        <w:jc w:val="both"/>
        <w:rPr>
          <w:sz w:val="20"/>
          <w:lang w:val="pt-BR"/>
        </w:rPr>
      </w:pPr>
      <w:r w:rsidRPr="00975071">
        <w:rPr>
          <w:sz w:val="20"/>
          <w:lang w:val="pt-BR"/>
        </w:rPr>
        <w:t>"</w:t>
      </w:r>
      <w:r>
        <w:rPr>
          <w:i/>
          <w:sz w:val="20"/>
          <w:lang w:val="pt-BR"/>
        </w:rPr>
        <w:t>Ouro</w:t>
      </w:r>
      <w:r w:rsidRPr="00975071">
        <w:rPr>
          <w:sz w:val="20"/>
          <w:lang w:val="pt-BR"/>
        </w:rPr>
        <w:t xml:space="preserve">" no ranking de segurança, classificação máxima do Brasil em </w:t>
      </w:r>
      <w:r w:rsidRPr="00260E04">
        <w:rPr>
          <w:i/>
          <w:sz w:val="20"/>
          <w:lang w:val="pt-BR"/>
        </w:rPr>
        <w:t xml:space="preserve">Health and Safety Management </w:t>
      </w:r>
      <w:r w:rsidRPr="00975071">
        <w:rPr>
          <w:sz w:val="20"/>
          <w:lang w:val="pt-BR"/>
        </w:rPr>
        <w:t xml:space="preserve">(Gerenciamento de Saúde e Segurança), pela </w:t>
      </w:r>
      <w:r w:rsidRPr="00260E04">
        <w:rPr>
          <w:i/>
          <w:sz w:val="20"/>
          <w:lang w:val="pt-BR"/>
        </w:rPr>
        <w:t>Brazil’s national safety agency</w:t>
      </w:r>
      <w:r w:rsidRPr="00975071">
        <w:rPr>
          <w:sz w:val="20"/>
          <w:lang w:val="pt-BR"/>
        </w:rPr>
        <w:t xml:space="preserve"> (agência nacional de segurança do Brasil) em 2015</w:t>
      </w:r>
      <w:r w:rsidR="00270C0E">
        <w:rPr>
          <w:sz w:val="20"/>
          <w:lang w:val="pt-BR"/>
        </w:rPr>
        <w:t>.</w:t>
      </w:r>
    </w:p>
    <w:p w14:paraId="6489CE39" w14:textId="77777777" w:rsidR="00CC4899" w:rsidRPr="0030605C" w:rsidRDefault="00CC4899" w:rsidP="00CE3B7E">
      <w:pPr>
        <w:tabs>
          <w:tab w:val="left" w:pos="10206"/>
        </w:tabs>
        <w:ind w:right="948"/>
        <w:jc w:val="both"/>
        <w:rPr>
          <w:sz w:val="20"/>
          <w:lang w:val="pt-BR"/>
        </w:rPr>
      </w:pPr>
    </w:p>
    <w:p w14:paraId="15B9572C" w14:textId="137BB167" w:rsidR="00CC4899" w:rsidRPr="0053749E" w:rsidRDefault="00CC4899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948"/>
        <w:jc w:val="both"/>
        <w:rPr>
          <w:sz w:val="20"/>
          <w:lang w:val="pt-BR"/>
        </w:rPr>
      </w:pPr>
      <w:r w:rsidRPr="00BE2DE3">
        <w:rPr>
          <w:sz w:val="20"/>
          <w:lang w:val="pt-BR"/>
        </w:rPr>
        <w:t xml:space="preserve">"Sustentabilidade Stamp" em 2015 pelo programa </w:t>
      </w:r>
      <w:r w:rsidRPr="00BE2DE3">
        <w:rPr>
          <w:i/>
          <w:sz w:val="20"/>
          <w:lang w:val="pt-BR"/>
        </w:rPr>
        <w:t>Brazil Sustainability Benchmarking</w:t>
      </w:r>
      <w:r w:rsidRPr="00BE2DE3">
        <w:rPr>
          <w:sz w:val="20"/>
          <w:lang w:val="pt-BR"/>
        </w:rPr>
        <w:t xml:space="preserve">, em reconhecimento </w:t>
      </w:r>
      <w:r>
        <w:rPr>
          <w:sz w:val="20"/>
          <w:lang w:val="pt-BR"/>
        </w:rPr>
        <w:t>por</w:t>
      </w:r>
      <w:r w:rsidRPr="00BE2DE3">
        <w:rPr>
          <w:sz w:val="20"/>
          <w:lang w:val="pt-BR"/>
        </w:rPr>
        <w:t xml:space="preserve"> uma abordagem inovadora para restaurar a vegetação nas áreas afetadas pelas minas</w:t>
      </w:r>
      <w:r w:rsidR="00270C0E">
        <w:rPr>
          <w:sz w:val="20"/>
          <w:lang w:val="pt-BR"/>
        </w:rPr>
        <w:t>.</w:t>
      </w:r>
    </w:p>
    <w:p w14:paraId="0251ED22" w14:textId="77777777" w:rsidR="00CC4899" w:rsidRPr="0030605C" w:rsidRDefault="00CC4899" w:rsidP="00CE3B7E">
      <w:pPr>
        <w:tabs>
          <w:tab w:val="left" w:pos="10206"/>
        </w:tabs>
        <w:ind w:right="948"/>
        <w:jc w:val="both"/>
        <w:rPr>
          <w:sz w:val="20"/>
          <w:lang w:val="pt-BR"/>
        </w:rPr>
      </w:pPr>
    </w:p>
    <w:p w14:paraId="1C02E308" w14:textId="03209188" w:rsidR="00CC4899" w:rsidRPr="003343D0" w:rsidRDefault="00CC4899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948"/>
        <w:jc w:val="both"/>
        <w:rPr>
          <w:sz w:val="20"/>
          <w:lang w:val="pt-BR"/>
        </w:rPr>
      </w:pPr>
      <w:r w:rsidRPr="003343D0">
        <w:rPr>
          <w:i/>
          <w:sz w:val="20"/>
          <w:lang w:val="pt-BR"/>
        </w:rPr>
        <w:t>Green Mine Award</w:t>
      </w:r>
      <w:r w:rsidRPr="003343D0">
        <w:rPr>
          <w:sz w:val="20"/>
          <w:lang w:val="pt-BR"/>
        </w:rPr>
        <w:t xml:space="preserve"> (Prêmio Mina Verde) - 2014, Indicadores Ambientais - Categoria de Água no </w:t>
      </w:r>
      <w:r w:rsidRPr="00C40C46">
        <w:rPr>
          <w:i/>
          <w:sz w:val="20"/>
          <w:lang w:val="pt-BR"/>
        </w:rPr>
        <w:t>Spring Recovery Project</w:t>
      </w:r>
      <w:r w:rsidRPr="003343D0">
        <w:rPr>
          <w:sz w:val="20"/>
          <w:lang w:val="pt-BR"/>
        </w:rPr>
        <w:t xml:space="preserve"> (Projeto de Recuperação de Nascente</w:t>
      </w:r>
      <w:r>
        <w:rPr>
          <w:sz w:val="20"/>
          <w:lang w:val="pt-BR"/>
        </w:rPr>
        <w:t>s</w:t>
      </w:r>
      <w:r w:rsidRPr="003343D0">
        <w:rPr>
          <w:sz w:val="20"/>
          <w:lang w:val="pt-BR"/>
        </w:rPr>
        <w:t xml:space="preserve">), revista </w:t>
      </w:r>
      <w:r w:rsidRPr="00C40C46">
        <w:rPr>
          <w:i/>
          <w:sz w:val="20"/>
          <w:lang w:val="pt-BR"/>
        </w:rPr>
        <w:t>Brazil’s In the Mine</w:t>
      </w:r>
      <w:r w:rsidR="00270C0E">
        <w:rPr>
          <w:i/>
          <w:sz w:val="20"/>
          <w:lang w:val="pt-BR"/>
        </w:rPr>
        <w:t>.</w:t>
      </w:r>
    </w:p>
    <w:p w14:paraId="35CC6DCB" w14:textId="77777777" w:rsidR="00CC4899" w:rsidRPr="0030605C" w:rsidRDefault="00CC4899" w:rsidP="00CE3B7E">
      <w:pPr>
        <w:tabs>
          <w:tab w:val="left" w:pos="1666"/>
          <w:tab w:val="left" w:pos="1667"/>
          <w:tab w:val="left" w:pos="10206"/>
        </w:tabs>
        <w:ind w:right="948"/>
        <w:jc w:val="both"/>
        <w:rPr>
          <w:sz w:val="20"/>
          <w:lang w:val="pt-BR"/>
        </w:rPr>
      </w:pPr>
    </w:p>
    <w:p w14:paraId="7E9CE4F3" w14:textId="62F243D1" w:rsidR="00CC4899" w:rsidRPr="004B416F" w:rsidRDefault="00CC4899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948"/>
        <w:jc w:val="both"/>
        <w:rPr>
          <w:sz w:val="20"/>
          <w:lang w:val="pt-BR"/>
        </w:rPr>
      </w:pPr>
      <w:r w:rsidRPr="004B416F">
        <w:rPr>
          <w:sz w:val="20"/>
          <w:lang w:val="pt-BR"/>
        </w:rPr>
        <w:t xml:space="preserve">As Nações Unidas, em parceria com o Governo do Estado de Minas Gerais e a Fundação João Pinheiro, reconheceram o programa comunitário da mina ("Integrar") pela sua contribuição para os </w:t>
      </w:r>
      <w:r w:rsidRPr="004B416F">
        <w:rPr>
          <w:i/>
          <w:sz w:val="20"/>
          <w:lang w:val="pt-BR"/>
        </w:rPr>
        <w:t xml:space="preserve">Millenium Development Goals </w:t>
      </w:r>
      <w:r w:rsidRPr="004B416F">
        <w:rPr>
          <w:sz w:val="20"/>
          <w:lang w:val="pt-BR"/>
        </w:rPr>
        <w:t xml:space="preserve">(Objetivos </w:t>
      </w:r>
      <w:r>
        <w:rPr>
          <w:sz w:val="20"/>
          <w:lang w:val="pt-BR"/>
        </w:rPr>
        <w:t>para</w:t>
      </w:r>
      <w:r w:rsidRPr="004B416F">
        <w:rPr>
          <w:sz w:val="20"/>
          <w:lang w:val="pt-BR"/>
        </w:rPr>
        <w:t xml:space="preserve"> Desenvolvimento do Milênio) de Minas Gerais</w:t>
      </w:r>
      <w:r w:rsidR="00270C0E">
        <w:rPr>
          <w:sz w:val="20"/>
          <w:lang w:val="pt-BR"/>
        </w:rPr>
        <w:t>.</w:t>
      </w:r>
    </w:p>
    <w:p w14:paraId="6408472B" w14:textId="77777777" w:rsidR="00CC4899" w:rsidRPr="0030605C" w:rsidRDefault="00CC4899" w:rsidP="00CE3B7E">
      <w:pPr>
        <w:tabs>
          <w:tab w:val="left" w:pos="1666"/>
          <w:tab w:val="left" w:pos="1667"/>
          <w:tab w:val="left" w:pos="10206"/>
        </w:tabs>
        <w:ind w:right="948"/>
        <w:jc w:val="both"/>
        <w:rPr>
          <w:sz w:val="20"/>
          <w:lang w:val="pt-BR"/>
        </w:rPr>
      </w:pPr>
    </w:p>
    <w:p w14:paraId="2C9F376E" w14:textId="15E73BEA" w:rsidR="00CC4899" w:rsidRPr="00D11FBE" w:rsidRDefault="00FB1672" w:rsidP="00CE3B7E">
      <w:pPr>
        <w:pStyle w:val="ListParagraph"/>
        <w:numPr>
          <w:ilvl w:val="0"/>
          <w:numId w:val="1"/>
        </w:numPr>
        <w:tabs>
          <w:tab w:val="left" w:pos="1666"/>
          <w:tab w:val="left" w:pos="1667"/>
          <w:tab w:val="left" w:pos="10206"/>
        </w:tabs>
        <w:ind w:right="948"/>
        <w:jc w:val="both"/>
        <w:rPr>
          <w:sz w:val="20"/>
          <w:lang w:val="pt-BR"/>
        </w:rPr>
      </w:pPr>
      <w:r>
        <w:rPr>
          <w:sz w:val="20"/>
          <w:lang w:val="pt-BR"/>
        </w:rPr>
        <w:t>2014 - O</w:t>
      </w:r>
      <w:r w:rsidR="00CC4899" w:rsidRPr="00D11FBE">
        <w:rPr>
          <w:sz w:val="20"/>
          <w:lang w:val="pt-BR"/>
        </w:rPr>
        <w:t xml:space="preserve"> programa "Integrar" foi classificado pelo Governo Estadual e Federal como uma das 15 melhores iniciativas sociais em Minas Gerais em todos os setores</w:t>
      </w:r>
      <w:r w:rsidR="00270C0E">
        <w:rPr>
          <w:sz w:val="20"/>
          <w:lang w:val="pt-BR"/>
        </w:rPr>
        <w:t>.</w:t>
      </w:r>
    </w:p>
    <w:p w14:paraId="6B624D69" w14:textId="263718F7" w:rsidR="00D01DEC" w:rsidRPr="00CC4899" w:rsidRDefault="00EF0807" w:rsidP="00144563">
      <w:pPr>
        <w:pStyle w:val="BodyText"/>
        <w:tabs>
          <w:tab w:val="left" w:pos="10206"/>
        </w:tabs>
        <w:ind w:left="747" w:right="962"/>
        <w:jc w:val="both"/>
        <w:rPr>
          <w:lang w:val="pt-BR"/>
        </w:rPr>
      </w:pPr>
      <w:r>
        <w:rPr>
          <w:lang w:val="pt-BR"/>
        </w:rPr>
        <w:t>Esses reconhecimentos</w:t>
      </w:r>
      <w:r w:rsidR="00911E96">
        <w:rPr>
          <w:lang w:val="pt-BR"/>
        </w:rPr>
        <w:t xml:space="preserve"> reafirmam</w:t>
      </w:r>
      <w:r w:rsidR="00982612">
        <w:rPr>
          <w:lang w:val="pt-BR"/>
        </w:rPr>
        <w:t xml:space="preserve"> que l</w:t>
      </w:r>
      <w:r w:rsidR="00CC4899" w:rsidRPr="00845D59">
        <w:rPr>
          <w:lang w:val="pt-BR"/>
        </w:rPr>
        <w:t xml:space="preserve">evamos nossas obrigações ambientais e sociais a sério e estamos sempre </w:t>
      </w:r>
      <w:r w:rsidR="00CC4899">
        <w:rPr>
          <w:lang w:val="pt-BR"/>
        </w:rPr>
        <w:t xml:space="preserve">de prontidão para trabalhar com </w:t>
      </w:r>
      <w:r w:rsidR="00B2471D">
        <w:rPr>
          <w:lang w:val="pt-BR"/>
        </w:rPr>
        <w:t xml:space="preserve">parceiros </w:t>
      </w:r>
      <w:r w:rsidR="00CC4899">
        <w:rPr>
          <w:lang w:val="pt-BR"/>
        </w:rPr>
        <w:t>interessados</w:t>
      </w:r>
      <w:r w:rsidR="00CC4899" w:rsidRPr="00845D59">
        <w:rPr>
          <w:lang w:val="pt-BR"/>
        </w:rPr>
        <w:t xml:space="preserve">, abordando também as suas possíveis preocupações </w:t>
      </w:r>
      <w:r w:rsidR="00B2471D">
        <w:rPr>
          <w:lang w:val="pt-BR"/>
        </w:rPr>
        <w:t xml:space="preserve">no </w:t>
      </w:r>
      <w:r w:rsidR="00CC4899">
        <w:rPr>
          <w:lang w:val="pt-BR"/>
        </w:rPr>
        <w:t>que diz respeito à</w:t>
      </w:r>
      <w:r w:rsidR="00CC4899" w:rsidRPr="00845D59">
        <w:rPr>
          <w:lang w:val="pt-BR"/>
        </w:rPr>
        <w:t>s nossas operações. No entanto, infelizmente</w:t>
      </w:r>
      <w:r w:rsidR="00CC4899">
        <w:rPr>
          <w:lang w:val="pt-BR"/>
        </w:rPr>
        <w:t>,</w:t>
      </w:r>
      <w:r w:rsidR="00CC4899" w:rsidRPr="00845D59">
        <w:rPr>
          <w:lang w:val="pt-BR"/>
        </w:rPr>
        <w:t xml:space="preserve"> </w:t>
      </w:r>
      <w:r w:rsidR="00CC4899">
        <w:rPr>
          <w:lang w:val="pt-BR"/>
        </w:rPr>
        <w:t>ainda continua</w:t>
      </w:r>
      <w:r w:rsidR="00911E96">
        <w:rPr>
          <w:lang w:val="pt-BR"/>
        </w:rPr>
        <w:t>m</w:t>
      </w:r>
      <w:r w:rsidR="00CC4899" w:rsidRPr="00845D59">
        <w:rPr>
          <w:lang w:val="pt-BR"/>
        </w:rPr>
        <w:t xml:space="preserve"> sendo propagada</w:t>
      </w:r>
      <w:r w:rsidR="00911E96">
        <w:rPr>
          <w:lang w:val="pt-BR"/>
        </w:rPr>
        <w:t>s</w:t>
      </w:r>
      <w:r w:rsidR="00CC4899" w:rsidRPr="00845D59">
        <w:rPr>
          <w:lang w:val="pt-BR"/>
        </w:rPr>
        <w:t xml:space="preserve"> uma quantidade significativa de informações infundadas e não científicas sobre o impacto da ati</w:t>
      </w:r>
      <w:r w:rsidR="00CC4899">
        <w:rPr>
          <w:lang w:val="pt-BR"/>
        </w:rPr>
        <w:t>vidade de mineração em Paracatu, o que se revela</w:t>
      </w:r>
      <w:r w:rsidR="00CC4899" w:rsidRPr="00845D59">
        <w:rPr>
          <w:lang w:val="pt-BR"/>
        </w:rPr>
        <w:t>, na verdade, um desserviço para a comunidade.</w:t>
      </w:r>
    </w:p>
    <w:sectPr w:rsidR="00D01DEC" w:rsidRPr="00CC4899">
      <w:pgSz w:w="12240" w:h="15840"/>
      <w:pgMar w:top="1120" w:right="300" w:bottom="760" w:left="360" w:header="45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6AA18" w14:textId="77777777" w:rsidR="00A92E12" w:rsidRDefault="00A92E12">
      <w:r>
        <w:separator/>
      </w:r>
    </w:p>
  </w:endnote>
  <w:endnote w:type="continuationSeparator" w:id="0">
    <w:p w14:paraId="615129E2" w14:textId="77777777" w:rsidR="00A92E12" w:rsidRDefault="00A9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F01B0" w14:textId="77777777" w:rsidR="0007682C" w:rsidRDefault="0007682C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650F76" wp14:editId="010EEEAC">
              <wp:simplePos x="0" y="0"/>
              <wp:positionH relativeFrom="page">
                <wp:posOffset>334645</wp:posOffset>
              </wp:positionH>
              <wp:positionV relativeFrom="page">
                <wp:posOffset>9554845</wp:posOffset>
              </wp:positionV>
              <wp:extent cx="675640" cy="16764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5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E165B" w14:textId="77777777" w:rsidR="0007682C" w:rsidRDefault="0007682C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477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650F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.35pt;margin-top:752.35pt;width:53.2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UVmwIAAJI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" filled="f" stroked="f">
              <v:path arrowok="t"/>
              <v:textbox inset="0,0,0,0">
                <w:txbxContent>
                  <w:p w14:paraId="446E165B" w14:textId="77777777" w:rsidR="0007682C" w:rsidRDefault="0007682C">
                    <w:pPr>
                      <w:pStyle w:val="Corpodetexto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605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FF03A" w14:textId="77777777" w:rsidR="00A92E12" w:rsidRDefault="00A92E12">
      <w:r>
        <w:separator/>
      </w:r>
    </w:p>
  </w:footnote>
  <w:footnote w:type="continuationSeparator" w:id="0">
    <w:p w14:paraId="44490CF7" w14:textId="77777777" w:rsidR="00A92E12" w:rsidRDefault="00A92E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CC2AB" w14:textId="77777777" w:rsidR="0007682C" w:rsidRDefault="0007682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34E6F6EE" wp14:editId="1B9BD604">
          <wp:simplePos x="0" y="0"/>
          <wp:positionH relativeFrom="page">
            <wp:posOffset>306419</wp:posOffset>
          </wp:positionH>
          <wp:positionV relativeFrom="page">
            <wp:posOffset>286010</wp:posOffset>
          </wp:positionV>
          <wp:extent cx="7128401" cy="435100"/>
          <wp:effectExtent l="0" t="0" r="0" b="0"/>
          <wp:wrapNone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28401" cy="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714E"/>
    <w:multiLevelType w:val="hybridMultilevel"/>
    <w:tmpl w:val="D510528A"/>
    <w:lvl w:ilvl="0" w:tplc="CF4042BE">
      <w:start w:val="1"/>
      <w:numFmt w:val="decimal"/>
      <w:lvlText w:val="%1."/>
      <w:lvlJc w:val="left"/>
      <w:pPr>
        <w:ind w:left="22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47" w:hanging="360"/>
      </w:pPr>
    </w:lvl>
    <w:lvl w:ilvl="2" w:tplc="0416001B" w:tentative="1">
      <w:start w:val="1"/>
      <w:numFmt w:val="lowerRoman"/>
      <w:lvlText w:val="%3."/>
      <w:lvlJc w:val="right"/>
      <w:pPr>
        <w:ind w:left="3667" w:hanging="180"/>
      </w:pPr>
    </w:lvl>
    <w:lvl w:ilvl="3" w:tplc="0416000F" w:tentative="1">
      <w:start w:val="1"/>
      <w:numFmt w:val="decimal"/>
      <w:lvlText w:val="%4."/>
      <w:lvlJc w:val="left"/>
      <w:pPr>
        <w:ind w:left="4387" w:hanging="360"/>
      </w:pPr>
    </w:lvl>
    <w:lvl w:ilvl="4" w:tplc="04160019" w:tentative="1">
      <w:start w:val="1"/>
      <w:numFmt w:val="lowerLetter"/>
      <w:lvlText w:val="%5."/>
      <w:lvlJc w:val="left"/>
      <w:pPr>
        <w:ind w:left="5107" w:hanging="360"/>
      </w:pPr>
    </w:lvl>
    <w:lvl w:ilvl="5" w:tplc="0416001B" w:tentative="1">
      <w:start w:val="1"/>
      <w:numFmt w:val="lowerRoman"/>
      <w:lvlText w:val="%6."/>
      <w:lvlJc w:val="right"/>
      <w:pPr>
        <w:ind w:left="5827" w:hanging="180"/>
      </w:pPr>
    </w:lvl>
    <w:lvl w:ilvl="6" w:tplc="0416000F" w:tentative="1">
      <w:start w:val="1"/>
      <w:numFmt w:val="decimal"/>
      <w:lvlText w:val="%7."/>
      <w:lvlJc w:val="left"/>
      <w:pPr>
        <w:ind w:left="6547" w:hanging="360"/>
      </w:pPr>
    </w:lvl>
    <w:lvl w:ilvl="7" w:tplc="04160019" w:tentative="1">
      <w:start w:val="1"/>
      <w:numFmt w:val="lowerLetter"/>
      <w:lvlText w:val="%8."/>
      <w:lvlJc w:val="left"/>
      <w:pPr>
        <w:ind w:left="7267" w:hanging="360"/>
      </w:pPr>
    </w:lvl>
    <w:lvl w:ilvl="8" w:tplc="0416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">
    <w:nsid w:val="575B025C"/>
    <w:multiLevelType w:val="hybridMultilevel"/>
    <w:tmpl w:val="4BE60AA6"/>
    <w:lvl w:ilvl="0" w:tplc="C29C972E">
      <w:numFmt w:val="bullet"/>
      <w:lvlText w:val="•"/>
      <w:lvlJc w:val="left"/>
      <w:pPr>
        <w:ind w:left="1666" w:hanging="361"/>
      </w:pPr>
      <w:rPr>
        <w:rFonts w:ascii="Arial" w:eastAsia="Arial" w:hAnsi="Arial" w:cs="Arial" w:hint="default"/>
        <w:w w:val="131"/>
        <w:sz w:val="20"/>
        <w:szCs w:val="20"/>
      </w:rPr>
    </w:lvl>
    <w:lvl w:ilvl="1" w:tplc="6DD29ED2">
      <w:numFmt w:val="bullet"/>
      <w:lvlText w:val="o"/>
      <w:lvlJc w:val="left"/>
      <w:pPr>
        <w:ind w:left="2227" w:hanging="361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2" w:tplc="87FEBCAC">
      <w:numFmt w:val="bullet"/>
      <w:lvlText w:val="•"/>
      <w:lvlJc w:val="left"/>
      <w:pPr>
        <w:ind w:left="3260" w:hanging="361"/>
      </w:pPr>
      <w:rPr>
        <w:rFonts w:hint="default"/>
      </w:rPr>
    </w:lvl>
    <w:lvl w:ilvl="3" w:tplc="AA1EDE7E">
      <w:numFmt w:val="bullet"/>
      <w:lvlText w:val="•"/>
      <w:lvlJc w:val="left"/>
      <w:pPr>
        <w:ind w:left="4300" w:hanging="361"/>
      </w:pPr>
      <w:rPr>
        <w:rFonts w:hint="default"/>
      </w:rPr>
    </w:lvl>
    <w:lvl w:ilvl="4" w:tplc="243A2566">
      <w:numFmt w:val="bullet"/>
      <w:lvlText w:val="•"/>
      <w:lvlJc w:val="left"/>
      <w:pPr>
        <w:ind w:left="5340" w:hanging="361"/>
      </w:pPr>
      <w:rPr>
        <w:rFonts w:hint="default"/>
      </w:rPr>
    </w:lvl>
    <w:lvl w:ilvl="5" w:tplc="18585416">
      <w:numFmt w:val="bullet"/>
      <w:lvlText w:val="•"/>
      <w:lvlJc w:val="left"/>
      <w:pPr>
        <w:ind w:left="6380" w:hanging="361"/>
      </w:pPr>
      <w:rPr>
        <w:rFonts w:hint="default"/>
      </w:rPr>
    </w:lvl>
    <w:lvl w:ilvl="6" w:tplc="2CAAF5C6">
      <w:numFmt w:val="bullet"/>
      <w:lvlText w:val="•"/>
      <w:lvlJc w:val="left"/>
      <w:pPr>
        <w:ind w:left="7420" w:hanging="361"/>
      </w:pPr>
      <w:rPr>
        <w:rFonts w:hint="default"/>
      </w:rPr>
    </w:lvl>
    <w:lvl w:ilvl="7" w:tplc="365CCB4A">
      <w:numFmt w:val="bullet"/>
      <w:lvlText w:val="•"/>
      <w:lvlJc w:val="left"/>
      <w:pPr>
        <w:ind w:left="8460" w:hanging="361"/>
      </w:pPr>
      <w:rPr>
        <w:rFonts w:hint="default"/>
      </w:rPr>
    </w:lvl>
    <w:lvl w:ilvl="8" w:tplc="6B54D8AE">
      <w:numFmt w:val="bullet"/>
      <w:lvlText w:val="•"/>
      <w:lvlJc w:val="left"/>
      <w:pPr>
        <w:ind w:left="950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EC"/>
    <w:rsid w:val="00044225"/>
    <w:rsid w:val="0004759E"/>
    <w:rsid w:val="00065559"/>
    <w:rsid w:val="0007682C"/>
    <w:rsid w:val="000E50BD"/>
    <w:rsid w:val="000F6DE2"/>
    <w:rsid w:val="00144563"/>
    <w:rsid w:val="00160DB0"/>
    <w:rsid w:val="00166A35"/>
    <w:rsid w:val="00166E12"/>
    <w:rsid w:val="00176325"/>
    <w:rsid w:val="001915C7"/>
    <w:rsid w:val="001933FB"/>
    <w:rsid w:val="001D5B3E"/>
    <w:rsid w:val="00270C0E"/>
    <w:rsid w:val="00272EE3"/>
    <w:rsid w:val="00277F70"/>
    <w:rsid w:val="0030605C"/>
    <w:rsid w:val="00315322"/>
    <w:rsid w:val="003638CF"/>
    <w:rsid w:val="00381CDD"/>
    <w:rsid w:val="003A18C5"/>
    <w:rsid w:val="004405C3"/>
    <w:rsid w:val="004B7FD7"/>
    <w:rsid w:val="00501513"/>
    <w:rsid w:val="00504445"/>
    <w:rsid w:val="00524DE5"/>
    <w:rsid w:val="005336A1"/>
    <w:rsid w:val="00544DAF"/>
    <w:rsid w:val="005472B8"/>
    <w:rsid w:val="00565F05"/>
    <w:rsid w:val="00574184"/>
    <w:rsid w:val="00590039"/>
    <w:rsid w:val="005D0EA7"/>
    <w:rsid w:val="00624169"/>
    <w:rsid w:val="00630476"/>
    <w:rsid w:val="006525C3"/>
    <w:rsid w:val="006C5B03"/>
    <w:rsid w:val="006F5B7E"/>
    <w:rsid w:val="00736517"/>
    <w:rsid w:val="007872A0"/>
    <w:rsid w:val="007B4770"/>
    <w:rsid w:val="007D07DC"/>
    <w:rsid w:val="007F687D"/>
    <w:rsid w:val="008043AA"/>
    <w:rsid w:val="0080694A"/>
    <w:rsid w:val="00811896"/>
    <w:rsid w:val="008261BB"/>
    <w:rsid w:val="0084674C"/>
    <w:rsid w:val="008B2FA6"/>
    <w:rsid w:val="00911E96"/>
    <w:rsid w:val="009124C0"/>
    <w:rsid w:val="00936EAF"/>
    <w:rsid w:val="00953FE7"/>
    <w:rsid w:val="00982612"/>
    <w:rsid w:val="00996B39"/>
    <w:rsid w:val="009B0303"/>
    <w:rsid w:val="009D04CB"/>
    <w:rsid w:val="009D25B7"/>
    <w:rsid w:val="00A217F0"/>
    <w:rsid w:val="00A24B2A"/>
    <w:rsid w:val="00A71504"/>
    <w:rsid w:val="00A92E12"/>
    <w:rsid w:val="00AA7D58"/>
    <w:rsid w:val="00AF0B37"/>
    <w:rsid w:val="00B057EB"/>
    <w:rsid w:val="00B05E92"/>
    <w:rsid w:val="00B16E9C"/>
    <w:rsid w:val="00B2471D"/>
    <w:rsid w:val="00B4142E"/>
    <w:rsid w:val="00B85907"/>
    <w:rsid w:val="00B95831"/>
    <w:rsid w:val="00BA7369"/>
    <w:rsid w:val="00BD2A74"/>
    <w:rsid w:val="00BF2117"/>
    <w:rsid w:val="00C3219B"/>
    <w:rsid w:val="00CC4899"/>
    <w:rsid w:val="00CE3B7E"/>
    <w:rsid w:val="00D01DEC"/>
    <w:rsid w:val="00D30EF8"/>
    <w:rsid w:val="00D7091E"/>
    <w:rsid w:val="00D74DA1"/>
    <w:rsid w:val="00D81892"/>
    <w:rsid w:val="00E00969"/>
    <w:rsid w:val="00E166F6"/>
    <w:rsid w:val="00E2254F"/>
    <w:rsid w:val="00E240BE"/>
    <w:rsid w:val="00E50DA1"/>
    <w:rsid w:val="00EC0AFE"/>
    <w:rsid w:val="00EF0807"/>
    <w:rsid w:val="00EF3299"/>
    <w:rsid w:val="00F60C42"/>
    <w:rsid w:val="00FB1672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465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47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8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66" w:right="795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GridTable2Accent2">
    <w:name w:val="Grid Table 2 Accent 2"/>
    <w:basedOn w:val="TableNormal"/>
    <w:uiPriority w:val="47"/>
    <w:rsid w:val="00CC4899"/>
    <w:pPr>
      <w:widowControl/>
      <w:autoSpaceDE/>
      <w:autoSpaceDN/>
    </w:pPr>
    <w:rPr>
      <w:sz w:val="24"/>
      <w:szCs w:val="24"/>
      <w:lang w:val="pt-BR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0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A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A7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A7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47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8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66" w:right="795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GridTable2Accent2">
    <w:name w:val="Grid Table 2 Accent 2"/>
    <w:basedOn w:val="TableNormal"/>
    <w:uiPriority w:val="47"/>
    <w:rsid w:val="00CC4899"/>
    <w:pPr>
      <w:widowControl/>
      <w:autoSpaceDE/>
      <w:autoSpaceDN/>
    </w:pPr>
    <w:rPr>
      <w:sz w:val="24"/>
      <w:szCs w:val="24"/>
      <w:lang w:val="pt-BR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D0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EA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EA7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A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yperlink" Target="http://arsenio.kinross.com.br/en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AD52-0937-A947-A0E1-11CDAE62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3001</Words>
  <Characters>17108</Characters>
  <Application>Microsoft Macintosh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Kinross response to BHRRC Final Draft Feb 2 2018</vt:lpstr>
    </vt:vector>
  </TitlesOfParts>
  <Company/>
  <LinksUpToDate>false</LinksUpToDate>
  <CharactersWithSpaces>20069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Kinross response to BHRRC Final Draft Feb 2 2018</dc:title>
  <dc:creator>EOpitz</dc:creator>
  <cp:lastModifiedBy>Julia Mello Neiva</cp:lastModifiedBy>
  <cp:revision>2</cp:revision>
  <dcterms:created xsi:type="dcterms:W3CDTF">2018-02-21T01:46:00Z</dcterms:created>
  <dcterms:modified xsi:type="dcterms:W3CDTF">2018-02-21T01:46:00Z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2018-02-06T00:00:00Z</vt:filetime>
  </property>
</Properties>
</file>