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DC9D0" w14:textId="77777777" w:rsidR="00187CD6" w:rsidRPr="00986D46" w:rsidRDefault="00187CD6" w:rsidP="00187CD6">
      <w:pPr>
        <w:pStyle w:val="TeckBodyText"/>
        <w:spacing w:after="120"/>
        <w:rPr>
          <w:sz w:val="20"/>
          <w:szCs w:val="20"/>
        </w:rPr>
      </w:pPr>
      <w:r>
        <w:rPr>
          <w:sz w:val="20"/>
          <w:szCs w:val="20"/>
        </w:rPr>
        <w:t>June 15</w:t>
      </w:r>
      <w:r w:rsidRPr="00986D46">
        <w:rPr>
          <w:sz w:val="20"/>
          <w:szCs w:val="20"/>
        </w:rPr>
        <w:t xml:space="preserve">, 2020 </w:t>
      </w:r>
    </w:p>
    <w:p w14:paraId="13542262" w14:textId="77777777" w:rsidR="00187CD6" w:rsidRPr="00986D46" w:rsidRDefault="00187CD6" w:rsidP="00187CD6">
      <w:pPr>
        <w:pStyle w:val="BodyTextSingle"/>
      </w:pPr>
      <w:r>
        <w:br/>
      </w:r>
      <w:r w:rsidRPr="00986D46">
        <w:t xml:space="preserve">Hannah Matthews </w:t>
      </w:r>
    </w:p>
    <w:p w14:paraId="1DB7B9C8" w14:textId="77777777" w:rsidR="00187CD6" w:rsidRPr="00986D46" w:rsidRDefault="00187CD6" w:rsidP="00187CD6">
      <w:pPr>
        <w:pStyle w:val="BodyTextSingle"/>
      </w:pPr>
      <w:r w:rsidRPr="00986D46">
        <w:t>Latin America Researcher</w:t>
      </w:r>
    </w:p>
    <w:p w14:paraId="2C5EFFA1" w14:textId="77777777" w:rsidR="00187CD6" w:rsidRPr="00986D46" w:rsidRDefault="00187CD6" w:rsidP="00187CD6">
      <w:pPr>
        <w:pStyle w:val="BodyTextSingle"/>
      </w:pPr>
      <w:r w:rsidRPr="00986D46">
        <w:t>Business &amp; Human Rights Resources Centre</w:t>
      </w:r>
    </w:p>
    <w:p w14:paraId="53819263" w14:textId="77777777" w:rsidR="00187CD6" w:rsidRPr="00986D46" w:rsidRDefault="00187CD6" w:rsidP="00187CD6">
      <w:pPr>
        <w:rPr>
          <w:rFonts w:cs="Arial"/>
          <w:szCs w:val="20"/>
        </w:rPr>
      </w:pPr>
      <w:r w:rsidRPr="00986D46">
        <w:rPr>
          <w:rFonts w:cs="Arial"/>
          <w:szCs w:val="20"/>
        </w:rPr>
        <w:t xml:space="preserve">Email: </w:t>
      </w:r>
      <w:hyperlink r:id="rId10" w:history="1">
        <w:r w:rsidRPr="00986D46">
          <w:rPr>
            <w:rStyle w:val="Hyperlink"/>
            <w:rFonts w:cs="Arial"/>
            <w:szCs w:val="20"/>
          </w:rPr>
          <w:t>matthews@business-humanrights.org</w:t>
        </w:r>
      </w:hyperlink>
      <w:r w:rsidRPr="00986D46">
        <w:rPr>
          <w:rFonts w:cs="Arial"/>
          <w:szCs w:val="20"/>
        </w:rPr>
        <w:t xml:space="preserve"> </w:t>
      </w:r>
    </w:p>
    <w:p w14:paraId="2CD9C412" w14:textId="77777777" w:rsidR="00187CD6" w:rsidRPr="00986D46" w:rsidRDefault="00187CD6" w:rsidP="00187CD6">
      <w:pPr>
        <w:pStyle w:val="TeckSubheading1"/>
      </w:pPr>
      <w:r w:rsidRPr="00986D46">
        <w:t xml:space="preserve">Reference: Teck and COVID-19 Inquiry </w:t>
      </w:r>
    </w:p>
    <w:p w14:paraId="3943B3CA" w14:textId="77777777" w:rsidR="00187CD6" w:rsidRPr="00986D46" w:rsidRDefault="00187CD6" w:rsidP="00187CD6">
      <w:pPr>
        <w:pStyle w:val="TeckBodyTextSingle"/>
      </w:pPr>
    </w:p>
    <w:p w14:paraId="755530A2" w14:textId="77777777" w:rsidR="00187CD6" w:rsidRPr="00986D46" w:rsidRDefault="00187CD6" w:rsidP="00187CD6">
      <w:pPr>
        <w:pStyle w:val="TeckBodyTextSingle"/>
        <w:spacing w:line="276" w:lineRule="auto"/>
      </w:pPr>
      <w:r w:rsidRPr="00986D46">
        <w:t xml:space="preserve">Dear Ms. Matthews, </w:t>
      </w:r>
    </w:p>
    <w:p w14:paraId="6037B867" w14:textId="77777777" w:rsidR="00187CD6" w:rsidRDefault="00187CD6" w:rsidP="00187CD6">
      <w:pPr>
        <w:pStyle w:val="TeckBodyTextSingle"/>
        <w:spacing w:line="276" w:lineRule="auto"/>
        <w:rPr>
          <w:lang w:val="en-CA"/>
        </w:rPr>
      </w:pPr>
    </w:p>
    <w:p w14:paraId="54AA2381" w14:textId="77777777" w:rsidR="00187CD6" w:rsidRPr="00E625A8" w:rsidRDefault="00187CD6" w:rsidP="00187CD6">
      <w:pPr>
        <w:pStyle w:val="TeckBodyTextSingle"/>
        <w:spacing w:line="276" w:lineRule="auto"/>
        <w:rPr>
          <w:lang w:val="en-CA"/>
        </w:rPr>
      </w:pPr>
      <w:r w:rsidRPr="00E625A8">
        <w:rPr>
          <w:lang w:val="en-CA"/>
        </w:rPr>
        <w:t xml:space="preserve">Thank you for the opportunity to respond to the claims regarding Teck in the report from MiningWatch. </w:t>
      </w:r>
    </w:p>
    <w:p w14:paraId="1E20EEC5" w14:textId="77777777" w:rsidR="00187CD6" w:rsidRPr="00E625A8" w:rsidRDefault="00187CD6" w:rsidP="00187CD6">
      <w:pPr>
        <w:pStyle w:val="TeckBodyTextSingle"/>
        <w:spacing w:line="276" w:lineRule="auto"/>
        <w:rPr>
          <w:lang w:val="en-CA"/>
        </w:rPr>
      </w:pPr>
    </w:p>
    <w:p w14:paraId="7074CC69" w14:textId="77777777" w:rsidR="00187CD6" w:rsidRPr="00E625A8" w:rsidRDefault="00187CD6" w:rsidP="00187CD6">
      <w:pPr>
        <w:pStyle w:val="TeckBodyTextSingle"/>
        <w:spacing w:line="276" w:lineRule="auto"/>
        <w:rPr>
          <w:lang w:val="en-CA"/>
        </w:rPr>
      </w:pPr>
      <w:r w:rsidRPr="00E625A8">
        <w:rPr>
          <w:lang w:val="en-CA"/>
        </w:rPr>
        <w:t xml:space="preserve">At Teck, our first priority is the health and safety of workers and communities. We worked closely with unions and authorities to quickly implement extensive and consistent measures across our sites to prevent transmission of COVID-19 and safely maintain jobs and economic opportunity to the extent possible. </w:t>
      </w:r>
    </w:p>
    <w:p w14:paraId="4BD2D7F9" w14:textId="77777777" w:rsidR="00187CD6" w:rsidRPr="00E625A8" w:rsidRDefault="00187CD6" w:rsidP="00187CD6">
      <w:pPr>
        <w:pStyle w:val="TeckBodyTextSingle"/>
        <w:spacing w:line="276" w:lineRule="auto"/>
        <w:rPr>
          <w:lang w:val="en-CA"/>
        </w:rPr>
      </w:pPr>
    </w:p>
    <w:p w14:paraId="72B440CC" w14:textId="77777777" w:rsidR="00187CD6" w:rsidRPr="00E625A8" w:rsidRDefault="00187CD6" w:rsidP="00187CD6">
      <w:pPr>
        <w:pStyle w:val="TeckBodyTextSingle"/>
        <w:spacing w:line="276" w:lineRule="auto"/>
        <w:rPr>
          <w:lang w:val="en-CA"/>
        </w:rPr>
      </w:pPr>
      <w:r w:rsidRPr="00E625A8">
        <w:rPr>
          <w:lang w:val="en-CA"/>
        </w:rPr>
        <w:t xml:space="preserve">These include </w:t>
      </w:r>
      <w:r w:rsidRPr="00E625A8">
        <w:t>enhanced cleaning and disinfecting protocols; screening of contractors and visitors; requiring anyone showing symptoms or who has been in close contact with someone with symptoms to stay home from work;</w:t>
      </w:r>
      <w:r w:rsidRPr="00E625A8" w:rsidDel="00EA1C9B">
        <w:t xml:space="preserve"> </w:t>
      </w:r>
      <w:r w:rsidRPr="00E625A8">
        <w:t>increased physical distancing practices at site such as reducing the number of on-site staff; cutting the number of passengers on buses by at least 50%; staggered start times, and separating groups of employees; promoting personal preventative measures such as frequent handwashing; and ensuring proper use of PPE including masks</w:t>
      </w:r>
      <w:r w:rsidRPr="00E625A8">
        <w:rPr>
          <w:lang w:val="en-CA"/>
        </w:rPr>
        <w:t xml:space="preserve">. More details on Teck’s COVID-19 preventative measures are available here: </w:t>
      </w:r>
      <w:hyperlink r:id="rId11" w:history="1">
        <w:r w:rsidRPr="00E625A8">
          <w:rPr>
            <w:rStyle w:val="Hyperlink"/>
            <w:lang w:val="en-CA"/>
          </w:rPr>
          <w:t>https://www.teck.com/updates/</w:t>
        </w:r>
      </w:hyperlink>
      <w:r w:rsidRPr="00E625A8">
        <w:rPr>
          <w:lang w:val="en-CA"/>
        </w:rPr>
        <w:t xml:space="preserve">. </w:t>
      </w:r>
    </w:p>
    <w:p w14:paraId="0826CE0B" w14:textId="77777777" w:rsidR="00187CD6" w:rsidRPr="00E625A8" w:rsidRDefault="00187CD6" w:rsidP="00187CD6">
      <w:pPr>
        <w:rPr>
          <w:rFonts w:cs="Arial"/>
          <w:szCs w:val="20"/>
        </w:rPr>
      </w:pPr>
    </w:p>
    <w:p w14:paraId="53BB4041" w14:textId="77777777" w:rsidR="00187CD6" w:rsidRPr="00A40F04" w:rsidRDefault="00187CD6" w:rsidP="00187CD6">
      <w:pPr>
        <w:rPr>
          <w:rFonts w:ascii="Times New Roman" w:eastAsia="Times New Roman" w:hAnsi="Times New Roman" w:cs="Times New Roman"/>
          <w:sz w:val="22"/>
          <w:szCs w:val="22"/>
          <w:lang w:val="es-CL"/>
        </w:rPr>
      </w:pPr>
      <w:r w:rsidRPr="00E625A8">
        <w:rPr>
          <w:rFonts w:cs="Arial"/>
          <w:szCs w:val="20"/>
        </w:rPr>
        <w:t xml:space="preserve">As a result of these measures, there have </w:t>
      </w:r>
      <w:r w:rsidRPr="00A40F04">
        <w:rPr>
          <w:rFonts w:cs="Arial"/>
          <w:szCs w:val="20"/>
        </w:rPr>
        <w:t xml:space="preserve">been </w:t>
      </w:r>
      <w:r w:rsidRPr="00A40F04">
        <w:rPr>
          <w:rFonts w:cs="Arial"/>
          <w:szCs w:val="20"/>
          <w:u w:val="single"/>
        </w:rPr>
        <w:t>no</w:t>
      </w:r>
      <w:r w:rsidRPr="00A40F04">
        <w:rPr>
          <w:rFonts w:cs="Arial"/>
          <w:szCs w:val="20"/>
        </w:rPr>
        <w:t xml:space="preserve"> cases </w:t>
      </w:r>
      <w:r w:rsidRPr="00E625A8">
        <w:rPr>
          <w:rFonts w:cs="Arial"/>
          <w:szCs w:val="20"/>
        </w:rPr>
        <w:t xml:space="preserve">of COVID-19 at Teck’s mines in Canada, the U.S., or our Carmen de Andacollo mine in Chile. Teck </w:t>
      </w:r>
      <w:hyperlink r:id="rId12" w:history="1">
        <w:r w:rsidRPr="00E625A8">
          <w:rPr>
            <w:rStyle w:val="Hyperlink"/>
            <w:rFonts w:cs="Arial"/>
            <w:szCs w:val="20"/>
          </w:rPr>
          <w:t>announced</w:t>
        </w:r>
      </w:hyperlink>
      <w:r w:rsidRPr="00E625A8">
        <w:rPr>
          <w:rFonts w:cs="Arial"/>
          <w:szCs w:val="20"/>
        </w:rPr>
        <w:t xml:space="preserve"> on March 18 the temporary suspension of construction activities at our Quebrada Blanca Phase 2 project in Chile for worker safety. </w:t>
      </w:r>
      <w:r>
        <w:rPr>
          <w:rFonts w:cs="Arial"/>
          <w:szCs w:val="20"/>
        </w:rPr>
        <w:t xml:space="preserve">As cases of COVID-19 have increased across Chile we have had </w:t>
      </w:r>
      <w:r>
        <w:rPr>
          <w:rFonts w:eastAsia="Times New Roman" w:cs="Arial"/>
          <w:szCs w:val="20"/>
        </w:rPr>
        <w:t xml:space="preserve">approximately 35 positive cases associated with our QB site in Chile, with the majority asymptomatic. In each instance, the necessary protocols have been followed to ensure the cases were managed safely, with the health of workers being the priority. </w:t>
      </w:r>
    </w:p>
    <w:p w14:paraId="519CE9A9" w14:textId="77777777" w:rsidR="00187CD6" w:rsidRPr="00E625A8" w:rsidRDefault="00187CD6" w:rsidP="00187CD6">
      <w:pPr>
        <w:rPr>
          <w:rFonts w:cs="Arial"/>
          <w:szCs w:val="20"/>
        </w:rPr>
      </w:pPr>
    </w:p>
    <w:p w14:paraId="0BBCCF64" w14:textId="77777777" w:rsidR="00187CD6" w:rsidRPr="00E625A8" w:rsidRDefault="00187CD6" w:rsidP="00187CD6">
      <w:pPr>
        <w:rPr>
          <w:rFonts w:cs="Arial"/>
          <w:szCs w:val="20"/>
        </w:rPr>
      </w:pPr>
      <w:r w:rsidRPr="00E625A8">
        <w:rPr>
          <w:rFonts w:cs="Arial"/>
          <w:szCs w:val="20"/>
        </w:rPr>
        <w:t xml:space="preserve">In addition, the COVID-19 prevention protocols in place at our B.C. steelmaking coal mines were inspected by the government health authority which </w:t>
      </w:r>
      <w:hyperlink r:id="rId13" w:history="1">
        <w:r w:rsidRPr="00E625A8">
          <w:rPr>
            <w:rStyle w:val="Hyperlink"/>
            <w:rFonts w:cs="Arial"/>
            <w:szCs w:val="20"/>
          </w:rPr>
          <w:t>confirmed</w:t>
        </w:r>
      </w:hyperlink>
      <w:r w:rsidRPr="00E625A8">
        <w:rPr>
          <w:rFonts w:cs="Arial"/>
          <w:szCs w:val="20"/>
        </w:rPr>
        <w:t xml:space="preserve"> that the proper practices and procedures have been implemented.</w:t>
      </w:r>
    </w:p>
    <w:p w14:paraId="656CDE62" w14:textId="77777777" w:rsidR="00187CD6" w:rsidRPr="00E625A8" w:rsidRDefault="00187CD6" w:rsidP="00187CD6">
      <w:pPr>
        <w:rPr>
          <w:rFonts w:cs="Arial"/>
          <w:szCs w:val="20"/>
        </w:rPr>
      </w:pPr>
    </w:p>
    <w:p w14:paraId="1C9C3224" w14:textId="77777777" w:rsidR="00187CD6" w:rsidRPr="00E625A8" w:rsidRDefault="00187CD6" w:rsidP="00187CD6">
      <w:pPr>
        <w:rPr>
          <w:rFonts w:cs="Arial"/>
          <w:szCs w:val="20"/>
        </w:rPr>
      </w:pPr>
      <w:r w:rsidRPr="00E625A8">
        <w:rPr>
          <w:rFonts w:cs="Arial"/>
          <w:szCs w:val="20"/>
        </w:rPr>
        <w:t xml:space="preserve">The Antamina mine in Peru, in which Teck has a 22.5% non-operating minority interest, demobilized in mid-April and a rigorous testing and quarantine program was put in place to ensure employee and community health was protected. The mine </w:t>
      </w:r>
      <w:hyperlink r:id="rId14" w:history="1">
        <w:r w:rsidRPr="00E625A8">
          <w:rPr>
            <w:rStyle w:val="Hyperlink"/>
            <w:rFonts w:cs="Arial"/>
            <w:szCs w:val="20"/>
          </w:rPr>
          <w:t>resumed operations</w:t>
        </w:r>
      </w:hyperlink>
      <w:r w:rsidRPr="00E625A8">
        <w:rPr>
          <w:rFonts w:cs="Arial"/>
          <w:szCs w:val="20"/>
        </w:rPr>
        <w:t xml:space="preserve"> on May 27.</w:t>
      </w:r>
    </w:p>
    <w:p w14:paraId="2F3C4F11" w14:textId="77777777" w:rsidR="00187CD6" w:rsidRPr="00E625A8" w:rsidRDefault="00187CD6" w:rsidP="00187CD6">
      <w:pPr>
        <w:rPr>
          <w:rFonts w:cs="Arial"/>
          <w:szCs w:val="20"/>
        </w:rPr>
      </w:pPr>
    </w:p>
    <w:p w14:paraId="37B21DA9" w14:textId="77777777" w:rsidR="00187CD6" w:rsidRPr="00E625A8" w:rsidRDefault="00187CD6" w:rsidP="00187CD6">
      <w:pPr>
        <w:rPr>
          <w:rFonts w:cs="Arial"/>
          <w:szCs w:val="20"/>
        </w:rPr>
      </w:pPr>
      <w:r w:rsidRPr="00E625A8">
        <w:rPr>
          <w:rFonts w:cs="Arial"/>
          <w:szCs w:val="20"/>
        </w:rPr>
        <w:t xml:space="preserve">The </w:t>
      </w:r>
      <w:hyperlink r:id="rId15" w:history="1">
        <w:r w:rsidRPr="00E625A8">
          <w:rPr>
            <w:rStyle w:val="Hyperlink"/>
            <w:rFonts w:cs="Arial"/>
            <w:szCs w:val="20"/>
          </w:rPr>
          <w:t>letter</w:t>
        </w:r>
      </w:hyperlink>
      <w:r w:rsidRPr="00E625A8">
        <w:rPr>
          <w:rFonts w:cs="Arial"/>
          <w:szCs w:val="20"/>
        </w:rPr>
        <w:t xml:space="preserve"> from Teck referenced in the MiningWatch report was very clearly unrelated to the Antamina mine. It was sent in direct response to a </w:t>
      </w:r>
      <w:hyperlink r:id="rId16" w:history="1">
        <w:r w:rsidRPr="00E625A8">
          <w:rPr>
            <w:rStyle w:val="Hyperlink"/>
            <w:rFonts w:cs="Arial"/>
            <w:szCs w:val="20"/>
          </w:rPr>
          <w:t>Globe and Mail article</w:t>
        </w:r>
      </w:hyperlink>
      <w:r w:rsidRPr="00E625A8">
        <w:rPr>
          <w:rFonts w:cs="Arial"/>
          <w:szCs w:val="20"/>
        </w:rPr>
        <w:t xml:space="preserve"> that focused on Teck’s steelmaking coal operations in Canada; which is why it was sent and signed by Teck’s Senior Vice President, Coal, and the head of the United Steelworkers union representing workers at those mine sites. Again, it is important to note there have been </w:t>
      </w:r>
      <w:r w:rsidRPr="00E625A8">
        <w:rPr>
          <w:rFonts w:cs="Arial"/>
          <w:szCs w:val="20"/>
          <w:u w:val="single"/>
        </w:rPr>
        <w:t>no</w:t>
      </w:r>
      <w:r w:rsidRPr="00E625A8">
        <w:rPr>
          <w:rFonts w:cs="Arial"/>
          <w:szCs w:val="20"/>
        </w:rPr>
        <w:t xml:space="preserve"> cases of COVID-19 at Teck’s Canadian operations to date.</w:t>
      </w:r>
    </w:p>
    <w:p w14:paraId="4728B81B" w14:textId="77777777" w:rsidR="00187CD6" w:rsidRPr="00E625A8" w:rsidRDefault="00187CD6" w:rsidP="00187CD6">
      <w:pPr>
        <w:pStyle w:val="TeckBodyTextSingle"/>
        <w:spacing w:line="276" w:lineRule="auto"/>
        <w:rPr>
          <w:lang w:val="es-CL"/>
        </w:rPr>
      </w:pPr>
    </w:p>
    <w:p w14:paraId="002BCA3D" w14:textId="77777777" w:rsidR="00187CD6" w:rsidRPr="00E625A8" w:rsidRDefault="00187CD6" w:rsidP="00187CD6">
      <w:pPr>
        <w:pStyle w:val="TeckBodyText"/>
        <w:spacing w:after="0" w:line="276" w:lineRule="auto"/>
        <w:jc w:val="both"/>
        <w:rPr>
          <w:sz w:val="20"/>
          <w:szCs w:val="20"/>
        </w:rPr>
      </w:pPr>
      <w:r w:rsidRPr="00E625A8">
        <w:rPr>
          <w:sz w:val="20"/>
          <w:szCs w:val="20"/>
        </w:rPr>
        <w:t xml:space="preserve">Should you require more information on this or other Teck issues, please do not hesitate to contact me directly. </w:t>
      </w:r>
    </w:p>
    <w:p w14:paraId="5E3F7FD7" w14:textId="77777777" w:rsidR="00187CD6" w:rsidRPr="00E625A8" w:rsidRDefault="00187CD6" w:rsidP="00187CD6">
      <w:pPr>
        <w:pStyle w:val="TeckBodyText"/>
        <w:spacing w:after="0" w:line="276" w:lineRule="auto"/>
        <w:jc w:val="both"/>
        <w:rPr>
          <w:sz w:val="20"/>
          <w:szCs w:val="20"/>
        </w:rPr>
      </w:pPr>
      <w:bookmarkStart w:id="0" w:name="_GoBack"/>
      <w:bookmarkEnd w:id="0"/>
    </w:p>
    <w:p w14:paraId="4518504B" w14:textId="77777777" w:rsidR="00187CD6" w:rsidRPr="00E625A8" w:rsidRDefault="00187CD6" w:rsidP="00187CD6">
      <w:pPr>
        <w:pStyle w:val="TeckBodyText"/>
        <w:spacing w:after="0" w:line="276" w:lineRule="auto"/>
        <w:jc w:val="both"/>
        <w:rPr>
          <w:sz w:val="20"/>
          <w:szCs w:val="20"/>
        </w:rPr>
      </w:pPr>
      <w:r w:rsidRPr="00E625A8">
        <w:rPr>
          <w:sz w:val="20"/>
          <w:szCs w:val="20"/>
        </w:rPr>
        <w:t xml:space="preserve">Regards, </w:t>
      </w:r>
    </w:p>
    <w:p w14:paraId="50CD2A62" w14:textId="77777777" w:rsidR="00187CD6" w:rsidRPr="00E625A8" w:rsidRDefault="00187CD6" w:rsidP="00187CD6">
      <w:pPr>
        <w:pStyle w:val="TeckBodyText"/>
        <w:spacing w:after="0" w:line="276" w:lineRule="auto"/>
        <w:jc w:val="both"/>
        <w:rPr>
          <w:sz w:val="20"/>
          <w:szCs w:val="20"/>
        </w:rPr>
      </w:pPr>
    </w:p>
    <w:p w14:paraId="69DFC2F9" w14:textId="77777777" w:rsidR="00187CD6" w:rsidRPr="00E625A8" w:rsidRDefault="00187CD6" w:rsidP="00187CD6">
      <w:pPr>
        <w:pStyle w:val="TeckBodyText"/>
        <w:spacing w:after="0" w:line="276" w:lineRule="auto"/>
        <w:jc w:val="both"/>
        <w:rPr>
          <w:sz w:val="20"/>
          <w:szCs w:val="20"/>
        </w:rPr>
      </w:pPr>
      <w:r w:rsidRPr="00E625A8">
        <w:rPr>
          <w:sz w:val="20"/>
          <w:szCs w:val="20"/>
        </w:rPr>
        <w:t xml:space="preserve">Chris Stannell  </w:t>
      </w:r>
    </w:p>
    <w:p w14:paraId="4847AE56" w14:textId="77777777" w:rsidR="00187CD6" w:rsidRPr="00E625A8" w:rsidRDefault="00187CD6" w:rsidP="00187CD6">
      <w:pPr>
        <w:pStyle w:val="TeckBodyText"/>
        <w:spacing w:after="0" w:line="276" w:lineRule="auto"/>
        <w:jc w:val="both"/>
        <w:rPr>
          <w:sz w:val="20"/>
          <w:szCs w:val="20"/>
        </w:rPr>
      </w:pPr>
      <w:r w:rsidRPr="00E625A8">
        <w:rPr>
          <w:sz w:val="20"/>
          <w:szCs w:val="20"/>
        </w:rPr>
        <w:t xml:space="preserve">Public Relations Manager </w:t>
      </w:r>
    </w:p>
    <w:p w14:paraId="00F7F7F5" w14:textId="77777777" w:rsidR="00187CD6" w:rsidRPr="00E625A8" w:rsidRDefault="00187CD6" w:rsidP="00187CD6">
      <w:pPr>
        <w:pStyle w:val="TeckBodyText"/>
        <w:spacing w:after="0" w:line="276" w:lineRule="auto"/>
        <w:jc w:val="both"/>
        <w:rPr>
          <w:sz w:val="20"/>
          <w:szCs w:val="20"/>
        </w:rPr>
      </w:pPr>
      <w:r w:rsidRPr="00E625A8">
        <w:rPr>
          <w:sz w:val="20"/>
          <w:szCs w:val="20"/>
        </w:rPr>
        <w:t xml:space="preserve">Teck </w:t>
      </w:r>
    </w:p>
    <w:p w14:paraId="43F015E5" w14:textId="77777777" w:rsidR="00187CD6" w:rsidRPr="00E625A8" w:rsidRDefault="00187CD6" w:rsidP="00187CD6">
      <w:pPr>
        <w:pStyle w:val="TeckBodyText"/>
        <w:spacing w:after="0" w:line="276" w:lineRule="auto"/>
        <w:jc w:val="both"/>
        <w:rPr>
          <w:sz w:val="20"/>
          <w:szCs w:val="20"/>
        </w:rPr>
      </w:pPr>
      <w:r w:rsidRPr="00E625A8">
        <w:rPr>
          <w:sz w:val="20"/>
          <w:szCs w:val="20"/>
        </w:rPr>
        <w:t xml:space="preserve">b. 604.699.4368 </w:t>
      </w:r>
    </w:p>
    <w:p w14:paraId="6C84CC41" w14:textId="77777777" w:rsidR="00187CD6" w:rsidRPr="00E625A8" w:rsidRDefault="00187CD6" w:rsidP="00187CD6">
      <w:pPr>
        <w:pStyle w:val="TeckBodyText"/>
        <w:spacing w:after="0" w:line="276" w:lineRule="auto"/>
        <w:jc w:val="both"/>
        <w:rPr>
          <w:sz w:val="20"/>
          <w:szCs w:val="20"/>
        </w:rPr>
      </w:pPr>
      <w:r w:rsidRPr="00E625A8">
        <w:rPr>
          <w:sz w:val="20"/>
          <w:szCs w:val="20"/>
        </w:rPr>
        <w:t xml:space="preserve">e. </w:t>
      </w:r>
      <w:hyperlink r:id="rId17" w:history="1">
        <w:r w:rsidRPr="00E625A8">
          <w:rPr>
            <w:rStyle w:val="Hyperlink"/>
            <w:sz w:val="20"/>
            <w:szCs w:val="20"/>
          </w:rPr>
          <w:t>chris.stannell@teck.com</w:t>
        </w:r>
      </w:hyperlink>
      <w:r w:rsidRPr="00E625A8">
        <w:rPr>
          <w:sz w:val="20"/>
          <w:szCs w:val="20"/>
        </w:rPr>
        <w:t xml:space="preserve"> </w:t>
      </w:r>
    </w:p>
    <w:p w14:paraId="3D9CCBA8" w14:textId="77777777" w:rsidR="00187CD6" w:rsidRDefault="00187CD6" w:rsidP="00187CD6"/>
    <w:p w14:paraId="123CD1EB" w14:textId="77777777" w:rsidR="002A3857" w:rsidRPr="00E914E2" w:rsidRDefault="002A3857" w:rsidP="002A3857">
      <w:pPr>
        <w:rPr>
          <w:rFonts w:eastAsia="Calibri" w:cs="Arial"/>
        </w:rPr>
      </w:pPr>
    </w:p>
    <w:p w14:paraId="2FF1577C" w14:textId="5B1F7763" w:rsidR="001C3D46" w:rsidRPr="002A3857" w:rsidRDefault="001C3D46" w:rsidP="002A3857"/>
    <w:sectPr w:rsidR="001C3D46" w:rsidRPr="002A3857" w:rsidSect="00F04952">
      <w:headerReference w:type="default" r:id="rId18"/>
      <w:footerReference w:type="default" r:id="rId19"/>
      <w:headerReference w:type="first" r:id="rId20"/>
      <w:pgSz w:w="12240" w:h="15840"/>
      <w:pgMar w:top="1440" w:right="1440" w:bottom="1440" w:left="1440" w:header="1138"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8649C" w14:textId="77777777" w:rsidR="00C60AD7" w:rsidRDefault="00C60AD7" w:rsidP="00CA4F07">
      <w:r>
        <w:separator/>
      </w:r>
    </w:p>
  </w:endnote>
  <w:endnote w:type="continuationSeparator" w:id="0">
    <w:p w14:paraId="6C959D7E" w14:textId="77777777" w:rsidR="00C60AD7" w:rsidRDefault="00C60AD7" w:rsidP="00CA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37516"/>
      <w:docPartObj>
        <w:docPartGallery w:val="Page Numbers (Bottom of Page)"/>
        <w:docPartUnique/>
      </w:docPartObj>
    </w:sdtPr>
    <w:sdtEndPr>
      <w:rPr>
        <w:noProof/>
      </w:rPr>
    </w:sdtEndPr>
    <w:sdtContent>
      <w:p w14:paraId="4F5F160F" w14:textId="1E4F8B1D" w:rsidR="00F04952" w:rsidRDefault="00F04952">
        <w:pPr>
          <w:pStyle w:val="Footer"/>
          <w:jc w:val="right"/>
        </w:pPr>
        <w:r>
          <w:fldChar w:fldCharType="begin"/>
        </w:r>
        <w:r>
          <w:instrText xml:space="preserve"> PAGE   \* MERGEFORMAT </w:instrText>
        </w:r>
        <w:r>
          <w:fldChar w:fldCharType="separate"/>
        </w:r>
        <w:r w:rsidR="00187CD6">
          <w:rPr>
            <w:noProof/>
          </w:rPr>
          <w:t>2</w:t>
        </w:r>
        <w:r>
          <w:rPr>
            <w:noProof/>
          </w:rPr>
          <w:fldChar w:fldCharType="end"/>
        </w:r>
      </w:p>
    </w:sdtContent>
  </w:sdt>
  <w:p w14:paraId="6BBA2C11" w14:textId="77777777" w:rsidR="00F04952" w:rsidRDefault="00F04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F937C" w14:textId="77777777" w:rsidR="00C60AD7" w:rsidRDefault="00C60AD7" w:rsidP="00CA4F07">
      <w:r>
        <w:separator/>
      </w:r>
    </w:p>
  </w:footnote>
  <w:footnote w:type="continuationSeparator" w:id="0">
    <w:p w14:paraId="723A468A" w14:textId="77777777" w:rsidR="00C60AD7" w:rsidRDefault="00C60AD7" w:rsidP="00CA4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B77B" w14:textId="1C68F2C1" w:rsidR="00CA4F07" w:rsidRDefault="00CA4F07" w:rsidP="00F579B0">
    <w:pPr>
      <w:pStyle w:val="Header"/>
    </w:pPr>
  </w:p>
  <w:p w14:paraId="2C2269DA" w14:textId="77777777" w:rsidR="00204A8B" w:rsidRDefault="00204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4"/>
      <w:gridCol w:w="258"/>
      <w:gridCol w:w="2551"/>
      <w:gridCol w:w="275"/>
      <w:gridCol w:w="1705"/>
      <w:gridCol w:w="2610"/>
    </w:tblGrid>
    <w:tr w:rsidR="00513629" w14:paraId="67531CBE" w14:textId="77777777" w:rsidTr="00995035">
      <w:trPr>
        <w:trHeight w:val="763"/>
      </w:trPr>
      <w:tc>
        <w:tcPr>
          <w:tcW w:w="2174" w:type="dxa"/>
          <w:vMerge w:val="restart"/>
          <w:hideMark/>
        </w:tcPr>
        <w:p w14:paraId="053D7D13" w14:textId="659238E3" w:rsidR="00F3092C" w:rsidRDefault="002910AA" w:rsidP="00781427">
          <w:pPr>
            <w:pStyle w:val="Header"/>
            <w:spacing w:line="240" w:lineRule="auto"/>
            <w:rPr>
              <w:rFonts w:cs="Arial"/>
              <w:sz w:val="16"/>
            </w:rPr>
          </w:pPr>
          <w:r>
            <w:rPr>
              <w:rFonts w:cs="Arial"/>
              <w:noProof/>
              <w:sz w:val="16"/>
              <w:lang w:val="en-US"/>
            </w:rPr>
            <w:drawing>
              <wp:inline distT="0" distB="0" distL="0" distR="0" wp14:anchorId="359D5999" wp14:editId="6D1A989E">
                <wp:extent cx="1374651" cy="591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k-Word-Header-20190508.png"/>
                        <pic:cNvPicPr/>
                      </pic:nvPicPr>
                      <pic:blipFill>
                        <a:blip r:embed="rId1">
                          <a:extLst>
                            <a:ext uri="{28A0092B-C50C-407E-A947-70E740481C1C}">
                              <a14:useLocalDpi xmlns:a14="http://schemas.microsoft.com/office/drawing/2010/main" val="0"/>
                            </a:ext>
                          </a:extLst>
                        </a:blip>
                        <a:stretch>
                          <a:fillRect/>
                        </a:stretch>
                      </pic:blipFill>
                      <pic:spPr>
                        <a:xfrm>
                          <a:off x="0" y="0"/>
                          <a:ext cx="1374651" cy="591313"/>
                        </a:xfrm>
                        <a:prstGeom prst="rect">
                          <a:avLst/>
                        </a:prstGeom>
                      </pic:spPr>
                    </pic:pic>
                  </a:graphicData>
                </a:graphic>
              </wp:inline>
            </w:drawing>
          </w:r>
        </w:p>
      </w:tc>
      <w:tc>
        <w:tcPr>
          <w:tcW w:w="258" w:type="dxa"/>
        </w:tcPr>
        <w:p w14:paraId="22F40437" w14:textId="77777777" w:rsidR="00F3092C" w:rsidRDefault="00F3092C" w:rsidP="00781427">
          <w:pPr>
            <w:pStyle w:val="Header"/>
            <w:spacing w:line="240" w:lineRule="auto"/>
            <w:rPr>
              <w:rFonts w:cs="Arial"/>
              <w:sz w:val="16"/>
            </w:rPr>
          </w:pPr>
        </w:p>
      </w:tc>
      <w:tc>
        <w:tcPr>
          <w:tcW w:w="2551" w:type="dxa"/>
          <w:vAlign w:val="bottom"/>
          <w:hideMark/>
        </w:tcPr>
        <w:p w14:paraId="01EF0B84" w14:textId="2A6D7E7C" w:rsidR="00222A23" w:rsidRDefault="00B57FA3" w:rsidP="004A5096">
          <w:pPr>
            <w:pStyle w:val="Header"/>
            <w:spacing w:line="240" w:lineRule="auto"/>
            <w:rPr>
              <w:rFonts w:cs="Arial"/>
              <w:b/>
              <w:color w:val="000F7B" w:themeColor="text2"/>
              <w:sz w:val="16"/>
            </w:rPr>
          </w:pPr>
          <w:r w:rsidRPr="00B57FA3">
            <w:rPr>
              <w:rFonts w:cs="Arial"/>
              <w:b/>
              <w:color w:val="000F7B" w:themeColor="text2"/>
              <w:sz w:val="16"/>
            </w:rPr>
            <w:t>Teck Resources Limited</w:t>
          </w:r>
          <w:r w:rsidR="00E17FB0" w:rsidRPr="00E17FB0">
            <w:rPr>
              <w:rFonts w:cs="Arial"/>
              <w:b/>
              <w:color w:val="000F7B" w:themeColor="text2"/>
              <w:sz w:val="16"/>
            </w:rPr>
            <w:t xml:space="preserve"> </w:t>
          </w:r>
          <w:r w:rsidR="00E43676" w:rsidRPr="00E43676">
            <w:rPr>
              <w:rFonts w:cs="Arial"/>
              <w:b/>
              <w:color w:val="000F7B" w:themeColor="text2"/>
              <w:sz w:val="16"/>
            </w:rPr>
            <w:t xml:space="preserve"> </w:t>
          </w:r>
          <w:r w:rsidR="00EB305B" w:rsidRPr="00EB305B">
            <w:rPr>
              <w:rFonts w:cs="Arial"/>
              <w:b/>
              <w:color w:val="000F7B" w:themeColor="text2"/>
              <w:sz w:val="16"/>
            </w:rPr>
            <w:t xml:space="preserve"> </w:t>
          </w:r>
          <w:r w:rsidR="00222A23" w:rsidRPr="00222A23">
            <w:rPr>
              <w:rFonts w:cs="Arial"/>
              <w:b/>
              <w:color w:val="000F7B" w:themeColor="text2"/>
              <w:sz w:val="16"/>
            </w:rPr>
            <w:t xml:space="preserve"> </w:t>
          </w:r>
        </w:p>
        <w:p w14:paraId="1E548A40" w14:textId="77777777" w:rsidR="00B57FA3" w:rsidRPr="00B57FA3" w:rsidRDefault="00B57FA3" w:rsidP="00B57FA3">
          <w:pPr>
            <w:pStyle w:val="Header"/>
            <w:spacing w:line="240" w:lineRule="auto"/>
            <w:rPr>
              <w:rFonts w:cs="Arial"/>
              <w:color w:val="000F7B" w:themeColor="text2"/>
              <w:sz w:val="16"/>
            </w:rPr>
          </w:pPr>
          <w:r w:rsidRPr="00B57FA3">
            <w:rPr>
              <w:rFonts w:cs="Arial"/>
              <w:color w:val="000F7B" w:themeColor="text2"/>
              <w:sz w:val="16"/>
            </w:rPr>
            <w:t xml:space="preserve">Suite 3300, 550 Burrard Street </w:t>
          </w:r>
        </w:p>
        <w:p w14:paraId="749DD6A4" w14:textId="2C4874AB" w:rsidR="00F3092C" w:rsidRPr="0074575F" w:rsidRDefault="00B57FA3" w:rsidP="00B57FA3">
          <w:pPr>
            <w:pStyle w:val="Header"/>
            <w:spacing w:line="240" w:lineRule="auto"/>
            <w:rPr>
              <w:rFonts w:cs="Arial"/>
              <w:color w:val="000F7B" w:themeColor="text2"/>
              <w:sz w:val="16"/>
              <w:lang w:val="es-ES"/>
            </w:rPr>
          </w:pPr>
          <w:r w:rsidRPr="0074575F">
            <w:rPr>
              <w:rFonts w:cs="Arial"/>
              <w:color w:val="000F7B" w:themeColor="text2"/>
              <w:sz w:val="16"/>
              <w:lang w:val="es-ES"/>
            </w:rPr>
            <w:t xml:space="preserve">Vancouver, B.C. Canada  V6C 0B3 </w:t>
          </w:r>
          <w:r w:rsidR="00FC6092" w:rsidRPr="0074575F">
            <w:rPr>
              <w:rFonts w:cs="Arial"/>
              <w:color w:val="000F7B" w:themeColor="text2"/>
              <w:sz w:val="16"/>
              <w:lang w:val="es-ES"/>
            </w:rPr>
            <w:t xml:space="preserve"> </w:t>
          </w:r>
          <w:r w:rsidR="00995035" w:rsidRPr="0074575F">
            <w:rPr>
              <w:rFonts w:cs="Arial"/>
              <w:color w:val="000F7B" w:themeColor="text2"/>
              <w:sz w:val="16"/>
              <w:lang w:val="es-ES"/>
            </w:rPr>
            <w:t xml:space="preserve"> </w:t>
          </w:r>
          <w:r w:rsidR="00CC02F1" w:rsidRPr="0074575F">
            <w:rPr>
              <w:rFonts w:cs="Arial"/>
              <w:color w:val="000F7B" w:themeColor="text2"/>
              <w:sz w:val="16"/>
              <w:lang w:val="es-ES"/>
            </w:rPr>
            <w:t xml:space="preserve"> </w:t>
          </w:r>
          <w:r w:rsidR="005A72E6" w:rsidRPr="0074575F">
            <w:rPr>
              <w:rFonts w:cs="Arial"/>
              <w:color w:val="000F7B" w:themeColor="text2"/>
              <w:sz w:val="16"/>
              <w:lang w:val="es-ES"/>
            </w:rPr>
            <w:t xml:space="preserve"> </w:t>
          </w:r>
          <w:r w:rsidR="00513629" w:rsidRPr="0074575F">
            <w:rPr>
              <w:rFonts w:cs="Arial"/>
              <w:color w:val="000F7B" w:themeColor="text2"/>
              <w:sz w:val="16"/>
              <w:lang w:val="es-ES"/>
            </w:rPr>
            <w:t xml:space="preserve"> </w:t>
          </w:r>
          <w:r w:rsidR="005A4606" w:rsidRPr="0074575F">
            <w:rPr>
              <w:rFonts w:cs="Arial"/>
              <w:color w:val="000F7B" w:themeColor="text2"/>
              <w:sz w:val="16"/>
              <w:lang w:val="es-ES"/>
            </w:rPr>
            <w:t xml:space="preserve">  </w:t>
          </w:r>
          <w:r w:rsidR="00751F89" w:rsidRPr="0074575F">
            <w:rPr>
              <w:rFonts w:cs="Arial"/>
              <w:color w:val="000F7B" w:themeColor="text2"/>
              <w:sz w:val="16"/>
              <w:lang w:val="es-ES"/>
            </w:rPr>
            <w:t xml:space="preserve"> </w:t>
          </w:r>
          <w:r w:rsidR="008C73D2" w:rsidRPr="0074575F">
            <w:rPr>
              <w:rFonts w:cs="Arial"/>
              <w:color w:val="000F7B" w:themeColor="text2"/>
              <w:sz w:val="16"/>
              <w:lang w:val="es-ES"/>
            </w:rPr>
            <w:t xml:space="preserve"> </w:t>
          </w:r>
          <w:r w:rsidR="00C64671" w:rsidRPr="0074575F">
            <w:rPr>
              <w:rFonts w:cs="Arial"/>
              <w:color w:val="000F7B" w:themeColor="text2"/>
              <w:sz w:val="16"/>
              <w:lang w:val="es-ES"/>
            </w:rPr>
            <w:t xml:space="preserve"> </w:t>
          </w:r>
          <w:r w:rsidR="003D0CD3" w:rsidRPr="0074575F">
            <w:rPr>
              <w:rFonts w:cs="Arial"/>
              <w:color w:val="000F7B" w:themeColor="text2"/>
              <w:sz w:val="16"/>
              <w:lang w:val="es-ES"/>
            </w:rPr>
            <w:t xml:space="preserve"> </w:t>
          </w:r>
          <w:r w:rsidR="008864D9" w:rsidRPr="0074575F">
            <w:rPr>
              <w:rFonts w:cs="Arial"/>
              <w:color w:val="000F7B" w:themeColor="text2"/>
              <w:sz w:val="16"/>
              <w:lang w:val="es-ES"/>
            </w:rPr>
            <w:t xml:space="preserve"> </w:t>
          </w:r>
          <w:r w:rsidR="00276787" w:rsidRPr="0074575F">
            <w:rPr>
              <w:rFonts w:cs="Arial"/>
              <w:color w:val="000F7B" w:themeColor="text2"/>
              <w:sz w:val="16"/>
              <w:lang w:val="es-ES"/>
            </w:rPr>
            <w:t xml:space="preserve"> </w:t>
          </w:r>
          <w:r w:rsidR="00565FDB" w:rsidRPr="0074575F">
            <w:rPr>
              <w:rFonts w:cs="Arial"/>
              <w:color w:val="000F7B" w:themeColor="text2"/>
              <w:sz w:val="16"/>
              <w:lang w:val="es-ES"/>
            </w:rPr>
            <w:t xml:space="preserve"> </w:t>
          </w:r>
          <w:r w:rsidR="00F0032C" w:rsidRPr="0074575F">
            <w:rPr>
              <w:rFonts w:cs="Arial"/>
              <w:color w:val="000F7B" w:themeColor="text2"/>
              <w:sz w:val="16"/>
              <w:lang w:val="es-ES"/>
            </w:rPr>
            <w:t xml:space="preserve"> </w:t>
          </w:r>
          <w:r w:rsidR="00315673" w:rsidRPr="0074575F">
            <w:rPr>
              <w:rFonts w:cs="Arial"/>
              <w:color w:val="000F7B" w:themeColor="text2"/>
              <w:sz w:val="16"/>
              <w:lang w:val="es-ES"/>
            </w:rPr>
            <w:t xml:space="preserve"> </w:t>
          </w:r>
          <w:r w:rsidR="00E17FB0" w:rsidRPr="0074575F">
            <w:rPr>
              <w:rFonts w:cs="Arial"/>
              <w:color w:val="000F7B" w:themeColor="text2"/>
              <w:sz w:val="16"/>
              <w:lang w:val="es-ES"/>
            </w:rPr>
            <w:t xml:space="preserve"> </w:t>
          </w:r>
          <w:r w:rsidR="00E43676" w:rsidRPr="0074575F">
            <w:rPr>
              <w:rFonts w:cs="Arial"/>
              <w:color w:val="000F7B" w:themeColor="text2"/>
              <w:sz w:val="16"/>
              <w:lang w:val="es-ES"/>
            </w:rPr>
            <w:t xml:space="preserve"> </w:t>
          </w:r>
          <w:r w:rsidR="00854BA8" w:rsidRPr="0074575F">
            <w:rPr>
              <w:rFonts w:cs="Arial"/>
              <w:color w:val="000F7B" w:themeColor="text2"/>
              <w:sz w:val="16"/>
              <w:lang w:val="es-ES"/>
            </w:rPr>
            <w:t xml:space="preserve"> </w:t>
          </w:r>
          <w:r w:rsidR="00C45EED" w:rsidRPr="0074575F">
            <w:rPr>
              <w:rFonts w:cs="Arial"/>
              <w:color w:val="000F7B" w:themeColor="text2"/>
              <w:sz w:val="16"/>
              <w:lang w:val="es-ES"/>
            </w:rPr>
            <w:t xml:space="preserve"> </w:t>
          </w:r>
          <w:r w:rsidR="00EB305B" w:rsidRPr="0074575F">
            <w:rPr>
              <w:rFonts w:cs="Arial"/>
              <w:color w:val="000F7B" w:themeColor="text2"/>
              <w:sz w:val="16"/>
              <w:lang w:val="es-ES"/>
            </w:rPr>
            <w:t xml:space="preserve"> </w:t>
          </w:r>
          <w:r w:rsidR="00760B3A" w:rsidRPr="0074575F">
            <w:rPr>
              <w:rFonts w:cs="Arial"/>
              <w:color w:val="000F7B" w:themeColor="text2"/>
              <w:sz w:val="16"/>
              <w:lang w:val="es-ES"/>
            </w:rPr>
            <w:t xml:space="preserve"> </w:t>
          </w:r>
          <w:r w:rsidR="008146CF" w:rsidRPr="0074575F">
            <w:rPr>
              <w:rFonts w:cs="Arial"/>
              <w:color w:val="000F7B" w:themeColor="text2"/>
              <w:sz w:val="16"/>
              <w:lang w:val="es-ES"/>
            </w:rPr>
            <w:t xml:space="preserve">  </w:t>
          </w:r>
        </w:p>
      </w:tc>
      <w:tc>
        <w:tcPr>
          <w:tcW w:w="275" w:type="dxa"/>
          <w:vAlign w:val="bottom"/>
        </w:tcPr>
        <w:p w14:paraId="66403CF3" w14:textId="77777777" w:rsidR="00F3092C" w:rsidRPr="0074575F" w:rsidRDefault="00F3092C" w:rsidP="00781427">
          <w:pPr>
            <w:pStyle w:val="Header"/>
            <w:spacing w:line="240" w:lineRule="auto"/>
            <w:rPr>
              <w:rFonts w:cs="Arial"/>
              <w:color w:val="000F7B" w:themeColor="text2"/>
              <w:sz w:val="16"/>
              <w:lang w:val="es-ES"/>
            </w:rPr>
          </w:pPr>
        </w:p>
      </w:tc>
      <w:tc>
        <w:tcPr>
          <w:tcW w:w="1705" w:type="dxa"/>
          <w:vAlign w:val="bottom"/>
        </w:tcPr>
        <w:p w14:paraId="496F1B5B" w14:textId="77777777" w:rsidR="00F3092C" w:rsidRPr="0074575F" w:rsidRDefault="00F3092C" w:rsidP="00781427">
          <w:pPr>
            <w:pStyle w:val="Header"/>
            <w:spacing w:line="240" w:lineRule="auto"/>
            <w:rPr>
              <w:rFonts w:cs="Arial"/>
              <w:color w:val="000F7B" w:themeColor="text2"/>
              <w:sz w:val="16"/>
              <w:lang w:val="es-ES"/>
            </w:rPr>
          </w:pPr>
        </w:p>
        <w:p w14:paraId="46794D2C" w14:textId="0E0FF59D" w:rsidR="00F3092C" w:rsidRDefault="00B57FA3" w:rsidP="00781427">
          <w:pPr>
            <w:pStyle w:val="Header"/>
            <w:spacing w:line="240" w:lineRule="auto"/>
            <w:rPr>
              <w:rFonts w:cs="Arial"/>
              <w:color w:val="000F7B" w:themeColor="text2"/>
              <w:sz w:val="16"/>
            </w:rPr>
          </w:pPr>
          <w:r w:rsidRPr="00B57FA3">
            <w:rPr>
              <w:rFonts w:cs="Arial"/>
              <w:color w:val="000F7B" w:themeColor="text2"/>
              <w:sz w:val="16"/>
            </w:rPr>
            <w:t>+1 604 699 4000 Tel</w:t>
          </w:r>
        </w:p>
        <w:p w14:paraId="36926607" w14:textId="77777777" w:rsidR="00F3092C" w:rsidRDefault="00F3092C" w:rsidP="00781427">
          <w:pPr>
            <w:pStyle w:val="Header"/>
            <w:spacing w:line="240" w:lineRule="auto"/>
            <w:rPr>
              <w:rFonts w:cs="Arial"/>
              <w:color w:val="000F7B" w:themeColor="text2"/>
              <w:sz w:val="16"/>
            </w:rPr>
          </w:pPr>
          <w:r>
            <w:rPr>
              <w:rFonts w:cs="Arial"/>
              <w:color w:val="000F7B" w:themeColor="text2"/>
              <w:sz w:val="16"/>
            </w:rPr>
            <w:t xml:space="preserve">www.teck.com </w:t>
          </w:r>
        </w:p>
      </w:tc>
      <w:tc>
        <w:tcPr>
          <w:tcW w:w="2610" w:type="dxa"/>
          <w:vAlign w:val="bottom"/>
        </w:tcPr>
        <w:p w14:paraId="2960FA9A" w14:textId="77777777" w:rsidR="00F3092C" w:rsidRDefault="00F3092C" w:rsidP="00781427">
          <w:pPr>
            <w:pStyle w:val="Header"/>
            <w:spacing w:line="240" w:lineRule="auto"/>
            <w:jc w:val="right"/>
            <w:rPr>
              <w:rFonts w:cs="Arial"/>
              <w:b/>
              <w:color w:val="000F7B" w:themeColor="text2"/>
              <w:sz w:val="22"/>
              <w:lang w:val="en-US"/>
            </w:rPr>
          </w:pPr>
        </w:p>
        <w:p w14:paraId="087ABA8B" w14:textId="1F7C5746" w:rsidR="00F3092C" w:rsidRDefault="00F3092C" w:rsidP="00781427">
          <w:pPr>
            <w:pStyle w:val="Header"/>
            <w:spacing w:line="240" w:lineRule="auto"/>
            <w:jc w:val="right"/>
            <w:rPr>
              <w:rFonts w:cs="Arial"/>
              <w:b/>
              <w:color w:val="000F7B" w:themeColor="text2"/>
              <w:sz w:val="22"/>
              <w:szCs w:val="22"/>
              <w:lang w:val="en-US"/>
            </w:rPr>
          </w:pPr>
        </w:p>
      </w:tc>
    </w:tr>
    <w:tr w:rsidR="00513629" w14:paraId="401CE2AB" w14:textId="77777777" w:rsidTr="00995035">
      <w:trPr>
        <w:trHeight w:val="144"/>
      </w:trPr>
      <w:tc>
        <w:tcPr>
          <w:tcW w:w="0" w:type="auto"/>
          <w:vMerge/>
          <w:vAlign w:val="center"/>
          <w:hideMark/>
        </w:tcPr>
        <w:p w14:paraId="7A829257" w14:textId="77777777" w:rsidR="00F3092C" w:rsidRDefault="00F3092C" w:rsidP="00781427">
          <w:pPr>
            <w:spacing w:line="240" w:lineRule="auto"/>
            <w:rPr>
              <w:rFonts w:cs="Arial"/>
              <w:sz w:val="16"/>
            </w:rPr>
          </w:pPr>
        </w:p>
      </w:tc>
      <w:tc>
        <w:tcPr>
          <w:tcW w:w="258" w:type="dxa"/>
        </w:tcPr>
        <w:p w14:paraId="7E351454" w14:textId="77777777" w:rsidR="00F3092C" w:rsidRDefault="00F3092C" w:rsidP="00781427">
          <w:pPr>
            <w:pStyle w:val="Header"/>
            <w:spacing w:line="240" w:lineRule="auto"/>
            <w:rPr>
              <w:rFonts w:cs="Arial"/>
              <w:sz w:val="14"/>
            </w:rPr>
          </w:pPr>
        </w:p>
      </w:tc>
      <w:tc>
        <w:tcPr>
          <w:tcW w:w="2551" w:type="dxa"/>
          <w:vAlign w:val="bottom"/>
        </w:tcPr>
        <w:p w14:paraId="5559DD1D" w14:textId="77777777" w:rsidR="00F3092C" w:rsidRDefault="00F3092C" w:rsidP="00781427">
          <w:pPr>
            <w:pStyle w:val="Header"/>
            <w:spacing w:line="240" w:lineRule="auto"/>
            <w:rPr>
              <w:rFonts w:cs="Arial"/>
              <w:b/>
              <w:color w:val="000F7B" w:themeColor="text2"/>
              <w:sz w:val="14"/>
            </w:rPr>
          </w:pPr>
        </w:p>
      </w:tc>
      <w:tc>
        <w:tcPr>
          <w:tcW w:w="275" w:type="dxa"/>
          <w:vAlign w:val="bottom"/>
        </w:tcPr>
        <w:p w14:paraId="73849273" w14:textId="77777777" w:rsidR="00F3092C" w:rsidRDefault="00F3092C" w:rsidP="00781427">
          <w:pPr>
            <w:pStyle w:val="Header"/>
            <w:spacing w:line="240" w:lineRule="auto"/>
            <w:rPr>
              <w:rFonts w:cs="Arial"/>
              <w:color w:val="000F7B" w:themeColor="text2"/>
              <w:sz w:val="14"/>
            </w:rPr>
          </w:pPr>
        </w:p>
      </w:tc>
      <w:tc>
        <w:tcPr>
          <w:tcW w:w="1705" w:type="dxa"/>
          <w:vAlign w:val="bottom"/>
        </w:tcPr>
        <w:p w14:paraId="3FF33BB7" w14:textId="77777777" w:rsidR="00F3092C" w:rsidRDefault="00F3092C" w:rsidP="00781427">
          <w:pPr>
            <w:pStyle w:val="Header"/>
            <w:spacing w:line="240" w:lineRule="auto"/>
            <w:rPr>
              <w:rFonts w:cs="Arial"/>
              <w:color w:val="000F7B" w:themeColor="text2"/>
              <w:sz w:val="14"/>
            </w:rPr>
          </w:pPr>
        </w:p>
      </w:tc>
      <w:tc>
        <w:tcPr>
          <w:tcW w:w="2610" w:type="dxa"/>
          <w:vAlign w:val="bottom"/>
        </w:tcPr>
        <w:p w14:paraId="7146B1B8" w14:textId="77777777" w:rsidR="00F3092C" w:rsidRDefault="00F3092C" w:rsidP="00781427">
          <w:pPr>
            <w:pStyle w:val="Header"/>
            <w:spacing w:line="240" w:lineRule="auto"/>
            <w:jc w:val="right"/>
            <w:rPr>
              <w:rFonts w:cs="Arial"/>
              <w:b/>
              <w:color w:val="000F7B" w:themeColor="text2"/>
              <w:sz w:val="14"/>
              <w:lang w:val="en-US"/>
            </w:rPr>
          </w:pPr>
        </w:p>
      </w:tc>
    </w:tr>
  </w:tbl>
  <w:p w14:paraId="20969A20" w14:textId="0827BCCB" w:rsidR="00F04952" w:rsidRDefault="00F04952">
    <w:pPr>
      <w:pStyle w:val="Header"/>
    </w:pPr>
  </w:p>
  <w:p w14:paraId="778265F9" w14:textId="77777777" w:rsidR="00F04952" w:rsidRDefault="00F04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147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49D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EEF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21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C2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B03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420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80B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ECE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3EEF2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07"/>
    <w:rsid w:val="00005D1D"/>
    <w:rsid w:val="00021CA2"/>
    <w:rsid w:val="000900A1"/>
    <w:rsid w:val="00092B04"/>
    <w:rsid w:val="000A7365"/>
    <w:rsid w:val="000B5153"/>
    <w:rsid w:val="000B6291"/>
    <w:rsid w:val="000C158E"/>
    <w:rsid w:val="00101108"/>
    <w:rsid w:val="0010474B"/>
    <w:rsid w:val="00104A17"/>
    <w:rsid w:val="001166FF"/>
    <w:rsid w:val="001555C9"/>
    <w:rsid w:val="00156836"/>
    <w:rsid w:val="00157655"/>
    <w:rsid w:val="00172464"/>
    <w:rsid w:val="00174799"/>
    <w:rsid w:val="00187CD6"/>
    <w:rsid w:val="00195179"/>
    <w:rsid w:val="001A256F"/>
    <w:rsid w:val="001C3D46"/>
    <w:rsid w:val="001D2E87"/>
    <w:rsid w:val="001E0C39"/>
    <w:rsid w:val="001E7914"/>
    <w:rsid w:val="00204A8B"/>
    <w:rsid w:val="00207606"/>
    <w:rsid w:val="00222A23"/>
    <w:rsid w:val="0022582F"/>
    <w:rsid w:val="00253162"/>
    <w:rsid w:val="0025764A"/>
    <w:rsid w:val="00274E9C"/>
    <w:rsid w:val="00276787"/>
    <w:rsid w:val="00287D7F"/>
    <w:rsid w:val="00290B3F"/>
    <w:rsid w:val="002910AA"/>
    <w:rsid w:val="002A3857"/>
    <w:rsid w:val="002F5585"/>
    <w:rsid w:val="003064FB"/>
    <w:rsid w:val="0031266C"/>
    <w:rsid w:val="00313F08"/>
    <w:rsid w:val="00315673"/>
    <w:rsid w:val="00320AC9"/>
    <w:rsid w:val="00324ABB"/>
    <w:rsid w:val="0033683B"/>
    <w:rsid w:val="003434FE"/>
    <w:rsid w:val="00346FC5"/>
    <w:rsid w:val="003B7375"/>
    <w:rsid w:val="003C6B2A"/>
    <w:rsid w:val="003D0CD3"/>
    <w:rsid w:val="003E03C4"/>
    <w:rsid w:val="003E3AF3"/>
    <w:rsid w:val="003E5151"/>
    <w:rsid w:val="00421BEB"/>
    <w:rsid w:val="00440878"/>
    <w:rsid w:val="00447FE5"/>
    <w:rsid w:val="00475E34"/>
    <w:rsid w:val="0048217D"/>
    <w:rsid w:val="00490E9D"/>
    <w:rsid w:val="00497529"/>
    <w:rsid w:val="004A5096"/>
    <w:rsid w:val="004A76E5"/>
    <w:rsid w:val="004B378A"/>
    <w:rsid w:val="004B6C71"/>
    <w:rsid w:val="004D2BBC"/>
    <w:rsid w:val="00507705"/>
    <w:rsid w:val="00513629"/>
    <w:rsid w:val="00521BF4"/>
    <w:rsid w:val="0052480E"/>
    <w:rsid w:val="00536A79"/>
    <w:rsid w:val="00565FDB"/>
    <w:rsid w:val="0059289E"/>
    <w:rsid w:val="005A37B6"/>
    <w:rsid w:val="005A4606"/>
    <w:rsid w:val="005A72E6"/>
    <w:rsid w:val="005D6B56"/>
    <w:rsid w:val="005E7A38"/>
    <w:rsid w:val="00606594"/>
    <w:rsid w:val="006138DE"/>
    <w:rsid w:val="00634F74"/>
    <w:rsid w:val="00635585"/>
    <w:rsid w:val="00685845"/>
    <w:rsid w:val="006B421E"/>
    <w:rsid w:val="006C51B7"/>
    <w:rsid w:val="006F09C0"/>
    <w:rsid w:val="006F1846"/>
    <w:rsid w:val="007051C4"/>
    <w:rsid w:val="00714C27"/>
    <w:rsid w:val="00730833"/>
    <w:rsid w:val="0074575F"/>
    <w:rsid w:val="00751F89"/>
    <w:rsid w:val="00760B3A"/>
    <w:rsid w:val="00772AA3"/>
    <w:rsid w:val="00774C9D"/>
    <w:rsid w:val="00776043"/>
    <w:rsid w:val="00781427"/>
    <w:rsid w:val="007A1B93"/>
    <w:rsid w:val="007B6AC4"/>
    <w:rsid w:val="007C3A0E"/>
    <w:rsid w:val="007D07B3"/>
    <w:rsid w:val="008146CF"/>
    <w:rsid w:val="008309BE"/>
    <w:rsid w:val="00847869"/>
    <w:rsid w:val="00854BA8"/>
    <w:rsid w:val="00884979"/>
    <w:rsid w:val="008864D9"/>
    <w:rsid w:val="008C73D2"/>
    <w:rsid w:val="008E442C"/>
    <w:rsid w:val="008F7B9E"/>
    <w:rsid w:val="00922FFC"/>
    <w:rsid w:val="00935CBD"/>
    <w:rsid w:val="00936C5B"/>
    <w:rsid w:val="00942C5D"/>
    <w:rsid w:val="00947F48"/>
    <w:rsid w:val="009634C3"/>
    <w:rsid w:val="00980009"/>
    <w:rsid w:val="00981FCC"/>
    <w:rsid w:val="00986884"/>
    <w:rsid w:val="0098785E"/>
    <w:rsid w:val="00995035"/>
    <w:rsid w:val="009C0C49"/>
    <w:rsid w:val="009D419A"/>
    <w:rsid w:val="00A21EE5"/>
    <w:rsid w:val="00A26362"/>
    <w:rsid w:val="00A43CAA"/>
    <w:rsid w:val="00A857B8"/>
    <w:rsid w:val="00AA7A70"/>
    <w:rsid w:val="00AC71A6"/>
    <w:rsid w:val="00AD0A87"/>
    <w:rsid w:val="00AD79DE"/>
    <w:rsid w:val="00B51527"/>
    <w:rsid w:val="00B57FA3"/>
    <w:rsid w:val="00B62187"/>
    <w:rsid w:val="00B73EC1"/>
    <w:rsid w:val="00B74414"/>
    <w:rsid w:val="00B76D34"/>
    <w:rsid w:val="00B82032"/>
    <w:rsid w:val="00B96961"/>
    <w:rsid w:val="00BA630B"/>
    <w:rsid w:val="00BC1E8B"/>
    <w:rsid w:val="00BD2287"/>
    <w:rsid w:val="00BD3759"/>
    <w:rsid w:val="00BE1D35"/>
    <w:rsid w:val="00BE4EF6"/>
    <w:rsid w:val="00BE74D4"/>
    <w:rsid w:val="00BF0810"/>
    <w:rsid w:val="00C236E4"/>
    <w:rsid w:val="00C45EED"/>
    <w:rsid w:val="00C461C4"/>
    <w:rsid w:val="00C60AD7"/>
    <w:rsid w:val="00C61FD6"/>
    <w:rsid w:val="00C64671"/>
    <w:rsid w:val="00C653D4"/>
    <w:rsid w:val="00C76F16"/>
    <w:rsid w:val="00CA4F07"/>
    <w:rsid w:val="00CC02F1"/>
    <w:rsid w:val="00CC4671"/>
    <w:rsid w:val="00CD3264"/>
    <w:rsid w:val="00CE0821"/>
    <w:rsid w:val="00CF3E67"/>
    <w:rsid w:val="00D0476C"/>
    <w:rsid w:val="00D06499"/>
    <w:rsid w:val="00D42F2A"/>
    <w:rsid w:val="00D4422E"/>
    <w:rsid w:val="00D563E0"/>
    <w:rsid w:val="00D63DDF"/>
    <w:rsid w:val="00D915B0"/>
    <w:rsid w:val="00D96571"/>
    <w:rsid w:val="00DA0184"/>
    <w:rsid w:val="00DF40D0"/>
    <w:rsid w:val="00E03C17"/>
    <w:rsid w:val="00E14C63"/>
    <w:rsid w:val="00E17A57"/>
    <w:rsid w:val="00E17FB0"/>
    <w:rsid w:val="00E248A8"/>
    <w:rsid w:val="00E36E5C"/>
    <w:rsid w:val="00E43676"/>
    <w:rsid w:val="00E70E51"/>
    <w:rsid w:val="00E82664"/>
    <w:rsid w:val="00EA5B95"/>
    <w:rsid w:val="00EB305B"/>
    <w:rsid w:val="00EB787A"/>
    <w:rsid w:val="00EC1A29"/>
    <w:rsid w:val="00EF34EF"/>
    <w:rsid w:val="00F0032C"/>
    <w:rsid w:val="00F04952"/>
    <w:rsid w:val="00F27F02"/>
    <w:rsid w:val="00F3092C"/>
    <w:rsid w:val="00F31F22"/>
    <w:rsid w:val="00F579B0"/>
    <w:rsid w:val="00F63693"/>
    <w:rsid w:val="00F86C99"/>
    <w:rsid w:val="00FC6092"/>
    <w:rsid w:val="00FE355F"/>
    <w:rsid w:val="00FE4CCF"/>
    <w:rsid w:val="00FF20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F8283"/>
  <w15:chartTrackingRefBased/>
  <w15:docId w15:val="{A946FB83-0835-9F48-8EB9-4B66F45D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63"/>
    <w:pPr>
      <w:spacing w:line="276" w:lineRule="auto"/>
    </w:pPr>
    <w:rPr>
      <w:rFonts w:ascii="Arial" w:hAnsi="Arial"/>
      <w:sz w:val="20"/>
    </w:rPr>
  </w:style>
  <w:style w:type="paragraph" w:styleId="Heading1">
    <w:name w:val="heading 1"/>
    <w:basedOn w:val="Normal"/>
    <w:next w:val="Normal"/>
    <w:link w:val="Heading1Char"/>
    <w:uiPriority w:val="9"/>
    <w:rsid w:val="00BC1E8B"/>
    <w:pPr>
      <w:keepNext/>
      <w:keepLines/>
      <w:spacing w:before="240"/>
      <w:outlineLvl w:val="0"/>
    </w:pPr>
    <w:rPr>
      <w:rFonts w:asciiTheme="majorHAnsi" w:eastAsiaTheme="majorEastAsia" w:hAnsiTheme="majorHAnsi" w:cstheme="majorBidi"/>
      <w:color w:val="33B4EE" w:themeColor="accent1" w:themeShade="BF"/>
      <w:sz w:val="32"/>
      <w:szCs w:val="32"/>
    </w:rPr>
  </w:style>
  <w:style w:type="paragraph" w:styleId="Heading2">
    <w:name w:val="heading 2"/>
    <w:basedOn w:val="Heading1"/>
    <w:next w:val="Normal"/>
    <w:link w:val="Heading2Char"/>
    <w:uiPriority w:val="9"/>
    <w:unhideWhenUsed/>
    <w:qFormat/>
    <w:rsid w:val="00BC1E8B"/>
    <w:pPr>
      <w:spacing w:after="240"/>
      <w:outlineLvl w:val="1"/>
    </w:pPr>
    <w:rPr>
      <w:rFonts w:ascii="Arial" w:hAnsi="Arial"/>
      <w:color w:val="auto"/>
      <w:sz w:val="24"/>
      <w:szCs w:val="26"/>
    </w:rPr>
  </w:style>
  <w:style w:type="paragraph" w:styleId="Heading3">
    <w:name w:val="heading 3"/>
    <w:basedOn w:val="Heading1"/>
    <w:next w:val="Normal"/>
    <w:link w:val="Heading3Char"/>
    <w:uiPriority w:val="9"/>
    <w:unhideWhenUsed/>
    <w:qFormat/>
    <w:rsid w:val="00BC1E8B"/>
    <w:pPr>
      <w:spacing w:after="180"/>
      <w:outlineLvl w:val="2"/>
    </w:pPr>
    <w:rPr>
      <w:rFonts w:ascii="Arial" w:hAnsi="Arial"/>
      <w:color w:val="auto"/>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F07"/>
    <w:pPr>
      <w:tabs>
        <w:tab w:val="center" w:pos="4680"/>
        <w:tab w:val="right" w:pos="9360"/>
      </w:tabs>
    </w:pPr>
  </w:style>
  <w:style w:type="character" w:customStyle="1" w:styleId="HeaderChar">
    <w:name w:val="Header Char"/>
    <w:basedOn w:val="DefaultParagraphFont"/>
    <w:link w:val="Header"/>
    <w:uiPriority w:val="99"/>
    <w:rsid w:val="00CA4F07"/>
  </w:style>
  <w:style w:type="paragraph" w:styleId="Footer">
    <w:name w:val="footer"/>
    <w:basedOn w:val="Normal"/>
    <w:link w:val="FooterChar"/>
    <w:uiPriority w:val="99"/>
    <w:unhideWhenUsed/>
    <w:rsid w:val="00CA4F07"/>
    <w:pPr>
      <w:tabs>
        <w:tab w:val="center" w:pos="4680"/>
        <w:tab w:val="right" w:pos="9360"/>
      </w:tabs>
    </w:pPr>
  </w:style>
  <w:style w:type="character" w:customStyle="1" w:styleId="FooterChar">
    <w:name w:val="Footer Char"/>
    <w:basedOn w:val="DefaultParagraphFont"/>
    <w:link w:val="Footer"/>
    <w:uiPriority w:val="99"/>
    <w:rsid w:val="00CA4F07"/>
  </w:style>
  <w:style w:type="table" w:styleId="TableGrid">
    <w:name w:val="Table Grid"/>
    <w:basedOn w:val="TableNormal"/>
    <w:uiPriority w:val="39"/>
    <w:rsid w:val="00CA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F07"/>
    <w:rPr>
      <w:color w:val="008BFF" w:themeColor="hyperlink"/>
      <w:u w:val="single"/>
    </w:rPr>
  </w:style>
  <w:style w:type="character" w:customStyle="1" w:styleId="UnresolvedMention">
    <w:name w:val="Unresolved Mention"/>
    <w:basedOn w:val="DefaultParagraphFont"/>
    <w:uiPriority w:val="99"/>
    <w:semiHidden/>
    <w:unhideWhenUsed/>
    <w:rsid w:val="00CA4F07"/>
    <w:rPr>
      <w:color w:val="605E5C"/>
      <w:shd w:val="clear" w:color="auto" w:fill="E1DFDD"/>
    </w:rPr>
  </w:style>
  <w:style w:type="paragraph" w:styleId="BalloonText">
    <w:name w:val="Balloon Text"/>
    <w:basedOn w:val="Normal"/>
    <w:link w:val="BalloonTextChar"/>
    <w:uiPriority w:val="99"/>
    <w:semiHidden/>
    <w:unhideWhenUsed/>
    <w:rsid w:val="0044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78"/>
    <w:rPr>
      <w:rFonts w:ascii="Segoe UI" w:hAnsi="Segoe UI" w:cs="Segoe UI"/>
      <w:sz w:val="18"/>
      <w:szCs w:val="18"/>
    </w:rPr>
  </w:style>
  <w:style w:type="character" w:customStyle="1" w:styleId="Heading2Char">
    <w:name w:val="Heading 2 Char"/>
    <w:basedOn w:val="DefaultParagraphFont"/>
    <w:link w:val="Heading2"/>
    <w:uiPriority w:val="9"/>
    <w:rsid w:val="00BC1E8B"/>
    <w:rPr>
      <w:rFonts w:ascii="Arial" w:eastAsiaTheme="majorEastAsia" w:hAnsi="Arial" w:cstheme="majorBidi"/>
      <w:szCs w:val="26"/>
    </w:rPr>
  </w:style>
  <w:style w:type="character" w:customStyle="1" w:styleId="Heading3Char">
    <w:name w:val="Heading 3 Char"/>
    <w:basedOn w:val="DefaultParagraphFont"/>
    <w:link w:val="Heading3"/>
    <w:uiPriority w:val="9"/>
    <w:rsid w:val="00BC1E8B"/>
    <w:rPr>
      <w:rFonts w:ascii="Arial" w:eastAsiaTheme="majorEastAsia" w:hAnsi="Arial" w:cstheme="majorBidi"/>
      <w:sz w:val="20"/>
      <w:szCs w:val="28"/>
    </w:rPr>
  </w:style>
  <w:style w:type="paragraph" w:customStyle="1" w:styleId="TeckSubheading1">
    <w:name w:val="Teck Subheading 1"/>
    <w:basedOn w:val="Normal"/>
    <w:next w:val="Normal"/>
    <w:uiPriority w:val="99"/>
    <w:rsid w:val="00BC1E8B"/>
    <w:pPr>
      <w:keepNext/>
      <w:spacing w:before="240" w:after="120"/>
    </w:pPr>
    <w:rPr>
      <w:b/>
      <w:color w:val="000000" w:themeColor="text1"/>
      <w:szCs w:val="22"/>
    </w:rPr>
  </w:style>
  <w:style w:type="paragraph" w:customStyle="1" w:styleId="TeckSubheading2">
    <w:name w:val="Teck Subheading 2"/>
    <w:basedOn w:val="Normal"/>
    <w:next w:val="Normal"/>
    <w:rsid w:val="00BC1E8B"/>
    <w:pPr>
      <w:keepNext/>
      <w:spacing w:before="240" w:after="120"/>
      <w:ind w:left="360"/>
    </w:pPr>
    <w:rPr>
      <w:i/>
      <w:szCs w:val="22"/>
    </w:rPr>
  </w:style>
  <w:style w:type="paragraph" w:customStyle="1" w:styleId="TeckHeading1">
    <w:name w:val="Teck Heading 1"/>
    <w:basedOn w:val="Normal"/>
    <w:next w:val="Normal"/>
    <w:link w:val="TeckHeading1Char"/>
    <w:qFormat/>
    <w:rsid w:val="00BC1E8B"/>
    <w:pPr>
      <w:keepNext/>
      <w:spacing w:after="240"/>
      <w:outlineLvl w:val="0"/>
    </w:pPr>
    <w:rPr>
      <w:sz w:val="28"/>
      <w:szCs w:val="22"/>
    </w:rPr>
  </w:style>
  <w:style w:type="character" w:customStyle="1" w:styleId="TeckHeading1Char">
    <w:name w:val="Teck Heading 1 Char"/>
    <w:basedOn w:val="DefaultParagraphFont"/>
    <w:link w:val="TeckHeading1"/>
    <w:rsid w:val="00BC1E8B"/>
    <w:rPr>
      <w:rFonts w:ascii="Arial" w:hAnsi="Arial"/>
      <w:sz w:val="28"/>
      <w:szCs w:val="22"/>
    </w:rPr>
  </w:style>
  <w:style w:type="character" w:customStyle="1" w:styleId="Heading1Char">
    <w:name w:val="Heading 1 Char"/>
    <w:basedOn w:val="DefaultParagraphFont"/>
    <w:link w:val="Heading1"/>
    <w:uiPriority w:val="9"/>
    <w:rsid w:val="00BC1E8B"/>
    <w:rPr>
      <w:rFonts w:asciiTheme="majorHAnsi" w:eastAsiaTheme="majorEastAsia" w:hAnsiTheme="majorHAnsi" w:cstheme="majorBidi"/>
      <w:color w:val="33B4EE" w:themeColor="accent1" w:themeShade="BF"/>
      <w:sz w:val="32"/>
      <w:szCs w:val="32"/>
    </w:rPr>
  </w:style>
  <w:style w:type="character" w:styleId="Strong">
    <w:name w:val="Strong"/>
    <w:basedOn w:val="DefaultParagraphFont"/>
    <w:uiPriority w:val="22"/>
    <w:qFormat/>
    <w:rsid w:val="00BC1E8B"/>
    <w:rPr>
      <w:rFonts w:ascii="Arial" w:hAnsi="Arial"/>
      <w:b/>
      <w:bCs/>
      <w:sz w:val="20"/>
    </w:rPr>
  </w:style>
  <w:style w:type="character" w:customStyle="1" w:styleId="TeckBodyTextChar">
    <w:name w:val="Teck Body Text Char"/>
    <w:basedOn w:val="DefaultParagraphFont"/>
    <w:link w:val="TeckBodyText"/>
    <w:locked/>
    <w:rsid w:val="00187CD6"/>
    <w:rPr>
      <w:rFonts w:ascii="Arial" w:hAnsi="Arial" w:cs="Arial"/>
    </w:rPr>
  </w:style>
  <w:style w:type="paragraph" w:customStyle="1" w:styleId="TeckBodyText">
    <w:name w:val="Teck Body Text"/>
    <w:basedOn w:val="Normal"/>
    <w:link w:val="TeckBodyTextChar"/>
    <w:rsid w:val="00187CD6"/>
    <w:pPr>
      <w:spacing w:after="180" w:line="280" w:lineRule="atLeast"/>
    </w:pPr>
    <w:rPr>
      <w:rFonts w:cs="Arial"/>
      <w:sz w:val="24"/>
    </w:rPr>
  </w:style>
  <w:style w:type="paragraph" w:customStyle="1" w:styleId="TeckBodyTextSingle">
    <w:name w:val="Teck Body Text Single"/>
    <w:basedOn w:val="Normal"/>
    <w:uiPriority w:val="99"/>
    <w:rsid w:val="00187CD6"/>
    <w:pPr>
      <w:spacing w:line="240" w:lineRule="auto"/>
    </w:pPr>
    <w:rPr>
      <w:rFonts w:cs="Arial"/>
      <w:szCs w:val="20"/>
      <w:lang w:val="en-US"/>
    </w:rPr>
  </w:style>
  <w:style w:type="paragraph" w:customStyle="1" w:styleId="BodyTextSingle">
    <w:name w:val="BodyTextSingle"/>
    <w:basedOn w:val="Normal"/>
    <w:uiPriority w:val="99"/>
    <w:rsid w:val="00187CD6"/>
    <w:pPr>
      <w:spacing w:line="240" w:lineRule="auto"/>
    </w:pPr>
    <w:rPr>
      <w:rFonts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1511">
      <w:bodyDiv w:val="1"/>
      <w:marLeft w:val="0"/>
      <w:marRight w:val="0"/>
      <w:marTop w:val="0"/>
      <w:marBottom w:val="0"/>
      <w:divBdr>
        <w:top w:val="none" w:sz="0" w:space="0" w:color="auto"/>
        <w:left w:val="none" w:sz="0" w:space="0" w:color="auto"/>
        <w:bottom w:val="none" w:sz="0" w:space="0" w:color="auto"/>
        <w:right w:val="none" w:sz="0" w:space="0" w:color="auto"/>
      </w:divBdr>
    </w:div>
    <w:div w:id="11935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teriorhealth.ca/AboutUs/MediaCentre/NewsReleases/Documents/IB_COVID19_TeckOperations_9April20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eck.com/news/news-releases/2020/teck-temporarily-suspends-construction-activities-for-qb2-project-in-response-to-covid-19" TargetMode="External"/><Relationship Id="rId17" Type="http://schemas.openxmlformats.org/officeDocument/2006/relationships/hyperlink" Target="mailto:chris.stannell@teck.com" TargetMode="External"/><Relationship Id="rId2" Type="http://schemas.openxmlformats.org/officeDocument/2006/relationships/customXml" Target="../customXml/item2.xml"/><Relationship Id="rId16" Type="http://schemas.openxmlformats.org/officeDocument/2006/relationships/hyperlink" Target="https://www.theglobeandmail.com/business/article-teck-resources-facing-calls-to-shut-down-coal-mines-in-britis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ck.com/updates/" TargetMode="External"/><Relationship Id="rId5" Type="http://schemas.openxmlformats.org/officeDocument/2006/relationships/styles" Target="styles.xml"/><Relationship Id="rId15" Type="http://schemas.openxmlformats.org/officeDocument/2006/relationships/hyperlink" Target="https://www.theglobeandmail.com/opinion/letters/article-april-13-they-could-die-suffering-and-alone-how-readers-are-coping/" TargetMode="External"/><Relationship Id="rId10" Type="http://schemas.openxmlformats.org/officeDocument/2006/relationships/hyperlink" Target="mailto:matthews@business-humanright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ck.com/news/news-releases/2020/antamina-resumes-operation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000000"/>
      </a:dk1>
      <a:lt1>
        <a:srgbClr val="FFFFFF"/>
      </a:lt1>
      <a:dk2>
        <a:srgbClr val="000F7B"/>
      </a:dk2>
      <a:lt2>
        <a:srgbClr val="2D1049"/>
      </a:lt2>
      <a:accent1>
        <a:srgbClr val="8ED6F6"/>
      </a:accent1>
      <a:accent2>
        <a:srgbClr val="0065BD"/>
      </a:accent2>
      <a:accent3>
        <a:srgbClr val="377183"/>
      </a:accent3>
      <a:accent4>
        <a:srgbClr val="009A9C"/>
      </a:accent4>
      <a:accent5>
        <a:srgbClr val="00BA71"/>
      </a:accent5>
      <a:accent6>
        <a:srgbClr val="00D6AC"/>
      </a:accent6>
      <a:hlink>
        <a:srgbClr val="008BFF"/>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26b32622-c481-4f56-b5b9-50df01c1f44d</VariationsItemGroup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569CB70192349BC01F2EAB82344B7" ma:contentTypeVersion="1" ma:contentTypeDescription="Create a new document." ma:contentTypeScope="" ma:versionID="f2345e0013045307e870d1b6edc1d413">
  <xsd:schema xmlns:xsd="http://www.w3.org/2001/XMLSchema" xmlns:xs="http://www.w3.org/2001/XMLSchema" xmlns:p="http://schemas.microsoft.com/office/2006/metadata/properties" xmlns:ns1="http://schemas.microsoft.com/sharepoint/v3" targetNamespace="http://schemas.microsoft.com/office/2006/metadata/properties" ma:root="true" ma:fieldsID="17c051d3f9bf6ba1c1beec640d15cdb6" ns1:_="">
    <xsd:import namespace="http://schemas.microsoft.com/sharepoint/v3"/>
    <xsd:element name="properties">
      <xsd:complexType>
        <xsd:sequence>
          <xsd:element name="documentManagement">
            <xsd:complexType>
              <xsd:all>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8"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904B5-BB23-4DB4-9854-483072620C6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E81E56-CB70-438E-9C10-75B939F35972}">
  <ds:schemaRefs>
    <ds:schemaRef ds:uri="http://schemas.microsoft.com/sharepoint/v3/contenttype/forms"/>
  </ds:schemaRefs>
</ds:datastoreItem>
</file>

<file path=customXml/itemProps3.xml><?xml version="1.0" encoding="utf-8"?>
<ds:datastoreItem xmlns:ds="http://schemas.openxmlformats.org/officeDocument/2006/customXml" ds:itemID="{687A7C6A-6EB6-4CC0-B04D-C2FA892AB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Stannell Chris    VANM</dc:creator>
  <cp:keywords/>
  <dc:description/>
  <cp:lastModifiedBy>Stannell Chris    VANM</cp:lastModifiedBy>
  <cp:revision>2</cp:revision>
  <dcterms:created xsi:type="dcterms:W3CDTF">2020-06-17T17:57:00Z</dcterms:created>
  <dcterms:modified xsi:type="dcterms:W3CDTF">2020-06-17T17:57:00Z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0x01010075D569CB70192349BC01F2EAB82344B7</vt:lpwstr>
  </property>
</Properties>
</file>