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D06B6" w14:textId="062E015A" w:rsidR="003E1DA8" w:rsidRDefault="003E1DA8" w:rsidP="003E1DA8">
      <w:pPr>
        <w:jc w:val="right"/>
        <w:rPr>
          <w:b/>
          <w:sz w:val="24"/>
          <w:szCs w:val="24"/>
        </w:rPr>
      </w:pPr>
      <w:r>
        <w:rPr>
          <w:b/>
          <w:noProof/>
          <w:sz w:val="24"/>
          <w:szCs w:val="24"/>
          <w:lang w:eastAsia="en-GB"/>
        </w:rPr>
        <w:drawing>
          <wp:anchor distT="0" distB="0" distL="114300" distR="114300" simplePos="0" relativeHeight="251658240" behindDoc="0" locked="0" layoutInCell="1" allowOverlap="1" wp14:anchorId="28B697DA" wp14:editId="03427BFA">
            <wp:simplePos x="0" y="0"/>
            <wp:positionH relativeFrom="column">
              <wp:posOffset>3898900</wp:posOffset>
            </wp:positionH>
            <wp:positionV relativeFrom="paragraph">
              <wp:posOffset>0</wp:posOffset>
            </wp:positionV>
            <wp:extent cx="1825200" cy="5148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LogoHoriz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514800"/>
                    </a:xfrm>
                    <a:prstGeom prst="rect">
                      <a:avLst/>
                    </a:prstGeom>
                  </pic:spPr>
                </pic:pic>
              </a:graphicData>
            </a:graphic>
            <wp14:sizeRelV relativeFrom="margin">
              <wp14:pctHeight>0</wp14:pctHeight>
            </wp14:sizeRelV>
          </wp:anchor>
        </w:drawing>
      </w:r>
    </w:p>
    <w:p w14:paraId="5F8087DB" w14:textId="77777777" w:rsidR="003E1DA8" w:rsidRDefault="003E1DA8" w:rsidP="00E642B4">
      <w:pPr>
        <w:rPr>
          <w:b/>
          <w:sz w:val="24"/>
          <w:szCs w:val="24"/>
        </w:rPr>
      </w:pPr>
    </w:p>
    <w:p w14:paraId="289ADA7F" w14:textId="77777777" w:rsidR="001A7DCD" w:rsidRDefault="001A7DCD" w:rsidP="001A7DCD">
      <w:pPr>
        <w:jc w:val="center"/>
        <w:rPr>
          <w:b/>
          <w:sz w:val="28"/>
          <w:szCs w:val="28"/>
        </w:rPr>
      </w:pPr>
    </w:p>
    <w:p w14:paraId="0F5D9CF8" w14:textId="77777777" w:rsidR="005438AE" w:rsidRPr="001A7DCD" w:rsidRDefault="00706691" w:rsidP="001A7DCD">
      <w:pPr>
        <w:jc w:val="center"/>
        <w:rPr>
          <w:b/>
          <w:sz w:val="28"/>
          <w:szCs w:val="28"/>
        </w:rPr>
      </w:pPr>
      <w:proofErr w:type="spellStart"/>
      <w:r w:rsidRPr="001A7DCD">
        <w:rPr>
          <w:b/>
          <w:sz w:val="28"/>
          <w:szCs w:val="28"/>
        </w:rPr>
        <w:t>Traidcraft</w:t>
      </w:r>
      <w:proofErr w:type="spellEnd"/>
      <w:r w:rsidRPr="001A7DCD">
        <w:rPr>
          <w:b/>
          <w:sz w:val="28"/>
          <w:szCs w:val="28"/>
        </w:rPr>
        <w:t xml:space="preserve"> </w:t>
      </w:r>
      <w:r w:rsidR="005438AE" w:rsidRPr="001A7DCD">
        <w:rPr>
          <w:b/>
          <w:sz w:val="28"/>
          <w:szCs w:val="28"/>
        </w:rPr>
        <w:t>input into update of UK National Action Plan on Business and Human Rights</w:t>
      </w:r>
    </w:p>
    <w:p w14:paraId="30DED4FE" w14:textId="77777777" w:rsidR="00AA5031" w:rsidRDefault="00AA5031" w:rsidP="00F351D8"/>
    <w:p w14:paraId="222C1588" w14:textId="478AAEFE" w:rsidR="00F351D8" w:rsidRPr="001A7DCD" w:rsidRDefault="00F351D8" w:rsidP="005A4B4D">
      <w:pPr>
        <w:spacing w:after="0" w:line="240" w:lineRule="auto"/>
      </w:pPr>
      <w:proofErr w:type="spellStart"/>
      <w:r>
        <w:t>Traidcraft’s</w:t>
      </w:r>
      <w:proofErr w:type="spellEnd"/>
      <w:r>
        <w:t xml:space="preserve"> </w:t>
      </w:r>
      <w:r w:rsidRPr="001A7DCD">
        <w:t>recommendations relate to the third pillar of the UN’s protect, respect, remedy framework and specifically to access to ju</w:t>
      </w:r>
      <w:bookmarkStart w:id="0" w:name="_GoBack"/>
      <w:bookmarkEnd w:id="0"/>
      <w:r w:rsidRPr="001A7DCD">
        <w:t>dicial remedy</w:t>
      </w:r>
      <w:r w:rsidRPr="001A7DCD">
        <w:rPr>
          <w:rStyle w:val="FootnoteReference"/>
        </w:rPr>
        <w:footnoteReference w:id="1"/>
      </w:r>
      <w:r w:rsidRPr="001A7DCD">
        <w:t>. For a wider set of recommendations, please refer to the submission made by the CORE Coalition.</w:t>
      </w:r>
    </w:p>
    <w:p w14:paraId="7B143BD6" w14:textId="77777777" w:rsidR="009654C6" w:rsidRDefault="009654C6" w:rsidP="005A4B4D">
      <w:pPr>
        <w:spacing w:after="0" w:line="240" w:lineRule="auto"/>
        <w:rPr>
          <w:b/>
          <w:sz w:val="24"/>
          <w:szCs w:val="24"/>
        </w:rPr>
      </w:pPr>
    </w:p>
    <w:p w14:paraId="17AAFC46" w14:textId="77777777" w:rsidR="008752B7" w:rsidRPr="00527987" w:rsidRDefault="008752B7" w:rsidP="005A4B4D">
      <w:pPr>
        <w:spacing w:after="0" w:line="240" w:lineRule="auto"/>
        <w:rPr>
          <w:b/>
          <w:sz w:val="24"/>
          <w:szCs w:val="24"/>
        </w:rPr>
      </w:pPr>
      <w:r w:rsidRPr="00527987">
        <w:rPr>
          <w:b/>
          <w:sz w:val="24"/>
          <w:szCs w:val="24"/>
        </w:rPr>
        <w:t>Why access to</w:t>
      </w:r>
      <w:r w:rsidR="00765DB5" w:rsidRPr="00527987">
        <w:rPr>
          <w:b/>
          <w:sz w:val="24"/>
          <w:szCs w:val="24"/>
        </w:rPr>
        <w:t xml:space="preserve"> judicial remedy</w:t>
      </w:r>
      <w:r w:rsidRPr="00527987">
        <w:rPr>
          <w:b/>
          <w:sz w:val="24"/>
          <w:szCs w:val="24"/>
        </w:rPr>
        <w:t xml:space="preserve"> is important</w:t>
      </w:r>
    </w:p>
    <w:p w14:paraId="394D59A0" w14:textId="77777777" w:rsidR="00527987" w:rsidRDefault="00527987" w:rsidP="005A4B4D">
      <w:pPr>
        <w:pStyle w:val="Default"/>
        <w:rPr>
          <w:rFonts w:asciiTheme="minorHAnsi" w:hAnsiTheme="minorHAnsi"/>
          <w:sz w:val="22"/>
          <w:szCs w:val="22"/>
        </w:rPr>
      </w:pPr>
    </w:p>
    <w:p w14:paraId="4330F7AF" w14:textId="07127260" w:rsidR="00D9584D" w:rsidRPr="001A7DCD" w:rsidRDefault="00D9584D" w:rsidP="005A4B4D">
      <w:pPr>
        <w:pStyle w:val="Default"/>
        <w:rPr>
          <w:rFonts w:asciiTheme="minorHAnsi" w:hAnsiTheme="minorHAnsi"/>
          <w:sz w:val="22"/>
          <w:szCs w:val="22"/>
        </w:rPr>
      </w:pPr>
      <w:r w:rsidRPr="001A7DCD">
        <w:rPr>
          <w:rFonts w:asciiTheme="minorHAnsi" w:hAnsiTheme="minorHAnsi"/>
          <w:sz w:val="22"/>
          <w:szCs w:val="22"/>
        </w:rPr>
        <w:t xml:space="preserve">The UK is the fifth largest overseas investor in the world. Our businesses have far-reaching impacts as investors, exporters and buyers of goods and services. In particular, investment in emerging markets and Africa has grown in recent years. This presents a real opportunity to help bring about growth and create jobs and business opportunities in less developed regions of the world, but it also brings very powerful enterprises into direct contact with vulnerable workers and communities. </w:t>
      </w:r>
    </w:p>
    <w:p w14:paraId="3973978A" w14:textId="77777777" w:rsidR="00E050D8" w:rsidRPr="001A7DCD" w:rsidRDefault="00E050D8" w:rsidP="005A4B4D">
      <w:pPr>
        <w:spacing w:after="0" w:line="240" w:lineRule="auto"/>
      </w:pPr>
    </w:p>
    <w:p w14:paraId="58BDC059" w14:textId="3FE1E482" w:rsidR="00854564" w:rsidRPr="001A7DCD" w:rsidRDefault="00D9584D" w:rsidP="005A4B4D">
      <w:pPr>
        <w:spacing w:after="0" w:line="240" w:lineRule="auto"/>
      </w:pPr>
      <w:r w:rsidRPr="001A7DCD">
        <w:t xml:space="preserve">The UK is home to some pioneers of responsible business and Government has played a key role in encouraging and supporting them. But </w:t>
      </w:r>
      <w:r w:rsidR="00E050D8" w:rsidRPr="001A7DCD">
        <w:t>a</w:t>
      </w:r>
      <w:r w:rsidR="00854564" w:rsidRPr="001A7DCD">
        <w:t>s we approach five years since the UN Guidelines on Business and Human Rights were unanimously adopted, research by the Business and Human Rights Re</w:t>
      </w:r>
      <w:r w:rsidR="00890DAE" w:rsidRPr="001A7DCD">
        <w:t xml:space="preserve">source centre </w:t>
      </w:r>
      <w:r w:rsidR="00854564" w:rsidRPr="001A7DCD">
        <w:t>shows that UK companies continue to be involved in human rights abuses around the world</w:t>
      </w:r>
      <w:r w:rsidR="00854564" w:rsidRPr="001A7DCD">
        <w:rPr>
          <w:rStyle w:val="FootnoteReference"/>
        </w:rPr>
        <w:footnoteReference w:id="2"/>
      </w:r>
      <w:r w:rsidR="00854564" w:rsidRPr="001A7DCD">
        <w:t xml:space="preserve">. </w:t>
      </w:r>
    </w:p>
    <w:p w14:paraId="27F66342" w14:textId="77777777" w:rsidR="008A641F" w:rsidRPr="001A7DCD" w:rsidRDefault="008A641F" w:rsidP="005A4B4D">
      <w:pPr>
        <w:spacing w:after="0" w:line="240" w:lineRule="auto"/>
      </w:pPr>
    </w:p>
    <w:p w14:paraId="7B4D1126" w14:textId="78F7508B" w:rsidR="00D9584D" w:rsidRPr="001A7DCD" w:rsidRDefault="00D9584D" w:rsidP="005A4B4D">
      <w:pPr>
        <w:pStyle w:val="Default"/>
        <w:rPr>
          <w:rFonts w:asciiTheme="minorHAnsi" w:hAnsiTheme="minorHAnsi"/>
          <w:sz w:val="22"/>
          <w:szCs w:val="22"/>
        </w:rPr>
      </w:pPr>
      <w:r w:rsidRPr="001A7DCD">
        <w:rPr>
          <w:rFonts w:asciiTheme="minorHAnsi" w:hAnsiTheme="minorHAnsi"/>
          <w:sz w:val="22"/>
          <w:szCs w:val="22"/>
        </w:rPr>
        <w:t xml:space="preserve">Government has an important role to play in holding companies </w:t>
      </w:r>
      <w:r w:rsidR="00527987">
        <w:rPr>
          <w:rFonts w:asciiTheme="minorHAnsi" w:hAnsiTheme="minorHAnsi"/>
          <w:sz w:val="22"/>
          <w:szCs w:val="22"/>
        </w:rPr>
        <w:t>to account when they</w:t>
      </w:r>
      <w:r w:rsidRPr="001A7DCD">
        <w:rPr>
          <w:rFonts w:asciiTheme="minorHAnsi" w:hAnsiTheme="minorHAnsi"/>
          <w:sz w:val="22"/>
          <w:szCs w:val="22"/>
        </w:rPr>
        <w:t xml:space="preserve"> fail to properly assess </w:t>
      </w:r>
      <w:r w:rsidR="00527987">
        <w:rPr>
          <w:rFonts w:asciiTheme="minorHAnsi" w:hAnsiTheme="minorHAnsi"/>
          <w:sz w:val="22"/>
          <w:szCs w:val="22"/>
        </w:rPr>
        <w:t xml:space="preserve">the likely impact of their actions or </w:t>
      </w:r>
      <w:r w:rsidRPr="001A7DCD">
        <w:rPr>
          <w:rFonts w:asciiTheme="minorHAnsi" w:hAnsiTheme="minorHAnsi"/>
          <w:sz w:val="22"/>
          <w:szCs w:val="22"/>
        </w:rPr>
        <w:t xml:space="preserve">fail to take adequate steps to prevent </w:t>
      </w:r>
      <w:r w:rsidR="00527987">
        <w:rPr>
          <w:rFonts w:asciiTheme="minorHAnsi" w:hAnsiTheme="minorHAnsi"/>
          <w:sz w:val="22"/>
          <w:szCs w:val="22"/>
        </w:rPr>
        <w:t xml:space="preserve">harm. </w:t>
      </w:r>
      <w:r w:rsidRPr="001A7DCD">
        <w:rPr>
          <w:rFonts w:asciiTheme="minorHAnsi" w:hAnsiTheme="minorHAnsi" w:cs="Times New Roman"/>
          <w:sz w:val="22"/>
          <w:szCs w:val="22"/>
        </w:rPr>
        <w:t>Unless Government acts in these cases</w:t>
      </w:r>
      <w:r w:rsidR="00E42245" w:rsidRPr="001A7DCD">
        <w:rPr>
          <w:rFonts w:asciiTheme="minorHAnsi" w:hAnsiTheme="minorHAnsi" w:cs="Times New Roman"/>
          <w:sz w:val="22"/>
          <w:szCs w:val="22"/>
        </w:rPr>
        <w:t>,</w:t>
      </w:r>
      <w:r w:rsidRPr="001A7DCD">
        <w:rPr>
          <w:rFonts w:asciiTheme="minorHAnsi" w:hAnsiTheme="minorHAnsi" w:cs="Times New Roman"/>
          <w:sz w:val="22"/>
          <w:szCs w:val="22"/>
        </w:rPr>
        <w:t xml:space="preserve"> the behaviour of a minority will undermine the ability of the rest to operate, and the reputation of British business risks being damaged.</w:t>
      </w:r>
    </w:p>
    <w:p w14:paraId="751EEC54" w14:textId="77777777" w:rsidR="00E050D8" w:rsidRPr="001A7DCD" w:rsidRDefault="00E050D8" w:rsidP="005A4B4D">
      <w:pPr>
        <w:spacing w:after="0" w:line="240" w:lineRule="auto"/>
      </w:pPr>
    </w:p>
    <w:p w14:paraId="4752763D" w14:textId="0A33C4D3" w:rsidR="00D9584D" w:rsidRPr="001A7DCD" w:rsidRDefault="002F7EC5" w:rsidP="005A4B4D">
      <w:pPr>
        <w:spacing w:after="0" w:line="240" w:lineRule="auto"/>
      </w:pPr>
      <w:r w:rsidRPr="001A7DCD">
        <w:t xml:space="preserve">The existence of clear and accessible </w:t>
      </w:r>
      <w:r w:rsidR="00AE12CD" w:rsidRPr="001A7DCD">
        <w:t>legal routes</w:t>
      </w:r>
      <w:r w:rsidRPr="001A7DCD">
        <w:t xml:space="preserve"> to hold companies to account in the UK</w:t>
      </w:r>
      <w:r w:rsidR="00E050D8" w:rsidRPr="001A7DCD">
        <w:t>,</w:t>
      </w:r>
      <w:r w:rsidR="00412359" w:rsidRPr="001A7DCD">
        <w:t xml:space="preserve"> </w:t>
      </w:r>
      <w:r w:rsidRPr="001A7DCD">
        <w:t xml:space="preserve">is </w:t>
      </w:r>
      <w:r w:rsidR="0062568F" w:rsidRPr="001A7DCD">
        <w:t>a</w:t>
      </w:r>
      <w:r w:rsidR="00E42245" w:rsidRPr="001A7DCD">
        <w:t xml:space="preserve">n essential – and currently largely absent - </w:t>
      </w:r>
      <w:r w:rsidR="0062568F" w:rsidRPr="001A7DCD">
        <w:t>element in driving</w:t>
      </w:r>
      <w:r w:rsidRPr="001A7DCD">
        <w:t xml:space="preserve"> improved performance from </w:t>
      </w:r>
      <w:r w:rsidRPr="001A7DCD">
        <w:rPr>
          <w:b/>
          <w:i/>
        </w:rPr>
        <w:t>all</w:t>
      </w:r>
      <w:r w:rsidR="00E050D8" w:rsidRPr="001A7DCD">
        <w:t xml:space="preserve"> companies, </w:t>
      </w:r>
      <w:r w:rsidR="00AE12CD" w:rsidRPr="001A7DCD">
        <w:t xml:space="preserve">which can complement existing </w:t>
      </w:r>
      <w:r w:rsidR="00E42245" w:rsidRPr="001A7DCD">
        <w:t xml:space="preserve">voluntary and </w:t>
      </w:r>
      <w:r w:rsidR="001D09F0" w:rsidRPr="001A7DCD">
        <w:t>non-</w:t>
      </w:r>
      <w:r w:rsidR="00AE12CD" w:rsidRPr="001A7DCD">
        <w:t xml:space="preserve">judicial channels </w:t>
      </w:r>
      <w:r w:rsidR="00E42245" w:rsidRPr="001A7DCD">
        <w:t>and deliver</w:t>
      </w:r>
      <w:r w:rsidR="00E050D8" w:rsidRPr="001A7DCD">
        <w:t xml:space="preserve"> justice to vulnerable communities harme</w:t>
      </w:r>
      <w:r w:rsidR="00E42245" w:rsidRPr="001A7DCD">
        <w:t>d</w:t>
      </w:r>
      <w:r w:rsidR="006D626D" w:rsidRPr="001A7DCD">
        <w:t>.</w:t>
      </w:r>
    </w:p>
    <w:p w14:paraId="14BD445F" w14:textId="77777777" w:rsidR="008A641F" w:rsidRPr="001A7DCD" w:rsidRDefault="008A641F" w:rsidP="005A4B4D">
      <w:pPr>
        <w:spacing w:after="0" w:line="240" w:lineRule="auto"/>
      </w:pPr>
    </w:p>
    <w:p w14:paraId="40CF3D95" w14:textId="64E58713" w:rsidR="003112D6" w:rsidRPr="00527987" w:rsidRDefault="006F0463" w:rsidP="005A4B4D">
      <w:pPr>
        <w:spacing w:after="0" w:line="240" w:lineRule="auto"/>
        <w:rPr>
          <w:b/>
          <w:sz w:val="24"/>
        </w:rPr>
      </w:pPr>
      <w:r w:rsidRPr="00527987">
        <w:rPr>
          <w:b/>
          <w:sz w:val="24"/>
        </w:rPr>
        <w:t>Current situation reg</w:t>
      </w:r>
      <w:r w:rsidR="00EA38F7" w:rsidRPr="00527987">
        <w:rPr>
          <w:b/>
          <w:sz w:val="24"/>
        </w:rPr>
        <w:t>a</w:t>
      </w:r>
      <w:r w:rsidRPr="00527987">
        <w:rPr>
          <w:b/>
          <w:sz w:val="24"/>
        </w:rPr>
        <w:t>r</w:t>
      </w:r>
      <w:r w:rsidR="00EA38F7" w:rsidRPr="00527987">
        <w:rPr>
          <w:b/>
          <w:sz w:val="24"/>
        </w:rPr>
        <w:t>ding access to judicial remedy in the UK</w:t>
      </w:r>
    </w:p>
    <w:p w14:paraId="52488776" w14:textId="77777777" w:rsidR="009654C6" w:rsidRDefault="009654C6" w:rsidP="005A4B4D">
      <w:pPr>
        <w:spacing w:after="0" w:line="240" w:lineRule="auto"/>
      </w:pPr>
    </w:p>
    <w:p w14:paraId="4655F821" w14:textId="70EC8602" w:rsidR="00904CD6" w:rsidRPr="001A7DCD" w:rsidRDefault="00F32A53" w:rsidP="005A4B4D">
      <w:pPr>
        <w:spacing w:after="0" w:line="240" w:lineRule="auto"/>
      </w:pPr>
      <w:r w:rsidRPr="001A7DCD">
        <w:t>T</w:t>
      </w:r>
      <w:r w:rsidR="003112D6" w:rsidRPr="001A7DCD">
        <w:t>he UK does have provision for civil ca</w:t>
      </w:r>
      <w:r w:rsidR="006F0463" w:rsidRPr="001A7DCD">
        <w:t xml:space="preserve">ses to be brought </w:t>
      </w:r>
      <w:r w:rsidR="003112D6" w:rsidRPr="001A7DCD">
        <w:t xml:space="preserve">against companies for harm that happens overseas, </w:t>
      </w:r>
      <w:r w:rsidRPr="001A7DCD">
        <w:t xml:space="preserve">but </w:t>
      </w:r>
      <w:r w:rsidR="003112D6" w:rsidRPr="001A7DCD">
        <w:t xml:space="preserve">this is getting more difficult. </w:t>
      </w:r>
      <w:r w:rsidR="002F7EC5" w:rsidRPr="001A7DCD">
        <w:t>L</w:t>
      </w:r>
      <w:r w:rsidR="003112D6" w:rsidRPr="001A7DCD">
        <w:t xml:space="preserve">andmark cases </w:t>
      </w:r>
      <w:r w:rsidR="005D5F26" w:rsidRPr="001A7DCD">
        <w:t>such as Cape plc</w:t>
      </w:r>
      <w:r w:rsidR="00E050D8" w:rsidRPr="001A7DCD">
        <w:t xml:space="preserve"> or the recent Bodo case</w:t>
      </w:r>
      <w:r w:rsidR="00326BE9" w:rsidRPr="001A7DCD">
        <w:t xml:space="preserve"> </w:t>
      </w:r>
      <w:r w:rsidR="005704C8" w:rsidRPr="001A7DCD">
        <w:t xml:space="preserve">which have enhanced the UK’s global reputation for justice </w:t>
      </w:r>
      <w:r w:rsidR="003112D6" w:rsidRPr="001A7DCD">
        <w:t xml:space="preserve">would be unlikely to proceed given today’s restrictions. </w:t>
      </w:r>
      <w:r w:rsidR="005D5F26" w:rsidRPr="001A7DCD">
        <w:t xml:space="preserve"> </w:t>
      </w:r>
    </w:p>
    <w:p w14:paraId="29DC5378" w14:textId="77777777" w:rsidR="001A7DCD" w:rsidRDefault="001A7DCD" w:rsidP="005A4B4D">
      <w:pPr>
        <w:spacing w:after="0" w:line="240" w:lineRule="auto"/>
        <w:sectPr w:rsidR="001A7DCD" w:rsidSect="001A7DCD">
          <w:pgSz w:w="11906" w:h="16838"/>
          <w:pgMar w:top="851" w:right="1440" w:bottom="1440" w:left="1440" w:header="709" w:footer="709" w:gutter="0"/>
          <w:cols w:space="708"/>
          <w:docGrid w:linePitch="360"/>
        </w:sectPr>
      </w:pPr>
    </w:p>
    <w:p w14:paraId="6B1CE985" w14:textId="275597CC" w:rsidR="00904CD6" w:rsidRDefault="00527987" w:rsidP="005A4B4D">
      <w:pPr>
        <w:spacing w:after="0" w:line="240" w:lineRule="auto"/>
      </w:pPr>
      <w:r>
        <w:lastRenderedPageBreak/>
        <w:t>T</w:t>
      </w:r>
      <w:r w:rsidR="003112D6" w:rsidRPr="001A7DCD">
        <w:t xml:space="preserve">he UK’s provision for criminal prosecution for corporate misconduct is </w:t>
      </w:r>
      <w:r w:rsidR="00E050D8" w:rsidRPr="001A7DCD">
        <w:t xml:space="preserve">considerably </w:t>
      </w:r>
      <w:r w:rsidR="003112D6" w:rsidRPr="001A7DCD">
        <w:t>weaker than other jurisdictions and needs to be improved.</w:t>
      </w:r>
    </w:p>
    <w:p w14:paraId="5DA8A93F" w14:textId="77777777" w:rsidR="00E52E9C" w:rsidRPr="001A7DCD" w:rsidRDefault="00E52E9C" w:rsidP="005A4B4D">
      <w:pPr>
        <w:spacing w:after="0" w:line="240" w:lineRule="auto"/>
      </w:pPr>
    </w:p>
    <w:p w14:paraId="1299A72A" w14:textId="08D69D46" w:rsidR="00E20047" w:rsidRPr="001A7DCD" w:rsidRDefault="006F0463" w:rsidP="005A4B4D">
      <w:pPr>
        <w:spacing w:after="0" w:line="240" w:lineRule="auto"/>
      </w:pPr>
      <w:r w:rsidRPr="001A7DCD">
        <w:t xml:space="preserve">The Government </w:t>
      </w:r>
      <w:r w:rsidR="00E20047" w:rsidRPr="001A7DCD">
        <w:t xml:space="preserve">is clearly committed to ensuring the highest standards of practice by British companies overseas, to tackling corporate excess and taking a firm line on corruption and bribery. These </w:t>
      </w:r>
      <w:r w:rsidRPr="001A7DCD">
        <w:t>practices</w:t>
      </w:r>
      <w:r w:rsidR="00E20047" w:rsidRPr="001A7DCD">
        <w:t xml:space="preserve"> are </w:t>
      </w:r>
      <w:r w:rsidRPr="001A7DCD">
        <w:t xml:space="preserve">often </w:t>
      </w:r>
      <w:r w:rsidR="00E20047" w:rsidRPr="001A7DCD">
        <w:t>intimately connected to many of the harms we see, which are essentially committed</w:t>
      </w:r>
      <w:r w:rsidR="00527987">
        <w:t xml:space="preserve"> - often through inadequate</w:t>
      </w:r>
      <w:r w:rsidR="00E20047" w:rsidRPr="001A7DCD">
        <w:t xml:space="preserve"> </w:t>
      </w:r>
      <w:r w:rsidR="00527987">
        <w:t xml:space="preserve">oversight </w:t>
      </w:r>
      <w:r w:rsidR="00E20047" w:rsidRPr="001A7DCD">
        <w:t>- for economic gain.</w:t>
      </w:r>
    </w:p>
    <w:p w14:paraId="4381AA7C" w14:textId="77777777" w:rsidR="009654C6" w:rsidRDefault="009654C6" w:rsidP="005A4B4D">
      <w:pPr>
        <w:spacing w:after="0" w:line="240" w:lineRule="auto"/>
        <w:rPr>
          <w:b/>
          <w:sz w:val="24"/>
          <w:szCs w:val="24"/>
        </w:rPr>
      </w:pPr>
    </w:p>
    <w:p w14:paraId="3224DDE5" w14:textId="3D29BCAF" w:rsidR="003112D6" w:rsidRPr="00527987" w:rsidRDefault="00F32A53" w:rsidP="005A4B4D">
      <w:pPr>
        <w:spacing w:after="0" w:line="240" w:lineRule="auto"/>
        <w:rPr>
          <w:b/>
          <w:sz w:val="24"/>
          <w:szCs w:val="24"/>
        </w:rPr>
      </w:pPr>
      <w:r w:rsidRPr="00527987">
        <w:rPr>
          <w:b/>
          <w:sz w:val="24"/>
          <w:szCs w:val="24"/>
        </w:rPr>
        <w:t>Access to judicial remedy needs to be at the heart of the next NAP</w:t>
      </w:r>
    </w:p>
    <w:p w14:paraId="2CAD0031" w14:textId="77777777" w:rsidR="009654C6" w:rsidRDefault="009654C6" w:rsidP="005A4B4D">
      <w:pPr>
        <w:spacing w:after="0" w:line="240" w:lineRule="auto"/>
        <w:jc w:val="both"/>
      </w:pPr>
    </w:p>
    <w:p w14:paraId="59619329" w14:textId="2A71C635" w:rsidR="00F32A53" w:rsidRPr="001A7DCD" w:rsidRDefault="00F32A53" w:rsidP="005A4B4D">
      <w:pPr>
        <w:spacing w:after="0" w:line="240" w:lineRule="auto"/>
        <w:jc w:val="both"/>
      </w:pPr>
      <w:r w:rsidRPr="001A7DCD">
        <w:t>There were no clear commitments on judicial remedy in the UK’s first National Action Plan on Business and Human Rights, so it is critical that the updated version reverses this, gives access to judicial remedy a central role and includes specific</w:t>
      </w:r>
      <w:r w:rsidR="006C0892" w:rsidRPr="001A7DCD">
        <w:t>,</w:t>
      </w:r>
      <w:r w:rsidRPr="001A7DCD">
        <w:t xml:space="preserve"> time-bound commitments</w:t>
      </w:r>
      <w:r w:rsidR="00E52E9C">
        <w:t>.</w:t>
      </w:r>
    </w:p>
    <w:p w14:paraId="6076311C" w14:textId="77777777" w:rsidR="009654C6" w:rsidRDefault="009654C6" w:rsidP="005A4B4D">
      <w:pPr>
        <w:spacing w:after="0" w:line="240" w:lineRule="auto"/>
        <w:jc w:val="both"/>
      </w:pPr>
    </w:p>
    <w:p w14:paraId="7F50426C" w14:textId="07DCA299" w:rsidR="00FD185C" w:rsidRPr="001A7DCD" w:rsidRDefault="00021E2B" w:rsidP="005A4B4D">
      <w:pPr>
        <w:spacing w:after="0" w:line="240" w:lineRule="auto"/>
        <w:jc w:val="both"/>
      </w:pPr>
      <w:r w:rsidRPr="001A7DCD">
        <w:t xml:space="preserve">There are </w:t>
      </w:r>
      <w:r w:rsidR="0083531B" w:rsidRPr="001A7DCD">
        <w:t xml:space="preserve">many ways access to </w:t>
      </w:r>
      <w:r w:rsidRPr="001A7DCD">
        <w:t xml:space="preserve">judicial </w:t>
      </w:r>
      <w:r w:rsidR="0083531B" w:rsidRPr="001A7DCD">
        <w:t>remedy can be imp</w:t>
      </w:r>
      <w:r w:rsidR="00326BE9" w:rsidRPr="001A7DCD">
        <w:t xml:space="preserve">roved, </w:t>
      </w:r>
      <w:r w:rsidR="00A26178" w:rsidRPr="001A7DCD">
        <w:t>including</w:t>
      </w:r>
      <w:r w:rsidR="00326BE9" w:rsidRPr="001A7DCD">
        <w:t xml:space="preserve"> </w:t>
      </w:r>
      <w:r w:rsidR="0047486C" w:rsidRPr="001A7DCD">
        <w:t xml:space="preserve">improvements in the </w:t>
      </w:r>
      <w:r w:rsidR="005A3FDB" w:rsidRPr="001A7DCD">
        <w:t xml:space="preserve">judicial system of the </w:t>
      </w:r>
      <w:r w:rsidR="0047486C" w:rsidRPr="001A7DCD">
        <w:t>country whe</w:t>
      </w:r>
      <w:r w:rsidR="005A3FDB" w:rsidRPr="001A7DCD">
        <w:t>re the harm took place</w:t>
      </w:r>
      <w:r w:rsidR="00326BE9" w:rsidRPr="001A7DCD">
        <w:t>. T</w:t>
      </w:r>
      <w:r w:rsidR="005438AE" w:rsidRPr="001A7DCD">
        <w:t xml:space="preserve">here is clearly a role for </w:t>
      </w:r>
      <w:r w:rsidR="006C0892" w:rsidRPr="001A7DCD">
        <w:t xml:space="preserve">Government </w:t>
      </w:r>
      <w:r w:rsidR="005438AE" w:rsidRPr="001A7DCD">
        <w:t>in supporting th</w:t>
      </w:r>
      <w:r w:rsidR="00326BE9" w:rsidRPr="001A7DCD">
        <w:t>is</w:t>
      </w:r>
      <w:r w:rsidR="005438AE" w:rsidRPr="001A7DCD">
        <w:t xml:space="preserve"> </w:t>
      </w:r>
      <w:r w:rsidR="006C0892" w:rsidRPr="001A7DCD">
        <w:t>through</w:t>
      </w:r>
      <w:r w:rsidR="006A0D94">
        <w:t xml:space="preserve"> </w:t>
      </w:r>
      <w:r w:rsidR="005438AE" w:rsidRPr="001A7DCD">
        <w:t>various FCO, MOJ and DFID programmes</w:t>
      </w:r>
      <w:r w:rsidR="00FD185C" w:rsidRPr="001A7DCD">
        <w:t>.</w:t>
      </w:r>
      <w:r w:rsidR="00E20047" w:rsidRPr="001A7DCD">
        <w:t xml:space="preserve"> </w:t>
      </w:r>
      <w:r w:rsidR="00903E96" w:rsidRPr="001A7DCD">
        <w:t>However t</w:t>
      </w:r>
      <w:r w:rsidR="00326BE9" w:rsidRPr="001A7DCD">
        <w:t xml:space="preserve">his </w:t>
      </w:r>
      <w:r w:rsidR="006C0892" w:rsidRPr="001A7DCD">
        <w:t>must</w:t>
      </w:r>
      <w:r w:rsidR="00326BE9" w:rsidRPr="001A7DCD">
        <w:t xml:space="preserve"> not be a substitute for action in our own jurisdiction, not is</w:t>
      </w:r>
      <w:r w:rsidR="005438AE" w:rsidRPr="001A7DCD">
        <w:t xml:space="preserve"> it realistic to seek to achieve significant improvements in all the countries where British companies operate. </w:t>
      </w:r>
      <w:r w:rsidR="00717385" w:rsidRPr="001A7DCD">
        <w:t>Improving the rule of law in par</w:t>
      </w:r>
      <w:r w:rsidR="00F766CB" w:rsidRPr="001A7DCD">
        <w:t>tner countries is a complex undertaking</w:t>
      </w:r>
      <w:r w:rsidR="008D1EBB">
        <w:t xml:space="preserve"> and </w:t>
      </w:r>
      <w:r w:rsidR="00717385" w:rsidRPr="001A7DCD">
        <w:t>depend</w:t>
      </w:r>
      <w:r w:rsidR="008D1EBB">
        <w:t>s on</w:t>
      </w:r>
      <w:r w:rsidR="00717385" w:rsidRPr="001A7DCD">
        <w:t xml:space="preserve"> the leverag</w:t>
      </w:r>
      <w:r w:rsidR="006C0892" w:rsidRPr="001A7DCD">
        <w:t xml:space="preserve">e the UK can bring to bear, </w:t>
      </w:r>
      <w:r w:rsidR="00717385" w:rsidRPr="001A7DCD">
        <w:t xml:space="preserve">the willingness of Governments to </w:t>
      </w:r>
      <w:r w:rsidR="00326745" w:rsidRPr="001A7DCD">
        <w:t xml:space="preserve">make </w:t>
      </w:r>
      <w:r w:rsidR="008D1857" w:rsidRPr="001A7DCD">
        <w:t>improvements</w:t>
      </w:r>
      <w:r w:rsidR="00903E96" w:rsidRPr="001A7DCD">
        <w:t xml:space="preserve"> and the level of state complicity in harms</w:t>
      </w:r>
      <w:r w:rsidR="00326745" w:rsidRPr="001A7DCD">
        <w:t>.</w:t>
      </w:r>
      <w:r w:rsidR="00A26178" w:rsidRPr="001A7DCD">
        <w:t xml:space="preserve"> </w:t>
      </w:r>
    </w:p>
    <w:p w14:paraId="3146E5C0" w14:textId="77777777" w:rsidR="009654C6" w:rsidRDefault="009654C6" w:rsidP="005A4B4D">
      <w:pPr>
        <w:spacing w:after="0" w:line="240" w:lineRule="auto"/>
        <w:jc w:val="both"/>
      </w:pPr>
    </w:p>
    <w:p w14:paraId="5E1F9477" w14:textId="0FF2942F" w:rsidR="00193416" w:rsidRDefault="00326BE9" w:rsidP="005A4B4D">
      <w:pPr>
        <w:spacing w:after="0" w:line="240" w:lineRule="auto"/>
        <w:jc w:val="both"/>
      </w:pPr>
      <w:r w:rsidRPr="001A7DCD">
        <w:t xml:space="preserve">The updated National Action Plan should focus on the </w:t>
      </w:r>
      <w:r w:rsidR="00326745" w:rsidRPr="001A7DCD">
        <w:t xml:space="preserve">area where </w:t>
      </w:r>
      <w:r w:rsidR="00E20047" w:rsidRPr="001A7DCD">
        <w:t xml:space="preserve">there is clear accountability gap and where </w:t>
      </w:r>
      <w:r w:rsidR="006C0892" w:rsidRPr="001A7DCD">
        <w:t xml:space="preserve">Government is in a position to </w:t>
      </w:r>
      <w:r w:rsidR="00193416">
        <w:t>make autonomous progress</w:t>
      </w:r>
      <w:r w:rsidRPr="001A7DCD">
        <w:t>. This requires</w:t>
      </w:r>
      <w:r w:rsidR="00193416">
        <w:t>:</w:t>
      </w:r>
    </w:p>
    <w:p w14:paraId="2BFCBC87" w14:textId="6A3BD5DF" w:rsidR="00193416" w:rsidRDefault="00193416" w:rsidP="005A4B4D">
      <w:pPr>
        <w:pStyle w:val="ListParagraph"/>
        <w:numPr>
          <w:ilvl w:val="0"/>
          <w:numId w:val="34"/>
        </w:numPr>
        <w:spacing w:after="0" w:line="240" w:lineRule="auto"/>
        <w:jc w:val="both"/>
      </w:pPr>
      <w:r>
        <w:t>R</w:t>
      </w:r>
      <w:r w:rsidR="00BF1DA1" w:rsidRPr="001A7DCD">
        <w:t xml:space="preserve">emoving the mounting barriers </w:t>
      </w:r>
      <w:r w:rsidR="00326BE9" w:rsidRPr="001A7DCD">
        <w:t>to bring</w:t>
      </w:r>
      <w:r w:rsidR="00BF1DA1" w:rsidRPr="001A7DCD">
        <w:t>ing</w:t>
      </w:r>
      <w:r w:rsidR="00326BE9" w:rsidRPr="001A7DCD">
        <w:t xml:space="preserve"> civil cases in the UK </w:t>
      </w:r>
    </w:p>
    <w:p w14:paraId="41726647" w14:textId="5E4BB472" w:rsidR="00193416" w:rsidRDefault="00193416" w:rsidP="005A4B4D">
      <w:pPr>
        <w:pStyle w:val="ListParagraph"/>
        <w:numPr>
          <w:ilvl w:val="0"/>
          <w:numId w:val="34"/>
        </w:numPr>
        <w:spacing w:after="0" w:line="240" w:lineRule="auto"/>
        <w:jc w:val="both"/>
      </w:pPr>
      <w:r>
        <w:t>D</w:t>
      </w:r>
      <w:r w:rsidR="00326BE9" w:rsidRPr="001A7DCD">
        <w:t xml:space="preserve">eveloping </w:t>
      </w:r>
      <w:r w:rsidR="00BF1DA1" w:rsidRPr="001A7DCD">
        <w:t>(or amending</w:t>
      </w:r>
      <w:r w:rsidR="00E20047" w:rsidRPr="001A7DCD">
        <w:t xml:space="preserve"> existing</w:t>
      </w:r>
      <w:r w:rsidR="00BF1DA1" w:rsidRPr="001A7DCD">
        <w:t xml:space="preserve">) </w:t>
      </w:r>
      <w:r w:rsidR="00326BE9" w:rsidRPr="001A7DCD">
        <w:t>legislation that would allow criminal prosecution of companies for the most serious harms</w:t>
      </w:r>
      <w:r w:rsidR="00E20047" w:rsidRPr="001A7DCD">
        <w:t>.</w:t>
      </w:r>
    </w:p>
    <w:p w14:paraId="58401321" w14:textId="77777777" w:rsidR="009654C6" w:rsidRDefault="009654C6" w:rsidP="005A4B4D">
      <w:pPr>
        <w:spacing w:after="0" w:line="240" w:lineRule="auto"/>
        <w:jc w:val="both"/>
      </w:pPr>
    </w:p>
    <w:p w14:paraId="3DE585A4" w14:textId="07E8C3C8" w:rsidR="005438AE" w:rsidRPr="001A7DCD" w:rsidRDefault="00E20047" w:rsidP="005A4B4D">
      <w:pPr>
        <w:spacing w:after="0" w:line="240" w:lineRule="auto"/>
        <w:jc w:val="both"/>
      </w:pPr>
      <w:r w:rsidRPr="001A7DCD">
        <w:t xml:space="preserve">We need to be sure that we are </w:t>
      </w:r>
      <w:r w:rsidR="00326BE9" w:rsidRPr="001A7DCD">
        <w:t xml:space="preserve">applying the same </w:t>
      </w:r>
      <w:r w:rsidRPr="001A7DCD">
        <w:t>high standards we expect of British companies operating in the UK, when they are operating</w:t>
      </w:r>
      <w:r w:rsidR="00326BE9" w:rsidRPr="001A7DCD">
        <w:t xml:space="preserve"> overseas.</w:t>
      </w:r>
    </w:p>
    <w:p w14:paraId="07AB78A5" w14:textId="77777777" w:rsidR="009654C6" w:rsidRDefault="009654C6" w:rsidP="005A4B4D">
      <w:pPr>
        <w:spacing w:after="0" w:line="240" w:lineRule="auto"/>
        <w:jc w:val="both"/>
        <w:rPr>
          <w:b/>
          <w:sz w:val="24"/>
          <w:szCs w:val="24"/>
        </w:rPr>
      </w:pPr>
    </w:p>
    <w:p w14:paraId="2944CAEF" w14:textId="77777777" w:rsidR="00D228B6" w:rsidRPr="00527987" w:rsidRDefault="00D228B6" w:rsidP="005A4B4D">
      <w:pPr>
        <w:spacing w:after="0" w:line="240" w:lineRule="auto"/>
        <w:jc w:val="both"/>
        <w:rPr>
          <w:b/>
          <w:sz w:val="24"/>
          <w:szCs w:val="24"/>
        </w:rPr>
      </w:pPr>
      <w:r w:rsidRPr="00527987">
        <w:rPr>
          <w:b/>
          <w:sz w:val="24"/>
          <w:szCs w:val="24"/>
        </w:rPr>
        <w:t xml:space="preserve">Summary of Policy </w:t>
      </w:r>
      <w:r w:rsidR="003E4B90" w:rsidRPr="00527987">
        <w:rPr>
          <w:b/>
          <w:sz w:val="24"/>
          <w:szCs w:val="24"/>
        </w:rPr>
        <w:t>Recommendations</w:t>
      </w:r>
    </w:p>
    <w:p w14:paraId="2D2AB3E1" w14:textId="77777777" w:rsidR="009654C6" w:rsidRDefault="009654C6" w:rsidP="005A4B4D">
      <w:pPr>
        <w:spacing w:after="0" w:line="240" w:lineRule="auto"/>
        <w:jc w:val="both"/>
      </w:pPr>
    </w:p>
    <w:p w14:paraId="4F29EAF2" w14:textId="3A367BE2" w:rsidR="000D0BC5" w:rsidRDefault="000D0BC5" w:rsidP="005A4B4D">
      <w:pPr>
        <w:spacing w:after="0" w:line="240" w:lineRule="auto"/>
        <w:jc w:val="both"/>
      </w:pPr>
      <w:proofErr w:type="spellStart"/>
      <w:r w:rsidRPr="001A7DCD">
        <w:t>Traidcraft</w:t>
      </w:r>
      <w:proofErr w:type="spellEnd"/>
      <w:r w:rsidRPr="001A7DCD">
        <w:t xml:space="preserve"> has sought extensive legal advice relating to both criminal and</w:t>
      </w:r>
      <w:r w:rsidR="008D1EBB">
        <w:t xml:space="preserve"> civil law.</w:t>
      </w:r>
    </w:p>
    <w:p w14:paraId="5A437EE0" w14:textId="77777777" w:rsidR="009654C6" w:rsidRPr="001A7DCD" w:rsidRDefault="009654C6" w:rsidP="005A4B4D">
      <w:pPr>
        <w:spacing w:after="0" w:line="240" w:lineRule="auto"/>
        <w:jc w:val="both"/>
        <w:rPr>
          <w:b/>
        </w:rPr>
      </w:pPr>
    </w:p>
    <w:tbl>
      <w:tblPr>
        <w:tblStyle w:val="MediumGrid3-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2986"/>
        <w:gridCol w:w="3136"/>
      </w:tblGrid>
      <w:tr w:rsidR="00D228B6" w:rsidRPr="001A7DCD" w14:paraId="60467796" w14:textId="77777777" w:rsidTr="006316D4">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left w:val="none" w:sz="0" w:space="0" w:color="auto"/>
              <w:bottom w:val="single" w:sz="4" w:space="0" w:color="auto"/>
              <w:right w:val="none" w:sz="0" w:space="0" w:color="auto"/>
            </w:tcBorders>
            <w:shd w:val="pct30" w:color="FFFF00" w:fill="FFFFFF"/>
          </w:tcPr>
          <w:p w14:paraId="162721A1" w14:textId="77777777" w:rsidR="00D228B6" w:rsidRPr="001A7DCD" w:rsidRDefault="003E4B90" w:rsidP="005A4B4D">
            <w:pPr>
              <w:rPr>
                <w:bCs w:val="0"/>
                <w:color w:val="auto"/>
              </w:rPr>
            </w:pPr>
            <w:r w:rsidRPr="001A7DCD">
              <w:rPr>
                <w:bCs w:val="0"/>
                <w:color w:val="auto"/>
              </w:rPr>
              <w:t>Recommendation</w:t>
            </w:r>
          </w:p>
        </w:tc>
        <w:tc>
          <w:tcPr>
            <w:cnfStyle w:val="000010000000" w:firstRow="0" w:lastRow="0" w:firstColumn="0" w:lastColumn="0" w:oddVBand="1" w:evenVBand="0" w:oddHBand="0" w:evenHBand="0" w:firstRowFirstColumn="0" w:firstRowLastColumn="0" w:lastRowFirstColumn="0" w:lastRowLastColumn="0"/>
            <w:tcW w:w="2986" w:type="dxa"/>
            <w:tcBorders>
              <w:top w:val="none" w:sz="0" w:space="0" w:color="auto"/>
              <w:left w:val="none" w:sz="0" w:space="0" w:color="auto"/>
              <w:bottom w:val="single" w:sz="4" w:space="0" w:color="auto"/>
              <w:right w:val="none" w:sz="0" w:space="0" w:color="auto"/>
            </w:tcBorders>
            <w:shd w:val="pct30" w:color="FFFF00" w:fill="FFFFFF"/>
          </w:tcPr>
          <w:p w14:paraId="7641DD8D" w14:textId="77777777" w:rsidR="00D228B6" w:rsidRPr="001A7DCD" w:rsidRDefault="00D228B6" w:rsidP="005A4B4D">
            <w:pPr>
              <w:rPr>
                <w:bCs w:val="0"/>
                <w:color w:val="auto"/>
              </w:rPr>
            </w:pPr>
            <w:r w:rsidRPr="001A7DCD">
              <w:rPr>
                <w:bCs w:val="0"/>
                <w:color w:val="auto"/>
              </w:rPr>
              <w:t>Responsibility</w:t>
            </w:r>
            <w:r w:rsidR="00746C45" w:rsidRPr="001A7DCD">
              <w:rPr>
                <w:bCs w:val="0"/>
                <w:color w:val="auto"/>
              </w:rPr>
              <w:t xml:space="preserve"> and action</w:t>
            </w:r>
          </w:p>
        </w:tc>
        <w:tc>
          <w:tcPr>
            <w:cnfStyle w:val="000100000000" w:firstRow="0" w:lastRow="0" w:firstColumn="0" w:lastColumn="1" w:oddVBand="0" w:evenVBand="0" w:oddHBand="0" w:evenHBand="0" w:firstRowFirstColumn="0" w:firstRowLastColumn="0" w:lastRowFirstColumn="0" w:lastRowLastColumn="0"/>
            <w:tcW w:w="3136" w:type="dxa"/>
            <w:tcBorders>
              <w:top w:val="none" w:sz="0" w:space="0" w:color="auto"/>
              <w:left w:val="none" w:sz="0" w:space="0" w:color="auto"/>
              <w:bottom w:val="single" w:sz="4" w:space="0" w:color="auto"/>
              <w:right w:val="none" w:sz="0" w:space="0" w:color="auto"/>
            </w:tcBorders>
            <w:shd w:val="pct30" w:color="FFFF00" w:fill="FFFFFF"/>
          </w:tcPr>
          <w:p w14:paraId="57DD4FAD" w14:textId="77777777" w:rsidR="00D228B6" w:rsidRPr="001A7DCD" w:rsidRDefault="00D228B6" w:rsidP="005A4B4D">
            <w:pPr>
              <w:tabs>
                <w:tab w:val="left" w:pos="2532"/>
              </w:tabs>
              <w:rPr>
                <w:bCs w:val="0"/>
                <w:color w:val="auto"/>
              </w:rPr>
            </w:pPr>
            <w:r w:rsidRPr="001A7DCD">
              <w:rPr>
                <w:bCs w:val="0"/>
                <w:color w:val="auto"/>
              </w:rPr>
              <w:t>Cost</w:t>
            </w:r>
          </w:p>
        </w:tc>
      </w:tr>
      <w:tr w:rsidR="00B855B3" w:rsidRPr="001A7DCD" w14:paraId="693BE90D" w14:textId="77777777" w:rsidTr="006316D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00" w:type="dxa"/>
            <w:tcBorders>
              <w:top w:val="single" w:sz="4" w:space="0" w:color="auto"/>
              <w:left w:val="single" w:sz="4" w:space="0" w:color="auto"/>
              <w:bottom w:val="single" w:sz="4" w:space="0" w:color="auto"/>
            </w:tcBorders>
            <w:shd w:val="clear" w:color="auto" w:fill="auto"/>
          </w:tcPr>
          <w:p w14:paraId="0A66AA3C" w14:textId="77777777" w:rsidR="00B855B3" w:rsidRPr="001A7DCD" w:rsidRDefault="00602A8C" w:rsidP="005A4B4D">
            <w:pPr>
              <w:rPr>
                <w:color w:val="auto"/>
              </w:rPr>
            </w:pPr>
            <w:r w:rsidRPr="001A7DCD">
              <w:rPr>
                <w:color w:val="auto"/>
              </w:rPr>
              <w:t xml:space="preserve">Criminal law </w:t>
            </w:r>
          </w:p>
        </w:tc>
        <w:tc>
          <w:tcPr>
            <w:cnfStyle w:val="000010000000" w:firstRow="0" w:lastRow="0" w:firstColumn="0" w:lastColumn="0" w:oddVBand="1" w:evenVBand="0" w:oddHBand="0" w:evenHBand="0" w:firstRowFirstColumn="0" w:firstRowLastColumn="0" w:lastRowFirstColumn="0" w:lastRowLastColumn="0"/>
            <w:tcW w:w="2986" w:type="dxa"/>
            <w:tcBorders>
              <w:top w:val="single" w:sz="4" w:space="0" w:color="auto"/>
              <w:bottom w:val="single" w:sz="4" w:space="0" w:color="auto"/>
            </w:tcBorders>
            <w:shd w:val="clear" w:color="auto" w:fill="auto"/>
          </w:tcPr>
          <w:p w14:paraId="1F9D7320" w14:textId="77777777" w:rsidR="00B855B3" w:rsidRPr="001A7DCD" w:rsidRDefault="00B855B3" w:rsidP="005A4B4D"/>
        </w:tc>
        <w:tc>
          <w:tcPr>
            <w:cnfStyle w:val="000100000000" w:firstRow="0" w:lastRow="0" w:firstColumn="0" w:lastColumn="1" w:oddVBand="0" w:evenVBand="0" w:oddHBand="0" w:evenHBand="0" w:firstRowFirstColumn="0" w:firstRowLastColumn="0" w:lastRowFirstColumn="0" w:lastRowLastColumn="0"/>
            <w:tcW w:w="3136" w:type="dxa"/>
            <w:tcBorders>
              <w:top w:val="single" w:sz="4" w:space="0" w:color="auto"/>
              <w:bottom w:val="single" w:sz="4" w:space="0" w:color="auto"/>
              <w:right w:val="single" w:sz="4" w:space="0" w:color="auto"/>
            </w:tcBorders>
            <w:shd w:val="clear" w:color="auto" w:fill="auto"/>
          </w:tcPr>
          <w:p w14:paraId="7656565B" w14:textId="77777777" w:rsidR="00B855B3" w:rsidRPr="001A7DCD" w:rsidRDefault="00B855B3" w:rsidP="005A4B4D">
            <w:pPr>
              <w:tabs>
                <w:tab w:val="left" w:pos="2532"/>
              </w:tabs>
            </w:pPr>
          </w:p>
        </w:tc>
      </w:tr>
      <w:tr w:rsidR="00D228B6" w:rsidRPr="001A7DCD" w14:paraId="12853D6F" w14:textId="77777777" w:rsidTr="006316D4">
        <w:trPr>
          <w:trHeight w:val="3300"/>
        </w:trPr>
        <w:tc>
          <w:tcPr>
            <w:cnfStyle w:val="001000000000" w:firstRow="0" w:lastRow="0" w:firstColumn="1" w:lastColumn="0" w:oddVBand="0" w:evenVBand="0" w:oddHBand="0" w:evenHBand="0" w:firstRowFirstColumn="0" w:firstRowLastColumn="0" w:lastRowFirstColumn="0" w:lastRowLastColumn="0"/>
            <w:tcW w:w="3100" w:type="dxa"/>
            <w:tcBorders>
              <w:top w:val="single" w:sz="4" w:space="0" w:color="auto"/>
              <w:left w:val="none" w:sz="0" w:space="0" w:color="auto"/>
              <w:bottom w:val="none" w:sz="0" w:space="0" w:color="auto"/>
              <w:right w:val="none" w:sz="0" w:space="0" w:color="auto"/>
            </w:tcBorders>
            <w:shd w:val="clear" w:color="auto" w:fill="auto"/>
          </w:tcPr>
          <w:p w14:paraId="3A688BA3" w14:textId="59EB1F27" w:rsidR="00D228B6" w:rsidRPr="001A7DCD" w:rsidRDefault="00D228B6" w:rsidP="005A4B4D">
            <w:pPr>
              <w:rPr>
                <w:b w:val="0"/>
                <w:bCs w:val="0"/>
                <w:color w:val="auto"/>
              </w:rPr>
            </w:pPr>
            <w:r w:rsidRPr="001A7DCD">
              <w:rPr>
                <w:b w:val="0"/>
                <w:bCs w:val="0"/>
                <w:color w:val="auto"/>
              </w:rPr>
              <w:t xml:space="preserve">1a) </w:t>
            </w:r>
            <w:r w:rsidR="00985DBE" w:rsidRPr="001A7DCD">
              <w:rPr>
                <w:b w:val="0"/>
                <w:bCs w:val="0"/>
                <w:color w:val="auto"/>
              </w:rPr>
              <w:t>Develop an offence of ‘</w:t>
            </w:r>
            <w:r w:rsidR="003B0156" w:rsidRPr="001A7DCD">
              <w:rPr>
                <w:b w:val="0"/>
                <w:bCs w:val="0"/>
                <w:color w:val="auto"/>
              </w:rPr>
              <w:t xml:space="preserve">failure to prevent </w:t>
            </w:r>
            <w:r w:rsidR="00985DBE" w:rsidRPr="001A7DCD">
              <w:rPr>
                <w:b w:val="0"/>
                <w:bCs w:val="0"/>
                <w:color w:val="auto"/>
              </w:rPr>
              <w:t>serious human rights abuse</w:t>
            </w:r>
            <w:r w:rsidRPr="001A7DCD">
              <w:rPr>
                <w:b w:val="0"/>
                <w:bCs w:val="0"/>
                <w:color w:val="auto"/>
              </w:rPr>
              <w:t>’</w:t>
            </w:r>
            <w:r w:rsidR="003E4B90" w:rsidRPr="001A7DCD">
              <w:rPr>
                <w:b w:val="0"/>
                <w:bCs w:val="0"/>
                <w:color w:val="auto"/>
              </w:rPr>
              <w:t xml:space="preserve"> or ‘failure to prevent </w:t>
            </w:r>
            <w:r w:rsidR="001768E2" w:rsidRPr="001A7DCD">
              <w:rPr>
                <w:b w:val="0"/>
                <w:bCs w:val="0"/>
                <w:color w:val="auto"/>
              </w:rPr>
              <w:t>serious crime</w:t>
            </w:r>
            <w:r w:rsidR="003E4B90" w:rsidRPr="001A7DCD">
              <w:rPr>
                <w:b w:val="0"/>
                <w:bCs w:val="0"/>
                <w:color w:val="auto"/>
              </w:rPr>
              <w:t>’ modelled on</w:t>
            </w:r>
            <w:r w:rsidR="00985DBE" w:rsidRPr="001A7DCD">
              <w:rPr>
                <w:b w:val="0"/>
                <w:bCs w:val="0"/>
                <w:color w:val="auto"/>
              </w:rPr>
              <w:t xml:space="preserve"> section 7 of the Bribery Act </w:t>
            </w:r>
            <w:r w:rsidR="003E4B90" w:rsidRPr="001A7DCD">
              <w:rPr>
                <w:b w:val="0"/>
                <w:bCs w:val="0"/>
                <w:color w:val="auto"/>
              </w:rPr>
              <w:t xml:space="preserve">and </w:t>
            </w:r>
            <w:r w:rsidR="00985DBE" w:rsidRPr="001A7DCD">
              <w:rPr>
                <w:b w:val="0"/>
                <w:bCs w:val="0"/>
                <w:color w:val="auto"/>
              </w:rPr>
              <w:t>including a</w:t>
            </w:r>
            <w:r w:rsidR="004E255E" w:rsidRPr="001A7DCD">
              <w:rPr>
                <w:b w:val="0"/>
                <w:bCs w:val="0"/>
                <w:color w:val="auto"/>
              </w:rPr>
              <w:t xml:space="preserve">n adequate procedures </w:t>
            </w:r>
            <w:proofErr w:type="spellStart"/>
            <w:r w:rsidR="00985DBE" w:rsidRPr="001A7DCD">
              <w:rPr>
                <w:b w:val="0"/>
                <w:bCs w:val="0"/>
                <w:color w:val="auto"/>
              </w:rPr>
              <w:t>defence</w:t>
            </w:r>
            <w:proofErr w:type="spellEnd"/>
            <w:r w:rsidR="00985DBE" w:rsidRPr="001A7DCD">
              <w:rPr>
                <w:b w:val="0"/>
                <w:bCs w:val="0"/>
                <w:color w:val="auto"/>
              </w:rPr>
              <w:t>.</w:t>
            </w:r>
          </w:p>
        </w:tc>
        <w:tc>
          <w:tcPr>
            <w:cnfStyle w:val="000010000000" w:firstRow="0" w:lastRow="0" w:firstColumn="0" w:lastColumn="0" w:oddVBand="1" w:evenVBand="0" w:oddHBand="0" w:evenHBand="0" w:firstRowFirstColumn="0" w:firstRowLastColumn="0" w:lastRowFirstColumn="0" w:lastRowLastColumn="0"/>
            <w:tcW w:w="2986" w:type="dxa"/>
            <w:tcBorders>
              <w:top w:val="single" w:sz="4" w:space="0" w:color="auto"/>
              <w:left w:val="none" w:sz="0" w:space="0" w:color="auto"/>
              <w:bottom w:val="none" w:sz="0" w:space="0" w:color="auto"/>
              <w:right w:val="none" w:sz="0" w:space="0" w:color="auto"/>
            </w:tcBorders>
            <w:shd w:val="clear" w:color="auto" w:fill="auto"/>
          </w:tcPr>
          <w:p w14:paraId="57C1C5FA" w14:textId="02E079B2" w:rsidR="00746C45" w:rsidRDefault="008D6EB0" w:rsidP="005A4B4D">
            <w:r w:rsidRPr="001A7DCD">
              <w:t xml:space="preserve">The </w:t>
            </w:r>
            <w:r w:rsidR="003518CF" w:rsidRPr="001A7DCD">
              <w:t xml:space="preserve">Department of Business, Innovation and Skills </w:t>
            </w:r>
            <w:r w:rsidRPr="001A7DCD">
              <w:t xml:space="preserve">and the Foreign Office </w:t>
            </w:r>
            <w:r w:rsidR="00D5443D" w:rsidRPr="001A7DCD">
              <w:t xml:space="preserve">to sponsor legislation or </w:t>
            </w:r>
            <w:r w:rsidR="00AD15F2">
              <w:t>suggest</w:t>
            </w:r>
            <w:r w:rsidR="00D5443D" w:rsidRPr="001A7DCD">
              <w:t xml:space="preserve"> </w:t>
            </w:r>
            <w:r w:rsidR="000A04D5" w:rsidRPr="001A7DCD">
              <w:t>additions</w:t>
            </w:r>
            <w:r w:rsidR="00D5443D" w:rsidRPr="001A7DCD">
              <w:t xml:space="preserve"> </w:t>
            </w:r>
            <w:r w:rsidR="003518CF" w:rsidRPr="001A7DCD">
              <w:t xml:space="preserve">to </w:t>
            </w:r>
            <w:r w:rsidR="000A04D5" w:rsidRPr="001A7DCD">
              <w:t xml:space="preserve">proposals under consideration </w:t>
            </w:r>
            <w:r w:rsidR="003518CF" w:rsidRPr="001A7DCD">
              <w:t xml:space="preserve">on </w:t>
            </w:r>
            <w:r w:rsidR="0064637B" w:rsidRPr="001A7DCD">
              <w:t>economic c</w:t>
            </w:r>
            <w:r w:rsidR="003518CF" w:rsidRPr="001A7DCD">
              <w:t>rimes.</w:t>
            </w:r>
            <w:r w:rsidR="00D5443D" w:rsidRPr="001A7DCD">
              <w:t xml:space="preserve"> </w:t>
            </w:r>
          </w:p>
          <w:p w14:paraId="0DFDA423" w14:textId="77777777" w:rsidR="00DC5FD4" w:rsidRDefault="00DC5FD4" w:rsidP="005A4B4D"/>
          <w:p w14:paraId="3FD4F8E3" w14:textId="6A7AB458" w:rsidR="00746C45" w:rsidRPr="001A7DCD" w:rsidRDefault="00DC5FD4" w:rsidP="005A4B4D">
            <w:r w:rsidRPr="001A7DCD">
              <w:t xml:space="preserve">Definitions to be </w:t>
            </w:r>
            <w:r>
              <w:t xml:space="preserve">developed or </w:t>
            </w:r>
            <w:r w:rsidRPr="001A7DCD">
              <w:t>taken</w:t>
            </w:r>
            <w:r>
              <w:t xml:space="preserve"> from existing legislation/UN</w:t>
            </w:r>
            <w:r w:rsidRPr="001A7DCD">
              <w:t>.</w:t>
            </w:r>
          </w:p>
          <w:p w14:paraId="685CF9F9" w14:textId="3A89B7E3" w:rsidR="003E4B90" w:rsidRPr="001A7DCD" w:rsidRDefault="003E4B90" w:rsidP="005A4B4D"/>
        </w:tc>
        <w:tc>
          <w:tcPr>
            <w:cnfStyle w:val="000100000000" w:firstRow="0" w:lastRow="0" w:firstColumn="0" w:lastColumn="1" w:oddVBand="0" w:evenVBand="0" w:oddHBand="0" w:evenHBand="0" w:firstRowFirstColumn="0" w:firstRowLastColumn="0" w:lastRowFirstColumn="0" w:lastRowLastColumn="0"/>
            <w:tcW w:w="3136" w:type="dxa"/>
            <w:tcBorders>
              <w:top w:val="single" w:sz="4" w:space="0" w:color="auto"/>
              <w:left w:val="none" w:sz="0" w:space="0" w:color="auto"/>
              <w:bottom w:val="none" w:sz="0" w:space="0" w:color="auto"/>
              <w:right w:val="none" w:sz="0" w:space="0" w:color="auto"/>
            </w:tcBorders>
            <w:shd w:val="clear" w:color="auto" w:fill="auto"/>
          </w:tcPr>
          <w:p w14:paraId="4C50550F" w14:textId="181F980D" w:rsidR="00D228B6" w:rsidRPr="001A7DCD" w:rsidRDefault="00C8081D" w:rsidP="005A4B4D">
            <w:pPr>
              <w:tabs>
                <w:tab w:val="left" w:pos="2532"/>
              </w:tabs>
              <w:rPr>
                <w:b w:val="0"/>
                <w:color w:val="auto"/>
              </w:rPr>
            </w:pPr>
            <w:r w:rsidRPr="001A7DCD">
              <w:rPr>
                <w:b w:val="0"/>
                <w:color w:val="auto"/>
              </w:rPr>
              <w:t xml:space="preserve">Businesses would need to extend their </w:t>
            </w:r>
            <w:r w:rsidR="003B0156" w:rsidRPr="001A7DCD">
              <w:rPr>
                <w:b w:val="0"/>
                <w:color w:val="auto"/>
              </w:rPr>
              <w:t>anti-</w:t>
            </w:r>
            <w:r w:rsidRPr="001A7DCD">
              <w:rPr>
                <w:b w:val="0"/>
                <w:color w:val="auto"/>
              </w:rPr>
              <w:t>bribery</w:t>
            </w:r>
            <w:r w:rsidR="003B0156" w:rsidRPr="001A7DCD">
              <w:rPr>
                <w:b w:val="0"/>
                <w:color w:val="auto"/>
              </w:rPr>
              <w:t xml:space="preserve"> policies </w:t>
            </w:r>
            <w:r w:rsidRPr="001A7DCD">
              <w:rPr>
                <w:b w:val="0"/>
                <w:color w:val="auto"/>
              </w:rPr>
              <w:t>to include this wider set of crimes</w:t>
            </w:r>
            <w:r w:rsidR="003B0156" w:rsidRPr="001A7DCD">
              <w:rPr>
                <w:b w:val="0"/>
                <w:color w:val="auto"/>
              </w:rPr>
              <w:t xml:space="preserve">. This is </w:t>
            </w:r>
            <w:r w:rsidR="0064637B" w:rsidRPr="001A7DCD">
              <w:rPr>
                <w:b w:val="0"/>
                <w:color w:val="auto"/>
              </w:rPr>
              <w:t xml:space="preserve">would be required anyway under the proposals </w:t>
            </w:r>
            <w:r w:rsidR="003B0156" w:rsidRPr="001A7DCD">
              <w:rPr>
                <w:b w:val="0"/>
                <w:color w:val="auto"/>
              </w:rPr>
              <w:t>relating to economic crimes.</w:t>
            </w:r>
          </w:p>
          <w:p w14:paraId="56FDD7F0" w14:textId="77777777" w:rsidR="000049AE" w:rsidRPr="001A7DCD" w:rsidRDefault="000049AE" w:rsidP="005A4B4D">
            <w:pPr>
              <w:tabs>
                <w:tab w:val="left" w:pos="2532"/>
              </w:tabs>
              <w:rPr>
                <w:b w:val="0"/>
                <w:color w:val="auto"/>
              </w:rPr>
            </w:pPr>
          </w:p>
          <w:p w14:paraId="52E411A1" w14:textId="729F75E5" w:rsidR="005F3654" w:rsidRPr="001A7DCD" w:rsidRDefault="00D75E19" w:rsidP="00AD15F2">
            <w:pPr>
              <w:tabs>
                <w:tab w:val="left" w:pos="2532"/>
              </w:tabs>
              <w:rPr>
                <w:b w:val="0"/>
                <w:color w:val="auto"/>
              </w:rPr>
            </w:pPr>
            <w:r w:rsidRPr="001A7DCD">
              <w:rPr>
                <w:b w:val="0"/>
                <w:color w:val="auto"/>
              </w:rPr>
              <w:t>Limited cost to the Treasury</w:t>
            </w:r>
            <w:r w:rsidR="00AD15F2">
              <w:rPr>
                <w:b w:val="0"/>
                <w:color w:val="auto"/>
              </w:rPr>
              <w:t>. A</w:t>
            </w:r>
            <w:r w:rsidRPr="001A7DCD">
              <w:rPr>
                <w:b w:val="0"/>
                <w:color w:val="auto"/>
              </w:rPr>
              <w:t>dditional resource may be required for the relevant prosecuting authority.</w:t>
            </w:r>
          </w:p>
        </w:tc>
      </w:tr>
      <w:tr w:rsidR="00D228B6" w:rsidRPr="001A7DCD" w14:paraId="5E558D03" w14:textId="77777777" w:rsidTr="006316D4">
        <w:trPr>
          <w:cnfStyle w:val="000000100000" w:firstRow="0" w:lastRow="0" w:firstColumn="0" w:lastColumn="0" w:oddVBand="0" w:evenVBand="0" w:oddHBand="1"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left w:val="none" w:sz="0" w:space="0" w:color="auto"/>
              <w:bottom w:val="none" w:sz="0" w:space="0" w:color="auto"/>
              <w:right w:val="none" w:sz="0" w:space="0" w:color="auto"/>
            </w:tcBorders>
            <w:shd w:val="clear" w:color="auto" w:fill="auto"/>
          </w:tcPr>
          <w:p w14:paraId="1C928D0A" w14:textId="49F0FC6B" w:rsidR="00D228B6" w:rsidRPr="001A7DCD" w:rsidRDefault="003E4B90" w:rsidP="005A4B4D">
            <w:pPr>
              <w:rPr>
                <w:b w:val="0"/>
                <w:bCs w:val="0"/>
                <w:color w:val="auto"/>
              </w:rPr>
            </w:pPr>
            <w:r w:rsidRPr="001A7DCD">
              <w:rPr>
                <w:b w:val="0"/>
                <w:bCs w:val="0"/>
                <w:color w:val="auto"/>
              </w:rPr>
              <w:lastRenderedPageBreak/>
              <w:t>1b</w:t>
            </w:r>
            <w:r w:rsidR="00C8081D" w:rsidRPr="001A7DCD">
              <w:rPr>
                <w:b w:val="0"/>
                <w:bCs w:val="0"/>
                <w:color w:val="auto"/>
              </w:rPr>
              <w:t>) Clarify that ‘improper conduct’ under the B</w:t>
            </w:r>
            <w:r w:rsidR="00D75E19" w:rsidRPr="001A7DCD">
              <w:rPr>
                <w:b w:val="0"/>
                <w:bCs w:val="0"/>
                <w:color w:val="auto"/>
              </w:rPr>
              <w:t xml:space="preserve">ribery </w:t>
            </w:r>
            <w:r w:rsidR="00C8081D" w:rsidRPr="001A7DCD">
              <w:rPr>
                <w:b w:val="0"/>
                <w:bCs w:val="0"/>
                <w:color w:val="auto"/>
              </w:rPr>
              <w:t>A</w:t>
            </w:r>
            <w:r w:rsidR="00D75E19" w:rsidRPr="001A7DCD">
              <w:rPr>
                <w:b w:val="0"/>
                <w:bCs w:val="0"/>
                <w:color w:val="auto"/>
              </w:rPr>
              <w:t>ct</w:t>
            </w:r>
            <w:r w:rsidR="00C8081D" w:rsidRPr="001A7DCD">
              <w:rPr>
                <w:b w:val="0"/>
                <w:bCs w:val="0"/>
                <w:color w:val="auto"/>
              </w:rPr>
              <w:t xml:space="preserve"> </w:t>
            </w:r>
            <w:r w:rsidR="00330A5C" w:rsidRPr="001A7DCD">
              <w:rPr>
                <w:b w:val="0"/>
                <w:bCs w:val="0"/>
                <w:color w:val="auto"/>
              </w:rPr>
              <w:t>(</w:t>
            </w:r>
            <w:r w:rsidR="00C8081D" w:rsidRPr="001A7DCD">
              <w:rPr>
                <w:b w:val="0"/>
                <w:bCs w:val="0"/>
                <w:color w:val="auto"/>
              </w:rPr>
              <w:t xml:space="preserve">or its </w:t>
            </w:r>
            <w:r w:rsidR="003B0156" w:rsidRPr="001A7DCD">
              <w:rPr>
                <w:b w:val="0"/>
                <w:bCs w:val="0"/>
                <w:color w:val="auto"/>
              </w:rPr>
              <w:t>successor</w:t>
            </w:r>
            <w:r w:rsidR="00330A5C" w:rsidRPr="001A7DCD">
              <w:rPr>
                <w:b w:val="0"/>
                <w:bCs w:val="0"/>
                <w:color w:val="auto"/>
              </w:rPr>
              <w:t>)</w:t>
            </w:r>
            <w:r w:rsidR="00C8081D" w:rsidRPr="001A7DCD">
              <w:rPr>
                <w:b w:val="0"/>
                <w:bCs w:val="0"/>
                <w:color w:val="auto"/>
              </w:rPr>
              <w:t xml:space="preserve"> includes profiting from the commission of a </w:t>
            </w:r>
            <w:r w:rsidR="00B855B3" w:rsidRPr="001A7DCD">
              <w:rPr>
                <w:b w:val="0"/>
                <w:bCs w:val="0"/>
                <w:color w:val="auto"/>
              </w:rPr>
              <w:t>human rights abuse</w:t>
            </w:r>
            <w:r w:rsidR="001768E2" w:rsidRPr="001A7DCD">
              <w:rPr>
                <w:b w:val="0"/>
                <w:bCs w:val="0"/>
                <w:color w:val="auto"/>
              </w:rPr>
              <w:t>.</w:t>
            </w:r>
          </w:p>
        </w:tc>
        <w:tc>
          <w:tcPr>
            <w:cnfStyle w:val="000010000000" w:firstRow="0" w:lastRow="0" w:firstColumn="0" w:lastColumn="0" w:oddVBand="1" w:evenVBand="0" w:oddHBand="0" w:evenHBand="0" w:firstRowFirstColumn="0" w:firstRowLastColumn="0" w:lastRowFirstColumn="0" w:lastRowLastColumn="0"/>
            <w:tcW w:w="2986" w:type="dxa"/>
            <w:tcBorders>
              <w:top w:val="none" w:sz="0" w:space="0" w:color="auto"/>
              <w:left w:val="none" w:sz="0" w:space="0" w:color="auto"/>
              <w:bottom w:val="none" w:sz="0" w:space="0" w:color="auto"/>
              <w:right w:val="none" w:sz="0" w:space="0" w:color="auto"/>
            </w:tcBorders>
            <w:shd w:val="clear" w:color="auto" w:fill="auto"/>
          </w:tcPr>
          <w:p w14:paraId="3D397793" w14:textId="77777777" w:rsidR="00330A5C" w:rsidRPr="001A7DCD" w:rsidRDefault="00C8081D" w:rsidP="005A4B4D">
            <w:r w:rsidRPr="001A7DCD">
              <w:t>S</w:t>
            </w:r>
            <w:r w:rsidR="001768E2" w:rsidRPr="001A7DCD">
              <w:t xml:space="preserve">erious </w:t>
            </w:r>
            <w:r w:rsidRPr="001A7DCD">
              <w:t>F</w:t>
            </w:r>
            <w:r w:rsidR="001768E2" w:rsidRPr="001A7DCD">
              <w:t xml:space="preserve">raud </w:t>
            </w:r>
            <w:r w:rsidRPr="001A7DCD">
              <w:t>O</w:t>
            </w:r>
            <w:r w:rsidR="001768E2" w:rsidRPr="001A7DCD">
              <w:t>ffice</w:t>
            </w:r>
            <w:r w:rsidRPr="001A7DCD">
              <w:t xml:space="preserve"> to issue guidance. </w:t>
            </w:r>
          </w:p>
          <w:p w14:paraId="60AD0C0E" w14:textId="77777777" w:rsidR="00330A5C" w:rsidRPr="001A7DCD" w:rsidRDefault="00330A5C" w:rsidP="005A4B4D"/>
          <w:p w14:paraId="69B46421" w14:textId="293AEF2C" w:rsidR="00D228B6" w:rsidRPr="001A7DCD" w:rsidRDefault="00C8081D" w:rsidP="005A4B4D">
            <w:r w:rsidRPr="001A7DCD">
              <w:t>Definitions to be</w:t>
            </w:r>
            <w:r w:rsidR="006316D4">
              <w:t xml:space="preserve"> developed or </w:t>
            </w:r>
            <w:r w:rsidRPr="001A7DCD">
              <w:t>tak</w:t>
            </w:r>
            <w:r w:rsidR="006316D4">
              <w:t>en from existing legislation/</w:t>
            </w:r>
            <w:r w:rsidRPr="001A7DCD">
              <w:t>UN.</w:t>
            </w:r>
          </w:p>
        </w:tc>
        <w:tc>
          <w:tcPr>
            <w:cnfStyle w:val="000100000000" w:firstRow="0" w:lastRow="0" w:firstColumn="0" w:lastColumn="1" w:oddVBand="0" w:evenVBand="0" w:oddHBand="0" w:evenHBand="0" w:firstRowFirstColumn="0" w:firstRowLastColumn="0" w:lastRowFirstColumn="0" w:lastRowLastColumn="0"/>
            <w:tcW w:w="3136" w:type="dxa"/>
            <w:tcBorders>
              <w:top w:val="none" w:sz="0" w:space="0" w:color="auto"/>
              <w:left w:val="none" w:sz="0" w:space="0" w:color="auto"/>
              <w:bottom w:val="none" w:sz="0" w:space="0" w:color="auto"/>
              <w:right w:val="none" w:sz="0" w:space="0" w:color="auto"/>
            </w:tcBorders>
            <w:shd w:val="clear" w:color="auto" w:fill="auto"/>
          </w:tcPr>
          <w:p w14:paraId="4872272C" w14:textId="77777777" w:rsidR="00D228B6" w:rsidRPr="001A7DCD" w:rsidRDefault="00C8081D" w:rsidP="005A4B4D">
            <w:pPr>
              <w:tabs>
                <w:tab w:val="left" w:pos="2532"/>
              </w:tabs>
              <w:rPr>
                <w:b w:val="0"/>
                <w:color w:val="auto"/>
              </w:rPr>
            </w:pPr>
            <w:r w:rsidRPr="001A7DCD">
              <w:rPr>
                <w:b w:val="0"/>
                <w:color w:val="auto"/>
              </w:rPr>
              <w:t>None</w:t>
            </w:r>
          </w:p>
        </w:tc>
      </w:tr>
      <w:tr w:rsidR="00D228B6" w:rsidRPr="001A7DCD" w14:paraId="1D1F6857" w14:textId="77777777" w:rsidTr="006316D4">
        <w:trPr>
          <w:trHeight w:val="1270"/>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left w:val="none" w:sz="0" w:space="0" w:color="auto"/>
              <w:bottom w:val="single" w:sz="4" w:space="0" w:color="auto"/>
              <w:right w:val="none" w:sz="0" w:space="0" w:color="auto"/>
            </w:tcBorders>
            <w:shd w:val="clear" w:color="auto" w:fill="auto"/>
          </w:tcPr>
          <w:p w14:paraId="130F979D" w14:textId="77777777" w:rsidR="00D228B6" w:rsidRPr="001A7DCD" w:rsidRDefault="007652C7" w:rsidP="005A4B4D">
            <w:pPr>
              <w:rPr>
                <w:b w:val="0"/>
                <w:bCs w:val="0"/>
                <w:color w:val="auto"/>
              </w:rPr>
            </w:pPr>
            <w:r w:rsidRPr="001A7DCD">
              <w:rPr>
                <w:b w:val="0"/>
                <w:bCs w:val="0"/>
                <w:color w:val="auto"/>
              </w:rPr>
              <w:t>2. Amend</w:t>
            </w:r>
            <w:r w:rsidR="00926547" w:rsidRPr="001A7DCD">
              <w:rPr>
                <w:b w:val="0"/>
                <w:bCs w:val="0"/>
                <w:color w:val="auto"/>
              </w:rPr>
              <w:t xml:space="preserve"> existing statutes on international crime to allow a</w:t>
            </w:r>
            <w:r w:rsidRPr="001A7DCD">
              <w:rPr>
                <w:b w:val="0"/>
                <w:bCs w:val="0"/>
                <w:color w:val="auto"/>
              </w:rPr>
              <w:t>n alternative to imprisonment and enable corporate prosecutions.</w:t>
            </w:r>
          </w:p>
        </w:tc>
        <w:tc>
          <w:tcPr>
            <w:cnfStyle w:val="000010000000" w:firstRow="0" w:lastRow="0" w:firstColumn="0" w:lastColumn="0" w:oddVBand="1" w:evenVBand="0" w:oddHBand="0" w:evenHBand="0" w:firstRowFirstColumn="0" w:firstRowLastColumn="0" w:lastRowFirstColumn="0" w:lastRowLastColumn="0"/>
            <w:tcW w:w="2986" w:type="dxa"/>
            <w:tcBorders>
              <w:top w:val="none" w:sz="0" w:space="0" w:color="auto"/>
              <w:left w:val="none" w:sz="0" w:space="0" w:color="auto"/>
              <w:bottom w:val="single" w:sz="4" w:space="0" w:color="auto"/>
              <w:right w:val="none" w:sz="0" w:space="0" w:color="auto"/>
            </w:tcBorders>
            <w:shd w:val="clear" w:color="auto" w:fill="auto"/>
          </w:tcPr>
          <w:p w14:paraId="58382E9C" w14:textId="77777777" w:rsidR="00D228B6" w:rsidRPr="001A7DCD" w:rsidRDefault="002A6E35" w:rsidP="005A4B4D">
            <w:r w:rsidRPr="001A7DCD">
              <w:t>Statutory Instrument</w:t>
            </w:r>
          </w:p>
        </w:tc>
        <w:tc>
          <w:tcPr>
            <w:cnfStyle w:val="000100000000" w:firstRow="0" w:lastRow="0" w:firstColumn="0" w:lastColumn="1" w:oddVBand="0" w:evenVBand="0" w:oddHBand="0" w:evenHBand="0" w:firstRowFirstColumn="0" w:firstRowLastColumn="0" w:lastRowFirstColumn="0" w:lastRowLastColumn="0"/>
            <w:tcW w:w="3136" w:type="dxa"/>
            <w:tcBorders>
              <w:top w:val="none" w:sz="0" w:space="0" w:color="auto"/>
              <w:left w:val="none" w:sz="0" w:space="0" w:color="auto"/>
              <w:bottom w:val="single" w:sz="4" w:space="0" w:color="auto"/>
              <w:right w:val="none" w:sz="0" w:space="0" w:color="auto"/>
            </w:tcBorders>
            <w:shd w:val="clear" w:color="auto" w:fill="auto"/>
          </w:tcPr>
          <w:p w14:paraId="0FE9F317" w14:textId="46069A4C" w:rsidR="005F3654" w:rsidRPr="001A7DCD" w:rsidRDefault="00D75E19" w:rsidP="00341507">
            <w:pPr>
              <w:tabs>
                <w:tab w:val="left" w:pos="2532"/>
              </w:tabs>
              <w:rPr>
                <w:b w:val="0"/>
                <w:color w:val="auto"/>
              </w:rPr>
            </w:pPr>
            <w:r w:rsidRPr="001A7DCD">
              <w:rPr>
                <w:b w:val="0"/>
                <w:color w:val="auto"/>
              </w:rPr>
              <w:t>Limited cost to the Treasury</w:t>
            </w:r>
            <w:r w:rsidR="00341507">
              <w:rPr>
                <w:b w:val="0"/>
                <w:color w:val="auto"/>
              </w:rPr>
              <w:t>. A</w:t>
            </w:r>
            <w:r w:rsidRPr="001A7DCD">
              <w:rPr>
                <w:b w:val="0"/>
                <w:color w:val="auto"/>
              </w:rPr>
              <w:t>dditional resource may be required for the relevant prosecuting authority.</w:t>
            </w:r>
          </w:p>
        </w:tc>
      </w:tr>
      <w:tr w:rsidR="00602A8C" w:rsidRPr="001A7DCD" w14:paraId="7B336173" w14:textId="77777777" w:rsidTr="006316D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00" w:type="dxa"/>
            <w:tcBorders>
              <w:top w:val="single" w:sz="4" w:space="0" w:color="auto"/>
              <w:left w:val="single" w:sz="4" w:space="0" w:color="auto"/>
              <w:bottom w:val="single" w:sz="4" w:space="0" w:color="auto"/>
            </w:tcBorders>
            <w:shd w:val="clear" w:color="auto" w:fill="auto"/>
          </w:tcPr>
          <w:p w14:paraId="58F280CF" w14:textId="77777777" w:rsidR="00602A8C" w:rsidRPr="001A7DCD" w:rsidRDefault="00602A8C" w:rsidP="005A4B4D">
            <w:pPr>
              <w:rPr>
                <w:color w:val="auto"/>
              </w:rPr>
            </w:pPr>
            <w:r w:rsidRPr="001A7DCD">
              <w:rPr>
                <w:color w:val="auto"/>
              </w:rPr>
              <w:t>Civil law</w:t>
            </w:r>
          </w:p>
        </w:tc>
        <w:tc>
          <w:tcPr>
            <w:cnfStyle w:val="000010000000" w:firstRow="0" w:lastRow="0" w:firstColumn="0" w:lastColumn="0" w:oddVBand="1" w:evenVBand="0" w:oddHBand="0" w:evenHBand="0" w:firstRowFirstColumn="0" w:firstRowLastColumn="0" w:lastRowFirstColumn="0" w:lastRowLastColumn="0"/>
            <w:tcW w:w="2986" w:type="dxa"/>
            <w:tcBorders>
              <w:top w:val="single" w:sz="4" w:space="0" w:color="auto"/>
              <w:bottom w:val="single" w:sz="4" w:space="0" w:color="auto"/>
            </w:tcBorders>
            <w:shd w:val="clear" w:color="auto" w:fill="auto"/>
          </w:tcPr>
          <w:p w14:paraId="6A446FAC" w14:textId="77777777" w:rsidR="00602A8C" w:rsidRPr="001A7DCD" w:rsidRDefault="00602A8C" w:rsidP="005A4B4D"/>
        </w:tc>
        <w:tc>
          <w:tcPr>
            <w:cnfStyle w:val="000100000000" w:firstRow="0" w:lastRow="0" w:firstColumn="0" w:lastColumn="1" w:oddVBand="0" w:evenVBand="0" w:oddHBand="0" w:evenHBand="0" w:firstRowFirstColumn="0" w:firstRowLastColumn="0" w:lastRowFirstColumn="0" w:lastRowLastColumn="0"/>
            <w:tcW w:w="3136" w:type="dxa"/>
            <w:tcBorders>
              <w:top w:val="single" w:sz="4" w:space="0" w:color="auto"/>
              <w:bottom w:val="single" w:sz="4" w:space="0" w:color="auto"/>
              <w:right w:val="single" w:sz="4" w:space="0" w:color="auto"/>
            </w:tcBorders>
            <w:shd w:val="clear" w:color="auto" w:fill="auto"/>
          </w:tcPr>
          <w:p w14:paraId="5E7CF798" w14:textId="77777777" w:rsidR="00602A8C" w:rsidRPr="001A7DCD" w:rsidRDefault="00602A8C" w:rsidP="005A4B4D">
            <w:pPr>
              <w:tabs>
                <w:tab w:val="left" w:pos="2532"/>
              </w:tabs>
              <w:rPr>
                <w:b w:val="0"/>
              </w:rPr>
            </w:pPr>
          </w:p>
        </w:tc>
      </w:tr>
      <w:tr w:rsidR="00671579" w:rsidRPr="001A7DCD" w14:paraId="59C7ADA3" w14:textId="77777777" w:rsidTr="006316D4">
        <w:trPr>
          <w:trHeight w:val="493"/>
        </w:trPr>
        <w:tc>
          <w:tcPr>
            <w:cnfStyle w:val="001000000000" w:firstRow="0" w:lastRow="0" w:firstColumn="1" w:lastColumn="0" w:oddVBand="0" w:evenVBand="0" w:oddHBand="0" w:evenHBand="0" w:firstRowFirstColumn="0" w:firstRowLastColumn="0" w:lastRowFirstColumn="0" w:lastRowLastColumn="0"/>
            <w:tcW w:w="3100" w:type="dxa"/>
            <w:tcBorders>
              <w:top w:val="single" w:sz="4" w:space="0" w:color="auto"/>
              <w:left w:val="single" w:sz="4" w:space="0" w:color="auto"/>
              <w:bottom w:val="single" w:sz="4" w:space="0" w:color="auto"/>
              <w:right w:val="single" w:sz="4" w:space="0" w:color="auto"/>
            </w:tcBorders>
            <w:shd w:val="clear" w:color="auto" w:fill="auto"/>
          </w:tcPr>
          <w:p w14:paraId="3CEA6BB7" w14:textId="502CCD6A" w:rsidR="00671579" w:rsidRPr="001A7DCD" w:rsidRDefault="00671579" w:rsidP="005A4B4D">
            <w:pPr>
              <w:rPr>
                <w:color w:val="auto"/>
              </w:rPr>
            </w:pPr>
            <w:r w:rsidRPr="001A7DCD">
              <w:rPr>
                <w:color w:val="auto"/>
              </w:rPr>
              <w:t xml:space="preserve">3. </w:t>
            </w:r>
            <w:r w:rsidR="002D4A37" w:rsidRPr="001A7DCD">
              <w:rPr>
                <w:b w:val="0"/>
                <w:color w:val="auto"/>
              </w:rPr>
              <w:t>Provide guidance regarding proportionality</w:t>
            </w:r>
          </w:p>
        </w:tc>
        <w:tc>
          <w:tcPr>
            <w:cnfStyle w:val="000010000000" w:firstRow="0" w:lastRow="0" w:firstColumn="0" w:lastColumn="0" w:oddVBand="1" w:evenVBand="0" w:oddHBand="0" w:evenHBand="0" w:firstRowFirstColumn="0" w:firstRowLastColumn="0" w:lastRowFirstColumn="0" w:lastRowLastColumn="0"/>
            <w:tcW w:w="2986" w:type="dxa"/>
            <w:tcBorders>
              <w:top w:val="single" w:sz="4" w:space="0" w:color="auto"/>
              <w:left w:val="single" w:sz="4" w:space="0" w:color="auto"/>
              <w:bottom w:val="single" w:sz="4" w:space="0" w:color="auto"/>
              <w:right w:val="single" w:sz="4" w:space="0" w:color="auto"/>
            </w:tcBorders>
            <w:shd w:val="clear" w:color="auto" w:fill="auto"/>
          </w:tcPr>
          <w:p w14:paraId="08330FD2" w14:textId="7EC03365" w:rsidR="00671579" w:rsidRPr="001A7DCD" w:rsidRDefault="00E41BDC" w:rsidP="005A4B4D">
            <w:r w:rsidRPr="001A7DCD">
              <w:t>Ministry of Justice</w:t>
            </w:r>
          </w:p>
        </w:tc>
        <w:tc>
          <w:tcPr>
            <w:cnfStyle w:val="000100000000" w:firstRow="0" w:lastRow="0" w:firstColumn="0" w:lastColumn="1" w:oddVBand="0" w:evenVBand="0" w:oddHBand="0" w:evenHBand="0" w:firstRowFirstColumn="0" w:firstRowLastColumn="0" w:lastRowFirstColumn="0" w:lastRowLastColumn="0"/>
            <w:tcW w:w="3136" w:type="dxa"/>
            <w:tcBorders>
              <w:top w:val="single" w:sz="4" w:space="0" w:color="auto"/>
              <w:left w:val="single" w:sz="4" w:space="0" w:color="auto"/>
              <w:bottom w:val="single" w:sz="4" w:space="0" w:color="auto"/>
              <w:right w:val="single" w:sz="4" w:space="0" w:color="auto"/>
            </w:tcBorders>
            <w:shd w:val="clear" w:color="auto" w:fill="auto"/>
          </w:tcPr>
          <w:p w14:paraId="29F29194" w14:textId="2E809BE2" w:rsidR="00671579" w:rsidRPr="001A7DCD" w:rsidRDefault="00E41BDC" w:rsidP="005A4B4D">
            <w:pPr>
              <w:tabs>
                <w:tab w:val="left" w:pos="2532"/>
              </w:tabs>
              <w:rPr>
                <w:b w:val="0"/>
                <w:color w:val="auto"/>
              </w:rPr>
            </w:pPr>
            <w:r w:rsidRPr="001A7DCD">
              <w:rPr>
                <w:b w:val="0"/>
                <w:color w:val="auto"/>
              </w:rPr>
              <w:t>None</w:t>
            </w:r>
          </w:p>
        </w:tc>
      </w:tr>
      <w:tr w:rsidR="00D228B6" w:rsidRPr="001A7DCD" w14:paraId="0A78C63E" w14:textId="77777777" w:rsidTr="006316D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100" w:type="dxa"/>
            <w:tcBorders>
              <w:top w:val="single" w:sz="4" w:space="0" w:color="auto"/>
              <w:left w:val="none" w:sz="0" w:space="0" w:color="auto"/>
              <w:bottom w:val="none" w:sz="0" w:space="0" w:color="auto"/>
              <w:right w:val="none" w:sz="0" w:space="0" w:color="auto"/>
            </w:tcBorders>
            <w:shd w:val="clear" w:color="auto" w:fill="auto"/>
          </w:tcPr>
          <w:p w14:paraId="7D2E73CE" w14:textId="39FB82D6" w:rsidR="00D228B6" w:rsidRPr="001A7DCD" w:rsidRDefault="00671579" w:rsidP="005A4B4D">
            <w:pPr>
              <w:rPr>
                <w:b w:val="0"/>
                <w:bCs w:val="0"/>
                <w:color w:val="auto"/>
              </w:rPr>
            </w:pPr>
            <w:r w:rsidRPr="001A7DCD">
              <w:rPr>
                <w:b w:val="0"/>
                <w:bCs w:val="0"/>
                <w:color w:val="auto"/>
              </w:rPr>
              <w:t>4</w:t>
            </w:r>
            <w:r w:rsidR="00A14492" w:rsidRPr="001A7DCD">
              <w:rPr>
                <w:b w:val="0"/>
                <w:bCs w:val="0"/>
                <w:color w:val="auto"/>
              </w:rPr>
              <w:t>.</w:t>
            </w:r>
            <w:r w:rsidR="007F6EFC" w:rsidRPr="001A7DCD">
              <w:rPr>
                <w:b w:val="0"/>
                <w:bCs w:val="0"/>
                <w:color w:val="auto"/>
              </w:rPr>
              <w:t xml:space="preserve"> Limit financial risk taken by victims</w:t>
            </w:r>
          </w:p>
        </w:tc>
        <w:tc>
          <w:tcPr>
            <w:cnfStyle w:val="000010000000" w:firstRow="0" w:lastRow="0" w:firstColumn="0" w:lastColumn="0" w:oddVBand="1" w:evenVBand="0" w:oddHBand="0" w:evenHBand="0" w:firstRowFirstColumn="0" w:firstRowLastColumn="0" w:lastRowFirstColumn="0" w:lastRowLastColumn="0"/>
            <w:tcW w:w="2986" w:type="dxa"/>
            <w:tcBorders>
              <w:top w:val="single" w:sz="4" w:space="0" w:color="auto"/>
              <w:left w:val="none" w:sz="0" w:space="0" w:color="auto"/>
              <w:bottom w:val="none" w:sz="0" w:space="0" w:color="auto"/>
              <w:right w:val="none" w:sz="0" w:space="0" w:color="auto"/>
            </w:tcBorders>
            <w:shd w:val="clear" w:color="auto" w:fill="auto"/>
          </w:tcPr>
          <w:p w14:paraId="7A1DAFED" w14:textId="77777777" w:rsidR="00D228B6" w:rsidRPr="001A7DCD" w:rsidRDefault="00D228B6" w:rsidP="005A4B4D"/>
        </w:tc>
        <w:tc>
          <w:tcPr>
            <w:cnfStyle w:val="000100000000" w:firstRow="0" w:lastRow="0" w:firstColumn="0" w:lastColumn="1" w:oddVBand="0" w:evenVBand="0" w:oddHBand="0" w:evenHBand="0" w:firstRowFirstColumn="0" w:firstRowLastColumn="0" w:lastRowFirstColumn="0" w:lastRowLastColumn="0"/>
            <w:tcW w:w="3136" w:type="dxa"/>
            <w:tcBorders>
              <w:top w:val="single" w:sz="4" w:space="0" w:color="auto"/>
              <w:left w:val="none" w:sz="0" w:space="0" w:color="auto"/>
              <w:bottom w:val="none" w:sz="0" w:space="0" w:color="auto"/>
              <w:right w:val="none" w:sz="0" w:space="0" w:color="auto"/>
            </w:tcBorders>
            <w:shd w:val="clear" w:color="auto" w:fill="auto"/>
          </w:tcPr>
          <w:p w14:paraId="5FF30E4F" w14:textId="77777777" w:rsidR="00D228B6" w:rsidRPr="001A7DCD" w:rsidRDefault="00D228B6" w:rsidP="005A4B4D">
            <w:pPr>
              <w:tabs>
                <w:tab w:val="left" w:pos="2532"/>
              </w:tabs>
              <w:rPr>
                <w:b w:val="0"/>
                <w:color w:val="auto"/>
              </w:rPr>
            </w:pPr>
          </w:p>
        </w:tc>
      </w:tr>
      <w:tr w:rsidR="007F6EFC" w:rsidRPr="001A7DCD" w14:paraId="308C8DE3" w14:textId="77777777" w:rsidTr="006316D4">
        <w:trPr>
          <w:trHeight w:val="758"/>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left w:val="none" w:sz="0" w:space="0" w:color="auto"/>
              <w:bottom w:val="none" w:sz="0" w:space="0" w:color="auto"/>
              <w:right w:val="none" w:sz="0" w:space="0" w:color="auto"/>
            </w:tcBorders>
            <w:shd w:val="clear" w:color="auto" w:fill="auto"/>
          </w:tcPr>
          <w:p w14:paraId="5659EE52" w14:textId="77777777" w:rsidR="007F6EFC" w:rsidRPr="001A7DCD" w:rsidRDefault="007F6EFC" w:rsidP="005A4B4D">
            <w:pPr>
              <w:rPr>
                <w:b w:val="0"/>
                <w:bCs w:val="0"/>
                <w:color w:val="auto"/>
              </w:rPr>
            </w:pPr>
            <w:r w:rsidRPr="001A7DCD">
              <w:rPr>
                <w:b w:val="0"/>
                <w:bCs w:val="0"/>
                <w:color w:val="auto"/>
              </w:rPr>
              <w:t>a) Extend qualified one-way cost shifting to cases beyond personal injury</w:t>
            </w:r>
          </w:p>
        </w:tc>
        <w:tc>
          <w:tcPr>
            <w:cnfStyle w:val="000010000000" w:firstRow="0" w:lastRow="0" w:firstColumn="0" w:lastColumn="0" w:oddVBand="1" w:evenVBand="0" w:oddHBand="0" w:evenHBand="0" w:firstRowFirstColumn="0" w:firstRowLastColumn="0" w:lastRowFirstColumn="0" w:lastRowLastColumn="0"/>
            <w:tcW w:w="2986" w:type="dxa"/>
            <w:tcBorders>
              <w:top w:val="none" w:sz="0" w:space="0" w:color="auto"/>
              <w:left w:val="none" w:sz="0" w:space="0" w:color="auto"/>
              <w:bottom w:val="none" w:sz="0" w:space="0" w:color="auto"/>
              <w:right w:val="none" w:sz="0" w:space="0" w:color="auto"/>
            </w:tcBorders>
            <w:shd w:val="clear" w:color="auto" w:fill="auto"/>
          </w:tcPr>
          <w:p w14:paraId="5318A9A9" w14:textId="77777777" w:rsidR="007F6EFC" w:rsidRPr="001A7DCD" w:rsidRDefault="005043EE" w:rsidP="005A4B4D">
            <w:r w:rsidRPr="001A7DCD">
              <w:t>Civil procedure rules</w:t>
            </w:r>
          </w:p>
        </w:tc>
        <w:tc>
          <w:tcPr>
            <w:cnfStyle w:val="000100000000" w:firstRow="0" w:lastRow="0" w:firstColumn="0" w:lastColumn="1" w:oddVBand="0" w:evenVBand="0" w:oddHBand="0" w:evenHBand="0" w:firstRowFirstColumn="0" w:firstRowLastColumn="0" w:lastRowFirstColumn="0" w:lastRowLastColumn="0"/>
            <w:tcW w:w="3136" w:type="dxa"/>
            <w:tcBorders>
              <w:top w:val="none" w:sz="0" w:space="0" w:color="auto"/>
              <w:left w:val="none" w:sz="0" w:space="0" w:color="auto"/>
              <w:bottom w:val="none" w:sz="0" w:space="0" w:color="auto"/>
              <w:right w:val="none" w:sz="0" w:space="0" w:color="auto"/>
            </w:tcBorders>
            <w:shd w:val="clear" w:color="auto" w:fill="auto"/>
          </w:tcPr>
          <w:p w14:paraId="7431AB7B" w14:textId="77777777" w:rsidR="007F6EFC" w:rsidRPr="001A7DCD" w:rsidRDefault="00825290" w:rsidP="005A4B4D">
            <w:pPr>
              <w:tabs>
                <w:tab w:val="left" w:pos="2532"/>
              </w:tabs>
              <w:rPr>
                <w:b w:val="0"/>
                <w:color w:val="auto"/>
              </w:rPr>
            </w:pPr>
            <w:r w:rsidRPr="001A7DCD">
              <w:rPr>
                <w:b w:val="0"/>
                <w:color w:val="auto"/>
              </w:rPr>
              <w:t xml:space="preserve">None to Treasury. Cost borne by defendant. </w:t>
            </w:r>
          </w:p>
        </w:tc>
      </w:tr>
      <w:tr w:rsidR="007F6EFC" w:rsidRPr="001A7DCD" w14:paraId="4956CA39" w14:textId="77777777" w:rsidTr="006316D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left w:val="none" w:sz="0" w:space="0" w:color="auto"/>
              <w:bottom w:val="none" w:sz="0" w:space="0" w:color="auto"/>
              <w:right w:val="none" w:sz="0" w:space="0" w:color="auto"/>
            </w:tcBorders>
            <w:shd w:val="clear" w:color="auto" w:fill="auto"/>
          </w:tcPr>
          <w:p w14:paraId="1B2C0F37" w14:textId="2647BC6C" w:rsidR="007F6EFC" w:rsidRPr="001A7DCD" w:rsidRDefault="00825290" w:rsidP="005A4B4D">
            <w:pPr>
              <w:rPr>
                <w:b w:val="0"/>
                <w:bCs w:val="0"/>
                <w:color w:val="auto"/>
              </w:rPr>
            </w:pPr>
            <w:r w:rsidRPr="001A7DCD">
              <w:rPr>
                <w:b w:val="0"/>
                <w:bCs w:val="0"/>
                <w:color w:val="auto"/>
              </w:rPr>
              <w:t xml:space="preserve">b) Extend use of </w:t>
            </w:r>
            <w:r w:rsidR="00671579" w:rsidRPr="001A7DCD">
              <w:rPr>
                <w:b w:val="0"/>
                <w:bCs w:val="0"/>
                <w:color w:val="auto"/>
              </w:rPr>
              <w:t>Protective Cost Orders</w:t>
            </w:r>
            <w:r w:rsidR="00D5443D" w:rsidRPr="001A7DCD">
              <w:rPr>
                <w:b w:val="0"/>
                <w:bCs w:val="0"/>
                <w:color w:val="auto"/>
              </w:rPr>
              <w:t xml:space="preserve"> beyond judicial review</w:t>
            </w:r>
          </w:p>
        </w:tc>
        <w:tc>
          <w:tcPr>
            <w:cnfStyle w:val="000010000000" w:firstRow="0" w:lastRow="0" w:firstColumn="0" w:lastColumn="0" w:oddVBand="1" w:evenVBand="0" w:oddHBand="0" w:evenHBand="0" w:firstRowFirstColumn="0" w:firstRowLastColumn="0" w:lastRowFirstColumn="0" w:lastRowLastColumn="0"/>
            <w:tcW w:w="2986" w:type="dxa"/>
            <w:tcBorders>
              <w:top w:val="none" w:sz="0" w:space="0" w:color="auto"/>
              <w:left w:val="none" w:sz="0" w:space="0" w:color="auto"/>
              <w:bottom w:val="none" w:sz="0" w:space="0" w:color="auto"/>
              <w:right w:val="none" w:sz="0" w:space="0" w:color="auto"/>
            </w:tcBorders>
            <w:shd w:val="clear" w:color="auto" w:fill="auto"/>
          </w:tcPr>
          <w:p w14:paraId="04506AFB" w14:textId="77777777" w:rsidR="007F6EFC" w:rsidRPr="001A7DCD" w:rsidRDefault="005043EE" w:rsidP="005A4B4D">
            <w:r w:rsidRPr="001A7DCD">
              <w:t>Civil procedure rules</w:t>
            </w:r>
          </w:p>
        </w:tc>
        <w:tc>
          <w:tcPr>
            <w:cnfStyle w:val="000100000000" w:firstRow="0" w:lastRow="0" w:firstColumn="0" w:lastColumn="1" w:oddVBand="0" w:evenVBand="0" w:oddHBand="0" w:evenHBand="0" w:firstRowFirstColumn="0" w:firstRowLastColumn="0" w:lastRowFirstColumn="0" w:lastRowLastColumn="0"/>
            <w:tcW w:w="3136" w:type="dxa"/>
            <w:tcBorders>
              <w:top w:val="none" w:sz="0" w:space="0" w:color="auto"/>
              <w:left w:val="none" w:sz="0" w:space="0" w:color="auto"/>
              <w:bottom w:val="none" w:sz="0" w:space="0" w:color="auto"/>
              <w:right w:val="none" w:sz="0" w:space="0" w:color="auto"/>
            </w:tcBorders>
            <w:shd w:val="clear" w:color="auto" w:fill="auto"/>
          </w:tcPr>
          <w:p w14:paraId="1C24C2ED" w14:textId="77777777" w:rsidR="007F6EFC" w:rsidRPr="001A7DCD" w:rsidRDefault="00DE6A22" w:rsidP="005A4B4D">
            <w:pPr>
              <w:tabs>
                <w:tab w:val="left" w:pos="2532"/>
              </w:tabs>
              <w:rPr>
                <w:b w:val="0"/>
                <w:color w:val="auto"/>
              </w:rPr>
            </w:pPr>
            <w:r w:rsidRPr="001A7DCD">
              <w:rPr>
                <w:b w:val="0"/>
                <w:color w:val="auto"/>
              </w:rPr>
              <w:t>As above</w:t>
            </w:r>
          </w:p>
        </w:tc>
      </w:tr>
      <w:tr w:rsidR="00D228B6" w:rsidRPr="001A7DCD" w14:paraId="0524B409" w14:textId="77777777" w:rsidTr="006316D4">
        <w:trPr>
          <w:trHeight w:val="512"/>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left w:val="none" w:sz="0" w:space="0" w:color="auto"/>
              <w:bottom w:val="single" w:sz="4" w:space="0" w:color="auto"/>
              <w:right w:val="none" w:sz="0" w:space="0" w:color="auto"/>
            </w:tcBorders>
            <w:shd w:val="clear" w:color="auto" w:fill="auto"/>
          </w:tcPr>
          <w:p w14:paraId="7D5C58B2" w14:textId="79A28A60" w:rsidR="00D228B6" w:rsidRPr="001A7DCD" w:rsidRDefault="008C163F" w:rsidP="005A4B4D">
            <w:pPr>
              <w:rPr>
                <w:b w:val="0"/>
                <w:bCs w:val="0"/>
                <w:color w:val="auto"/>
              </w:rPr>
            </w:pPr>
            <w:r w:rsidRPr="001A7DCD">
              <w:rPr>
                <w:b w:val="0"/>
                <w:bCs w:val="0"/>
                <w:color w:val="auto"/>
              </w:rPr>
              <w:t>5</w:t>
            </w:r>
            <w:r w:rsidR="005B4B5D" w:rsidRPr="001A7DCD">
              <w:rPr>
                <w:b w:val="0"/>
                <w:bCs w:val="0"/>
                <w:color w:val="auto"/>
              </w:rPr>
              <w:t xml:space="preserve">. </w:t>
            </w:r>
            <w:r w:rsidR="00671579" w:rsidRPr="001A7DCD">
              <w:rPr>
                <w:b w:val="0"/>
                <w:bCs w:val="0"/>
                <w:color w:val="auto"/>
              </w:rPr>
              <w:t xml:space="preserve">Improve ability to bring </w:t>
            </w:r>
            <w:r w:rsidR="005B4B5D" w:rsidRPr="001A7DCD">
              <w:rPr>
                <w:b w:val="0"/>
                <w:bCs w:val="0"/>
                <w:color w:val="auto"/>
              </w:rPr>
              <w:t>collective actions</w:t>
            </w:r>
          </w:p>
        </w:tc>
        <w:tc>
          <w:tcPr>
            <w:cnfStyle w:val="000010000000" w:firstRow="0" w:lastRow="0" w:firstColumn="0" w:lastColumn="0" w:oddVBand="1" w:evenVBand="0" w:oddHBand="0" w:evenHBand="0" w:firstRowFirstColumn="0" w:firstRowLastColumn="0" w:lastRowFirstColumn="0" w:lastRowLastColumn="0"/>
            <w:tcW w:w="2986" w:type="dxa"/>
            <w:tcBorders>
              <w:top w:val="none" w:sz="0" w:space="0" w:color="auto"/>
              <w:left w:val="none" w:sz="0" w:space="0" w:color="auto"/>
              <w:bottom w:val="single" w:sz="4" w:space="0" w:color="auto"/>
              <w:right w:val="none" w:sz="0" w:space="0" w:color="auto"/>
            </w:tcBorders>
            <w:shd w:val="clear" w:color="auto" w:fill="auto"/>
          </w:tcPr>
          <w:p w14:paraId="5AC3A996" w14:textId="77777777" w:rsidR="00D228B6" w:rsidRPr="001A7DCD" w:rsidRDefault="005B4B5D" w:rsidP="005A4B4D">
            <w:r w:rsidRPr="001A7DCD">
              <w:t xml:space="preserve">Civil Procedure Rules </w:t>
            </w:r>
          </w:p>
        </w:tc>
        <w:tc>
          <w:tcPr>
            <w:cnfStyle w:val="000100000000" w:firstRow="0" w:lastRow="0" w:firstColumn="0" w:lastColumn="1" w:oddVBand="0" w:evenVBand="0" w:oddHBand="0" w:evenHBand="0" w:firstRowFirstColumn="0" w:firstRowLastColumn="0" w:lastRowFirstColumn="0" w:lastRowLastColumn="0"/>
            <w:tcW w:w="3136" w:type="dxa"/>
            <w:tcBorders>
              <w:top w:val="none" w:sz="0" w:space="0" w:color="auto"/>
              <w:left w:val="none" w:sz="0" w:space="0" w:color="auto"/>
              <w:bottom w:val="single" w:sz="4" w:space="0" w:color="auto"/>
              <w:right w:val="none" w:sz="0" w:space="0" w:color="auto"/>
            </w:tcBorders>
            <w:shd w:val="clear" w:color="auto" w:fill="auto"/>
          </w:tcPr>
          <w:p w14:paraId="1F4DC253" w14:textId="77777777" w:rsidR="00D228B6" w:rsidRPr="001A7DCD" w:rsidRDefault="005B4B5D" w:rsidP="005A4B4D">
            <w:pPr>
              <w:tabs>
                <w:tab w:val="left" w:pos="2532"/>
              </w:tabs>
              <w:rPr>
                <w:b w:val="0"/>
                <w:color w:val="auto"/>
              </w:rPr>
            </w:pPr>
            <w:r w:rsidRPr="001A7DCD">
              <w:rPr>
                <w:b w:val="0"/>
                <w:color w:val="auto"/>
              </w:rPr>
              <w:t>None</w:t>
            </w:r>
          </w:p>
        </w:tc>
      </w:tr>
      <w:tr w:rsidR="00990493" w:rsidRPr="001A7DCD" w14:paraId="6920518B" w14:textId="77777777" w:rsidTr="006316D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100" w:type="dxa"/>
            <w:tcBorders>
              <w:top w:val="single" w:sz="4" w:space="0" w:color="auto"/>
              <w:left w:val="single" w:sz="4" w:space="0" w:color="auto"/>
              <w:bottom w:val="single" w:sz="4" w:space="0" w:color="auto"/>
              <w:right w:val="single" w:sz="4" w:space="0" w:color="auto"/>
            </w:tcBorders>
            <w:shd w:val="clear" w:color="auto" w:fill="auto"/>
          </w:tcPr>
          <w:p w14:paraId="6C1B747D" w14:textId="7A776A8B" w:rsidR="00990493" w:rsidRPr="001A7DCD" w:rsidRDefault="00990493" w:rsidP="005A4B4D">
            <w:pPr>
              <w:rPr>
                <w:b w:val="0"/>
                <w:bCs w:val="0"/>
                <w:color w:val="auto"/>
              </w:rPr>
            </w:pPr>
            <w:r w:rsidRPr="001A7DCD">
              <w:rPr>
                <w:b w:val="0"/>
                <w:bCs w:val="0"/>
                <w:color w:val="auto"/>
              </w:rPr>
              <w:t xml:space="preserve">6. </w:t>
            </w:r>
            <w:r w:rsidR="00F31FC0" w:rsidRPr="001A7DCD">
              <w:rPr>
                <w:b w:val="0"/>
                <w:bCs w:val="0"/>
                <w:color w:val="auto"/>
              </w:rPr>
              <w:t xml:space="preserve">Improve </w:t>
            </w:r>
            <w:r w:rsidR="00671579" w:rsidRPr="001A7DCD">
              <w:rPr>
                <w:b w:val="0"/>
                <w:bCs w:val="0"/>
                <w:color w:val="auto"/>
              </w:rPr>
              <w:t xml:space="preserve">pre-action </w:t>
            </w:r>
            <w:r w:rsidR="00F31FC0" w:rsidRPr="001A7DCD">
              <w:rPr>
                <w:b w:val="0"/>
                <w:bCs w:val="0"/>
                <w:color w:val="auto"/>
              </w:rPr>
              <w:t>disclosure</w:t>
            </w:r>
            <w:r w:rsidR="00671579" w:rsidRPr="001A7DCD">
              <w:rPr>
                <w:b w:val="0"/>
                <w:bCs w:val="0"/>
                <w:color w:val="auto"/>
              </w:rPr>
              <w:t xml:space="preserve"> and break link with costs</w:t>
            </w:r>
          </w:p>
        </w:tc>
        <w:tc>
          <w:tcPr>
            <w:cnfStyle w:val="000010000000" w:firstRow="0" w:lastRow="0" w:firstColumn="0" w:lastColumn="0" w:oddVBand="1" w:evenVBand="0" w:oddHBand="0" w:evenHBand="0" w:firstRowFirstColumn="0" w:firstRowLastColumn="0" w:lastRowFirstColumn="0" w:lastRowLastColumn="0"/>
            <w:tcW w:w="2986" w:type="dxa"/>
            <w:tcBorders>
              <w:top w:val="single" w:sz="4" w:space="0" w:color="auto"/>
              <w:left w:val="single" w:sz="4" w:space="0" w:color="auto"/>
              <w:bottom w:val="single" w:sz="4" w:space="0" w:color="auto"/>
              <w:right w:val="single" w:sz="4" w:space="0" w:color="auto"/>
            </w:tcBorders>
            <w:shd w:val="clear" w:color="auto" w:fill="auto"/>
          </w:tcPr>
          <w:p w14:paraId="7450DA97" w14:textId="77777777" w:rsidR="00990493" w:rsidRPr="001A7DCD" w:rsidRDefault="00F31FC0" w:rsidP="005A4B4D">
            <w:r w:rsidRPr="001A7DCD">
              <w:t xml:space="preserve">Civil Procedure Rules </w:t>
            </w:r>
          </w:p>
        </w:tc>
        <w:tc>
          <w:tcPr>
            <w:cnfStyle w:val="000100000000" w:firstRow="0" w:lastRow="0" w:firstColumn="0" w:lastColumn="1" w:oddVBand="0" w:evenVBand="0" w:oddHBand="0" w:evenHBand="0" w:firstRowFirstColumn="0" w:firstRowLastColumn="0" w:lastRowFirstColumn="0" w:lastRowLastColumn="0"/>
            <w:tcW w:w="3136" w:type="dxa"/>
            <w:tcBorders>
              <w:top w:val="single" w:sz="4" w:space="0" w:color="auto"/>
              <w:left w:val="single" w:sz="4" w:space="0" w:color="auto"/>
              <w:bottom w:val="single" w:sz="4" w:space="0" w:color="auto"/>
              <w:right w:val="single" w:sz="4" w:space="0" w:color="auto"/>
            </w:tcBorders>
            <w:shd w:val="clear" w:color="auto" w:fill="auto"/>
          </w:tcPr>
          <w:p w14:paraId="5CDEC45F" w14:textId="77777777" w:rsidR="00990493" w:rsidRPr="001A7DCD" w:rsidRDefault="00F31FC0" w:rsidP="005A4B4D">
            <w:pPr>
              <w:tabs>
                <w:tab w:val="left" w:pos="2532"/>
              </w:tabs>
              <w:rPr>
                <w:b w:val="0"/>
                <w:color w:val="auto"/>
              </w:rPr>
            </w:pPr>
            <w:r w:rsidRPr="001A7DCD">
              <w:rPr>
                <w:b w:val="0"/>
                <w:color w:val="auto"/>
              </w:rPr>
              <w:t>None</w:t>
            </w:r>
          </w:p>
        </w:tc>
      </w:tr>
      <w:tr w:rsidR="006316D4" w:rsidRPr="001A7DCD" w14:paraId="0BE1A9DE" w14:textId="77777777" w:rsidTr="006316D4">
        <w:trPr>
          <w:trHeight w:val="37"/>
        </w:trPr>
        <w:tc>
          <w:tcPr>
            <w:cnfStyle w:val="001000000000" w:firstRow="0" w:lastRow="0" w:firstColumn="1" w:lastColumn="0" w:oddVBand="0" w:evenVBand="0" w:oddHBand="0" w:evenHBand="0" w:firstRowFirstColumn="0" w:firstRowLastColumn="0" w:lastRowFirstColumn="0" w:lastRowLastColumn="0"/>
            <w:tcW w:w="3100" w:type="dxa"/>
            <w:shd w:val="clear" w:color="auto" w:fill="auto"/>
          </w:tcPr>
          <w:p w14:paraId="7B9A0CA7" w14:textId="77777777" w:rsidR="006316D4" w:rsidRPr="001A7DCD" w:rsidRDefault="006316D4" w:rsidP="005A4B4D">
            <w:pPr>
              <w:rPr>
                <w:b w:val="0"/>
                <w:bCs w:val="0"/>
              </w:rPr>
            </w:pPr>
          </w:p>
        </w:tc>
        <w:tc>
          <w:tcPr>
            <w:cnfStyle w:val="000010000000" w:firstRow="0" w:lastRow="0" w:firstColumn="0" w:lastColumn="0" w:oddVBand="1" w:evenVBand="0" w:oddHBand="0" w:evenHBand="0" w:firstRowFirstColumn="0" w:firstRowLastColumn="0" w:lastRowFirstColumn="0" w:lastRowLastColumn="0"/>
            <w:tcW w:w="2986" w:type="dxa"/>
            <w:shd w:val="clear" w:color="auto" w:fill="auto"/>
          </w:tcPr>
          <w:p w14:paraId="5FE45F6C" w14:textId="77777777" w:rsidR="006316D4" w:rsidRPr="001A7DCD" w:rsidRDefault="006316D4" w:rsidP="005A4B4D"/>
        </w:tc>
        <w:tc>
          <w:tcPr>
            <w:cnfStyle w:val="000100000000" w:firstRow="0" w:lastRow="0" w:firstColumn="0" w:lastColumn="1" w:oddVBand="0" w:evenVBand="0" w:oddHBand="0" w:evenHBand="0" w:firstRowFirstColumn="0" w:firstRowLastColumn="0" w:lastRowFirstColumn="0" w:lastRowLastColumn="0"/>
            <w:tcW w:w="3136" w:type="dxa"/>
            <w:shd w:val="clear" w:color="auto" w:fill="auto"/>
          </w:tcPr>
          <w:p w14:paraId="572D9CB5" w14:textId="77777777" w:rsidR="006316D4" w:rsidRPr="001A7DCD" w:rsidRDefault="006316D4" w:rsidP="005A4B4D">
            <w:pPr>
              <w:tabs>
                <w:tab w:val="left" w:pos="2532"/>
              </w:tabs>
              <w:rPr>
                <w:b w:val="0"/>
              </w:rPr>
            </w:pPr>
          </w:p>
        </w:tc>
      </w:tr>
      <w:tr w:rsidR="006316D4" w:rsidRPr="001A7DCD" w14:paraId="22194770" w14:textId="77777777" w:rsidTr="006316D4">
        <w:trPr>
          <w:cnfStyle w:val="010000000000" w:firstRow="0" w:lastRow="1"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100" w:type="dxa"/>
            <w:shd w:val="clear" w:color="auto" w:fill="auto"/>
          </w:tcPr>
          <w:p w14:paraId="78CA8DF9" w14:textId="77777777" w:rsidR="006316D4" w:rsidRPr="001A7DCD" w:rsidRDefault="006316D4" w:rsidP="005A4B4D">
            <w:pPr>
              <w:rPr>
                <w:b w:val="0"/>
                <w:bCs w:val="0"/>
              </w:rPr>
            </w:pPr>
          </w:p>
        </w:tc>
        <w:tc>
          <w:tcPr>
            <w:cnfStyle w:val="000010000000" w:firstRow="0" w:lastRow="0" w:firstColumn="0" w:lastColumn="0" w:oddVBand="1" w:evenVBand="0" w:oddHBand="0" w:evenHBand="0" w:firstRowFirstColumn="0" w:firstRowLastColumn="0" w:lastRowFirstColumn="0" w:lastRowLastColumn="0"/>
            <w:tcW w:w="2986" w:type="dxa"/>
            <w:shd w:val="clear" w:color="auto" w:fill="auto"/>
          </w:tcPr>
          <w:p w14:paraId="0DB589AA" w14:textId="77777777" w:rsidR="006316D4" w:rsidRPr="001A7DCD" w:rsidRDefault="006316D4" w:rsidP="005A4B4D"/>
        </w:tc>
        <w:tc>
          <w:tcPr>
            <w:cnfStyle w:val="000100000000" w:firstRow="0" w:lastRow="0" w:firstColumn="0" w:lastColumn="1" w:oddVBand="0" w:evenVBand="0" w:oddHBand="0" w:evenHBand="0" w:firstRowFirstColumn="0" w:firstRowLastColumn="0" w:lastRowFirstColumn="0" w:lastRowLastColumn="0"/>
            <w:tcW w:w="3136" w:type="dxa"/>
            <w:shd w:val="clear" w:color="auto" w:fill="auto"/>
          </w:tcPr>
          <w:p w14:paraId="086EEA25" w14:textId="77777777" w:rsidR="006316D4" w:rsidRPr="001A7DCD" w:rsidRDefault="006316D4" w:rsidP="005A4B4D">
            <w:pPr>
              <w:tabs>
                <w:tab w:val="left" w:pos="2532"/>
              </w:tabs>
              <w:rPr>
                <w:b w:val="0"/>
              </w:rPr>
            </w:pPr>
          </w:p>
        </w:tc>
      </w:tr>
    </w:tbl>
    <w:p w14:paraId="0F192A28" w14:textId="77777777" w:rsidR="00706691" w:rsidRPr="00617524" w:rsidRDefault="001440E4" w:rsidP="005A4B4D">
      <w:pPr>
        <w:spacing w:after="0" w:line="240" w:lineRule="auto"/>
        <w:rPr>
          <w:b/>
          <w:sz w:val="28"/>
          <w:szCs w:val="28"/>
        </w:rPr>
      </w:pPr>
      <w:r w:rsidRPr="00617524">
        <w:rPr>
          <w:b/>
          <w:sz w:val="28"/>
          <w:szCs w:val="28"/>
        </w:rPr>
        <w:t xml:space="preserve">Policy </w:t>
      </w:r>
      <w:r w:rsidR="00A14492" w:rsidRPr="00617524">
        <w:rPr>
          <w:b/>
          <w:sz w:val="28"/>
          <w:szCs w:val="28"/>
        </w:rPr>
        <w:t>recommendations</w:t>
      </w:r>
      <w:r w:rsidRPr="00617524">
        <w:rPr>
          <w:b/>
          <w:sz w:val="28"/>
          <w:szCs w:val="28"/>
        </w:rPr>
        <w:t xml:space="preserve"> r</w:t>
      </w:r>
      <w:r w:rsidR="00706691" w:rsidRPr="00617524">
        <w:rPr>
          <w:b/>
          <w:sz w:val="28"/>
          <w:szCs w:val="28"/>
        </w:rPr>
        <w:t>elating to criminal law</w:t>
      </w:r>
    </w:p>
    <w:p w14:paraId="6A6743CB" w14:textId="77777777" w:rsidR="009654C6" w:rsidRDefault="009654C6" w:rsidP="005A4B4D">
      <w:pPr>
        <w:spacing w:after="0" w:line="240" w:lineRule="auto"/>
      </w:pPr>
    </w:p>
    <w:p w14:paraId="5372E88B" w14:textId="24C61F65" w:rsidR="00B341CC" w:rsidRDefault="00706691" w:rsidP="005A4B4D">
      <w:pPr>
        <w:spacing w:after="0" w:line="240" w:lineRule="auto"/>
      </w:pPr>
      <w:r w:rsidRPr="001A7DCD">
        <w:t>There is currently no specific piece of legislation that allows criminal prosecution of corporations for human rights abuses</w:t>
      </w:r>
      <w:r w:rsidR="00617524">
        <w:t xml:space="preserve"> </w:t>
      </w:r>
      <w:r w:rsidR="00962809" w:rsidRPr="001A7DCD">
        <w:t>overseas</w:t>
      </w:r>
      <w:r w:rsidRPr="001A7DCD">
        <w:t xml:space="preserve">. </w:t>
      </w:r>
      <w:proofErr w:type="spellStart"/>
      <w:r w:rsidRPr="001A7DCD">
        <w:t>Traidcraft</w:t>
      </w:r>
      <w:proofErr w:type="spellEnd"/>
      <w:r w:rsidRPr="001A7DCD">
        <w:t xml:space="preserve"> commissioned a detailed analysis</w:t>
      </w:r>
      <w:r w:rsidR="007E622C" w:rsidRPr="001A7DCD">
        <w:t xml:space="preserve"> of this area, which highlighted some of the challenges and recommended practical policy </w:t>
      </w:r>
      <w:r w:rsidRPr="001A7DCD">
        <w:t>opti</w:t>
      </w:r>
      <w:r w:rsidR="003B3F70" w:rsidRPr="001A7DCD">
        <w:t>ons</w:t>
      </w:r>
      <w:r w:rsidR="007E622C" w:rsidRPr="001A7DCD">
        <w:t xml:space="preserve"> that overcome these</w:t>
      </w:r>
      <w:r w:rsidR="007E622C" w:rsidRPr="001A7DCD">
        <w:rPr>
          <w:rStyle w:val="FootnoteReference"/>
        </w:rPr>
        <w:footnoteReference w:id="3"/>
      </w:r>
      <w:r w:rsidR="007E622C" w:rsidRPr="001A7DCD">
        <w:t xml:space="preserve">. </w:t>
      </w:r>
      <w:r w:rsidR="007F6EFC" w:rsidRPr="001A7DCD">
        <w:t>F</w:t>
      </w:r>
      <w:r w:rsidR="00DA2272" w:rsidRPr="001A7DCD">
        <w:t>ollowing a roundtable with criminal law experts</w:t>
      </w:r>
      <w:r w:rsidR="00B341CC" w:rsidRPr="001A7DCD">
        <w:t xml:space="preserve"> and with an understanding of the present political and economic climate</w:t>
      </w:r>
      <w:r w:rsidR="00DA2272" w:rsidRPr="001A7DCD">
        <w:t xml:space="preserve">, </w:t>
      </w:r>
      <w:r w:rsidR="002A7555" w:rsidRPr="001A7DCD">
        <w:t xml:space="preserve">we </w:t>
      </w:r>
      <w:r w:rsidR="00A14492" w:rsidRPr="001A7DCD">
        <w:t>have two recommendations</w:t>
      </w:r>
      <w:r w:rsidRPr="001A7DCD">
        <w:t xml:space="preserve">. </w:t>
      </w:r>
    </w:p>
    <w:p w14:paraId="16A0BC95" w14:textId="77777777" w:rsidR="009654C6" w:rsidRPr="001A7DCD" w:rsidRDefault="009654C6" w:rsidP="005A4B4D">
      <w:pPr>
        <w:spacing w:after="0" w:line="240" w:lineRule="auto"/>
      </w:pPr>
    </w:p>
    <w:p w14:paraId="7A4FF62F" w14:textId="493D71CA" w:rsidR="00962809" w:rsidRPr="001A7DCD" w:rsidRDefault="00A14492" w:rsidP="005A4B4D">
      <w:pPr>
        <w:pBdr>
          <w:top w:val="single" w:sz="4" w:space="1" w:color="auto"/>
          <w:left w:val="single" w:sz="4" w:space="4" w:color="auto"/>
          <w:bottom w:val="single" w:sz="4" w:space="1" w:color="auto"/>
          <w:right w:val="single" w:sz="4" w:space="4" w:color="auto"/>
        </w:pBdr>
        <w:spacing w:after="0" w:line="240" w:lineRule="auto"/>
        <w:rPr>
          <w:b/>
          <w:i/>
        </w:rPr>
      </w:pPr>
      <w:r w:rsidRPr="001A7DCD">
        <w:rPr>
          <w:b/>
          <w:i/>
        </w:rPr>
        <w:t>Recommendation</w:t>
      </w:r>
      <w:r w:rsidR="00962809" w:rsidRPr="001A7DCD">
        <w:rPr>
          <w:b/>
          <w:i/>
        </w:rPr>
        <w:t xml:space="preserve"> 1</w:t>
      </w:r>
      <w:r w:rsidR="00806CF8" w:rsidRPr="001A7DCD">
        <w:rPr>
          <w:b/>
          <w:i/>
        </w:rPr>
        <w:t>a</w:t>
      </w:r>
      <w:r w:rsidR="00962809" w:rsidRPr="001A7DCD">
        <w:rPr>
          <w:b/>
          <w:i/>
        </w:rPr>
        <w:t xml:space="preserve">: </w:t>
      </w:r>
      <w:r w:rsidR="00622A5E" w:rsidRPr="001A7DCD">
        <w:rPr>
          <w:b/>
          <w:i/>
        </w:rPr>
        <w:t>Develop</w:t>
      </w:r>
      <w:r w:rsidR="00B2137F" w:rsidRPr="001A7DCD">
        <w:rPr>
          <w:b/>
          <w:i/>
        </w:rPr>
        <w:t xml:space="preserve"> a new </w:t>
      </w:r>
      <w:r w:rsidR="002A633D">
        <w:rPr>
          <w:b/>
          <w:i/>
        </w:rPr>
        <w:t xml:space="preserve">offence modelled on </w:t>
      </w:r>
      <w:r w:rsidR="002A38C9" w:rsidRPr="001A7DCD">
        <w:rPr>
          <w:b/>
          <w:i/>
        </w:rPr>
        <w:t xml:space="preserve">Section 7 of the </w:t>
      </w:r>
      <w:r w:rsidR="002A633D">
        <w:rPr>
          <w:b/>
          <w:i/>
        </w:rPr>
        <w:t xml:space="preserve">Bribery Act </w:t>
      </w:r>
      <w:r w:rsidR="007D0742" w:rsidRPr="001A7DCD">
        <w:rPr>
          <w:b/>
          <w:i/>
        </w:rPr>
        <w:t>(semi-strict liability</w:t>
      </w:r>
      <w:r w:rsidR="002B281C" w:rsidRPr="001A7DCD">
        <w:rPr>
          <w:b/>
          <w:i/>
        </w:rPr>
        <w:t>, with a</w:t>
      </w:r>
      <w:r w:rsidR="006B3254" w:rsidRPr="001A7DCD">
        <w:rPr>
          <w:b/>
          <w:i/>
        </w:rPr>
        <w:t>n adequate procedures defence</w:t>
      </w:r>
      <w:r w:rsidR="002B281C" w:rsidRPr="001A7DCD">
        <w:rPr>
          <w:b/>
          <w:i/>
        </w:rPr>
        <w:t>)</w:t>
      </w:r>
    </w:p>
    <w:p w14:paraId="03ED12B3" w14:textId="77777777" w:rsidR="009654C6" w:rsidRDefault="009654C6" w:rsidP="009654C6">
      <w:pPr>
        <w:pStyle w:val="ListParagraph"/>
        <w:spacing w:after="0" w:line="240" w:lineRule="auto"/>
      </w:pPr>
    </w:p>
    <w:p w14:paraId="68A4532C" w14:textId="3D2AB1F0" w:rsidR="00A14492" w:rsidRPr="001A7DCD" w:rsidRDefault="00112EFB" w:rsidP="005A4B4D">
      <w:pPr>
        <w:pStyle w:val="ListParagraph"/>
        <w:numPr>
          <w:ilvl w:val="0"/>
          <w:numId w:val="21"/>
        </w:numPr>
        <w:spacing w:after="0" w:line="240" w:lineRule="auto"/>
      </w:pPr>
      <w:r w:rsidRPr="001A7DCD">
        <w:t>The Bribery Act 2010</w:t>
      </w:r>
      <w:r w:rsidR="00816216" w:rsidRPr="001A7DCD">
        <w:t xml:space="preserve"> </w:t>
      </w:r>
      <w:r w:rsidR="003D2B93" w:rsidRPr="001A7DCD">
        <w:t xml:space="preserve">created the </w:t>
      </w:r>
      <w:r w:rsidR="00962809" w:rsidRPr="001A7DCD">
        <w:t>offence</w:t>
      </w:r>
      <w:r w:rsidR="003D2B93" w:rsidRPr="001A7DCD">
        <w:t xml:space="preserve">s of </w:t>
      </w:r>
      <w:r w:rsidR="00962809" w:rsidRPr="001A7DCD">
        <w:t xml:space="preserve">bribery of another person, being bribed, and bribing a foreign official. </w:t>
      </w:r>
      <w:r w:rsidRPr="001A7DCD">
        <w:t>Each of these</w:t>
      </w:r>
      <w:r w:rsidR="00962809" w:rsidRPr="001A7DCD">
        <w:t xml:space="preserve"> offences can apply to a corporation just as they can apply to a natural person. </w:t>
      </w:r>
    </w:p>
    <w:p w14:paraId="3C799AE0" w14:textId="4705438C" w:rsidR="00A14492" w:rsidRPr="001A7DCD" w:rsidRDefault="002A38C9" w:rsidP="005A4B4D">
      <w:pPr>
        <w:pStyle w:val="ListParagraph"/>
        <w:numPr>
          <w:ilvl w:val="0"/>
          <w:numId w:val="21"/>
        </w:numPr>
        <w:spacing w:after="0" w:line="240" w:lineRule="auto"/>
      </w:pPr>
      <w:r w:rsidRPr="001A7DCD">
        <w:t>Section 7 of t</w:t>
      </w:r>
      <w:r w:rsidR="00621564" w:rsidRPr="001A7DCD">
        <w:t xml:space="preserve">he Act </w:t>
      </w:r>
      <w:r w:rsidR="00962809" w:rsidRPr="001A7DCD">
        <w:t xml:space="preserve">creates a semi strict liability offence of </w:t>
      </w:r>
      <w:r w:rsidR="00A404FA">
        <w:t>‘</w:t>
      </w:r>
      <w:r w:rsidR="00962809" w:rsidRPr="001A7DCD">
        <w:t>failing to prevent bribery</w:t>
      </w:r>
      <w:r w:rsidR="00A404FA">
        <w:t xml:space="preserve">’, which </w:t>
      </w:r>
      <w:r w:rsidR="00962809" w:rsidRPr="001A7DCD">
        <w:t>is s</w:t>
      </w:r>
      <w:r w:rsidR="00A404FA">
        <w:t xml:space="preserve">pecifically aimed at companies </w:t>
      </w:r>
      <w:r w:rsidR="00962809" w:rsidRPr="001A7DCD">
        <w:t xml:space="preserve">and can be committed by any ‘relevant commercial organisation,’ irrespective of where the act occurred.  An organisation is guilty of the offence if an ‘associated person’ bribes another intending to obtain or retain business or a business </w:t>
      </w:r>
      <w:r w:rsidR="00962809" w:rsidRPr="001A7DCD">
        <w:lastRenderedPageBreak/>
        <w:t xml:space="preserve">advantage for it. It is a defence for the corporation to prove that it had in place adequate procedures to prevent bribery. </w:t>
      </w:r>
    </w:p>
    <w:p w14:paraId="2037562D" w14:textId="53168669" w:rsidR="00A14492" w:rsidRPr="001A7DCD" w:rsidRDefault="004526F8" w:rsidP="005A4B4D">
      <w:pPr>
        <w:pStyle w:val="ListParagraph"/>
        <w:numPr>
          <w:ilvl w:val="0"/>
          <w:numId w:val="21"/>
        </w:numPr>
        <w:spacing w:after="0" w:line="240" w:lineRule="auto"/>
      </w:pPr>
      <w:r>
        <w:t>T</w:t>
      </w:r>
      <w:r w:rsidR="003D2B93" w:rsidRPr="001A7DCD">
        <w:t xml:space="preserve">he ‘architecture’ of the Bribery Act </w:t>
      </w:r>
      <w:r w:rsidR="00A14492" w:rsidRPr="001A7DCD">
        <w:t>therefore overcomes</w:t>
      </w:r>
      <w:r w:rsidR="003D2B93" w:rsidRPr="001A7DCD">
        <w:t xml:space="preserve"> a numbe</w:t>
      </w:r>
      <w:r w:rsidR="00701D7B" w:rsidRPr="001A7DCD">
        <w:t xml:space="preserve">r of the challenges </w:t>
      </w:r>
      <w:r w:rsidR="00A14492" w:rsidRPr="001A7DCD">
        <w:t>relating to corporate criminal liability</w:t>
      </w:r>
      <w:r w:rsidR="00701D7B" w:rsidRPr="001A7DCD">
        <w:t xml:space="preserve"> </w:t>
      </w:r>
      <w:r w:rsidR="00A14492" w:rsidRPr="001A7DCD">
        <w:t>including</w:t>
      </w:r>
      <w:r w:rsidR="003D2B93" w:rsidRPr="001A7DCD">
        <w:t xml:space="preserve"> extra-territoriality</w:t>
      </w:r>
      <w:r w:rsidR="0061020A" w:rsidRPr="001A7DCD">
        <w:t xml:space="preserve"> and issues of evidence collection.</w:t>
      </w:r>
      <w:r w:rsidR="003D2B93" w:rsidRPr="001A7DCD">
        <w:t xml:space="preserve"> </w:t>
      </w:r>
    </w:p>
    <w:p w14:paraId="05F1BBD1" w14:textId="70C5318E" w:rsidR="00622A5E" w:rsidRPr="001A7DCD" w:rsidRDefault="004526F8" w:rsidP="005A4B4D">
      <w:pPr>
        <w:pStyle w:val="ListParagraph"/>
        <w:numPr>
          <w:ilvl w:val="0"/>
          <w:numId w:val="21"/>
        </w:numPr>
        <w:spacing w:after="0" w:line="240" w:lineRule="auto"/>
      </w:pPr>
      <w:r>
        <w:t>Although</w:t>
      </w:r>
      <w:r w:rsidR="004A3DC8">
        <w:t>,</w:t>
      </w:r>
      <w:r>
        <w:t xml:space="preserve"> as yet</w:t>
      </w:r>
      <w:r w:rsidR="004A3DC8">
        <w:t>,</w:t>
      </w:r>
      <w:r>
        <w:t xml:space="preserve"> there</w:t>
      </w:r>
      <w:r w:rsidR="004754C9" w:rsidRPr="001A7DCD">
        <w:t xml:space="preserve"> have been no </w:t>
      </w:r>
      <w:r w:rsidR="00D228B6" w:rsidRPr="001A7DCD">
        <w:t>prosecutions</w:t>
      </w:r>
      <w:r w:rsidR="004A3DC8">
        <w:t>,</w:t>
      </w:r>
      <w:r w:rsidR="004754C9" w:rsidRPr="001A7DCD">
        <w:t xml:space="preserve"> </w:t>
      </w:r>
      <w:r w:rsidR="003D2B93" w:rsidRPr="001A7DCD">
        <w:t xml:space="preserve">the Bribery Act </w:t>
      </w:r>
      <w:r>
        <w:t xml:space="preserve">is already having </w:t>
      </w:r>
      <w:r w:rsidR="004A3DC8">
        <w:t xml:space="preserve">a </w:t>
      </w:r>
      <w:r w:rsidR="004A3DC8" w:rsidRPr="001A7DCD">
        <w:t>significant</w:t>
      </w:r>
      <w:r w:rsidR="003D2B93" w:rsidRPr="001A7DCD">
        <w:t xml:space="preserve"> impact on company practice. The</w:t>
      </w:r>
      <w:r w:rsidR="00701D7B" w:rsidRPr="001A7DCD">
        <w:t xml:space="preserve"> </w:t>
      </w:r>
      <w:r w:rsidR="001440E4" w:rsidRPr="001A7DCD">
        <w:t xml:space="preserve">possibility of extending the </w:t>
      </w:r>
      <w:r w:rsidR="00112EFB" w:rsidRPr="001A7DCD">
        <w:t>Act</w:t>
      </w:r>
      <w:r w:rsidR="001440E4" w:rsidRPr="001A7DCD">
        <w:t xml:space="preserve"> </w:t>
      </w:r>
      <w:r w:rsidR="00112EFB" w:rsidRPr="001A7DCD">
        <w:t>or replacing it with legislation tackling a wider set of ‘</w:t>
      </w:r>
      <w:r w:rsidR="00622A5E" w:rsidRPr="001A7DCD">
        <w:t>economic</w:t>
      </w:r>
      <w:r w:rsidR="003D2B93" w:rsidRPr="001A7DCD">
        <w:t xml:space="preserve"> crimes</w:t>
      </w:r>
      <w:r w:rsidR="00112EFB" w:rsidRPr="001A7DCD">
        <w:t>’</w:t>
      </w:r>
      <w:r w:rsidR="003D2B93" w:rsidRPr="001A7DCD">
        <w:t xml:space="preserve"> is</w:t>
      </w:r>
      <w:r w:rsidR="00622A5E" w:rsidRPr="001A7DCD">
        <w:t xml:space="preserve"> being consi</w:t>
      </w:r>
      <w:r w:rsidR="00112EFB" w:rsidRPr="001A7DCD">
        <w:t>dered by Government at present.</w:t>
      </w:r>
      <w:r w:rsidR="001440E4" w:rsidRPr="001A7DCD">
        <w:rPr>
          <w:vertAlign w:val="superscript"/>
        </w:rPr>
        <w:footnoteReference w:id="4"/>
      </w:r>
      <w:r w:rsidR="001440E4" w:rsidRPr="001A7DCD">
        <w:t xml:space="preserve"> </w:t>
      </w:r>
    </w:p>
    <w:p w14:paraId="2F6F60F1" w14:textId="77777777" w:rsidR="009654C6" w:rsidRDefault="009654C6" w:rsidP="005A4B4D">
      <w:pPr>
        <w:spacing w:after="0" w:line="240" w:lineRule="auto"/>
        <w:jc w:val="both"/>
        <w:rPr>
          <w:b/>
        </w:rPr>
      </w:pPr>
    </w:p>
    <w:p w14:paraId="25BEEEA2" w14:textId="77777777" w:rsidR="00572B71" w:rsidRPr="001A7DCD" w:rsidRDefault="00572B71" w:rsidP="005A4B4D">
      <w:pPr>
        <w:spacing w:after="0" w:line="240" w:lineRule="auto"/>
        <w:jc w:val="both"/>
        <w:rPr>
          <w:b/>
        </w:rPr>
      </w:pPr>
      <w:r w:rsidRPr="001A7DCD">
        <w:rPr>
          <w:b/>
        </w:rPr>
        <w:t>We recommend establishing a new section 7-type offence of either:</w:t>
      </w:r>
    </w:p>
    <w:p w14:paraId="28D58F0D" w14:textId="53A9E86A" w:rsidR="003D2B93" w:rsidRPr="001A7DCD" w:rsidRDefault="00572B71" w:rsidP="005A4B4D">
      <w:pPr>
        <w:pStyle w:val="ListParagraph"/>
        <w:numPr>
          <w:ilvl w:val="0"/>
          <w:numId w:val="11"/>
        </w:numPr>
        <w:spacing w:after="0" w:line="240" w:lineRule="auto"/>
        <w:jc w:val="both"/>
      </w:pPr>
      <w:r w:rsidRPr="001A7DCD">
        <w:rPr>
          <w:b/>
        </w:rPr>
        <w:t>‘</w:t>
      </w:r>
      <w:proofErr w:type="gramStart"/>
      <w:r w:rsidRPr="001A7DCD">
        <w:rPr>
          <w:b/>
        </w:rPr>
        <w:t>failure</w:t>
      </w:r>
      <w:proofErr w:type="gramEnd"/>
      <w:r w:rsidR="001440E4" w:rsidRPr="001A7DCD">
        <w:rPr>
          <w:b/>
        </w:rPr>
        <w:t xml:space="preserve"> to prevent </w:t>
      </w:r>
      <w:r w:rsidRPr="001A7DCD">
        <w:rPr>
          <w:b/>
        </w:rPr>
        <w:t xml:space="preserve">a </w:t>
      </w:r>
      <w:r w:rsidR="001440E4" w:rsidRPr="001A7DCD">
        <w:rPr>
          <w:b/>
        </w:rPr>
        <w:t>serious</w:t>
      </w:r>
      <w:r w:rsidRPr="001A7DCD">
        <w:rPr>
          <w:b/>
        </w:rPr>
        <w:t xml:space="preserve"> human rights abuse</w:t>
      </w:r>
      <w:r w:rsidR="001440E4" w:rsidRPr="001A7DCD">
        <w:rPr>
          <w:b/>
        </w:rPr>
        <w:t>’ by associated persons</w:t>
      </w:r>
      <w:r w:rsidR="004754C9" w:rsidRPr="001A7DCD">
        <w:t xml:space="preserve">. The term human rights abuses would clearly need to be defined </w:t>
      </w:r>
      <w:r w:rsidR="002A38C9" w:rsidRPr="001A7DCD">
        <w:t>precisely.</w:t>
      </w:r>
    </w:p>
    <w:p w14:paraId="23DDA32A" w14:textId="75CA83E8" w:rsidR="00701D7B" w:rsidRPr="001A7DCD" w:rsidRDefault="00701D7B" w:rsidP="005A4B4D">
      <w:pPr>
        <w:pStyle w:val="ListParagraph"/>
        <w:numPr>
          <w:ilvl w:val="0"/>
          <w:numId w:val="11"/>
        </w:numPr>
        <w:spacing w:after="0" w:line="240" w:lineRule="auto"/>
        <w:jc w:val="both"/>
        <w:rPr>
          <w:b/>
        </w:rPr>
      </w:pPr>
      <w:r w:rsidRPr="001A7DCD">
        <w:rPr>
          <w:b/>
        </w:rPr>
        <w:t xml:space="preserve"> ‘</w:t>
      </w:r>
      <w:proofErr w:type="gramStart"/>
      <w:r w:rsidR="003D2B93" w:rsidRPr="001A7DCD">
        <w:rPr>
          <w:b/>
        </w:rPr>
        <w:t>fail</w:t>
      </w:r>
      <w:r w:rsidR="00572B71" w:rsidRPr="001A7DCD">
        <w:rPr>
          <w:b/>
        </w:rPr>
        <w:t>ure</w:t>
      </w:r>
      <w:proofErr w:type="gramEnd"/>
      <w:r w:rsidR="00572B71" w:rsidRPr="001A7DCD">
        <w:rPr>
          <w:b/>
        </w:rPr>
        <w:t xml:space="preserve"> </w:t>
      </w:r>
      <w:r w:rsidR="003D2B93" w:rsidRPr="001A7DCD">
        <w:rPr>
          <w:b/>
        </w:rPr>
        <w:t>to prevent a serious c</w:t>
      </w:r>
      <w:r w:rsidR="00756F1B" w:rsidRPr="001A7DCD">
        <w:rPr>
          <w:b/>
        </w:rPr>
        <w:t xml:space="preserve">rime’ by associated persons. </w:t>
      </w:r>
      <w:proofErr w:type="spellStart"/>
      <w:r w:rsidR="00756F1B" w:rsidRPr="001A7DCD">
        <w:t>Traidcraft</w:t>
      </w:r>
      <w:proofErr w:type="spellEnd"/>
      <w:r w:rsidR="00756F1B" w:rsidRPr="001A7DCD">
        <w:t xml:space="preserve"> are working with </w:t>
      </w:r>
      <w:r w:rsidR="002A38C9" w:rsidRPr="001A7DCD">
        <w:t>legal experts</w:t>
      </w:r>
      <w:r w:rsidR="00756F1B" w:rsidRPr="001A7DCD">
        <w:t xml:space="preserve"> at the moment to draft more precise wording for this offence, as well as a possible schedule to attach to it and a draft indictment</w:t>
      </w:r>
      <w:r w:rsidR="00BE1FFD">
        <w:t>.</w:t>
      </w:r>
    </w:p>
    <w:p w14:paraId="5EE6DBF5" w14:textId="77777777" w:rsidR="009654C6" w:rsidRDefault="009654C6" w:rsidP="005A4B4D">
      <w:pPr>
        <w:spacing w:after="0" w:line="240" w:lineRule="auto"/>
        <w:jc w:val="both"/>
        <w:rPr>
          <w:b/>
        </w:rPr>
      </w:pPr>
    </w:p>
    <w:p w14:paraId="2F8E8060" w14:textId="10BE689E" w:rsidR="00F311AE" w:rsidRDefault="00F311AE" w:rsidP="005A4B4D">
      <w:pPr>
        <w:spacing w:after="0" w:line="240" w:lineRule="auto"/>
        <w:jc w:val="both"/>
        <w:rPr>
          <w:b/>
        </w:rPr>
      </w:pPr>
      <w:r w:rsidRPr="001A7DCD">
        <w:rPr>
          <w:b/>
        </w:rPr>
        <w:t>This could be achieved either through new legislation or incorporated into the ongoing pro</w:t>
      </w:r>
      <w:r w:rsidR="002A38C9" w:rsidRPr="001A7DCD">
        <w:rPr>
          <w:b/>
        </w:rPr>
        <w:t>posals to</w:t>
      </w:r>
      <w:r w:rsidRPr="001A7DCD">
        <w:rPr>
          <w:b/>
        </w:rPr>
        <w:t xml:space="preserve"> extend the Bribery Act.</w:t>
      </w:r>
      <w:r w:rsidR="00417B88" w:rsidRPr="001A7DCD">
        <w:rPr>
          <w:b/>
        </w:rPr>
        <w:t xml:space="preserve"> </w:t>
      </w:r>
      <w:r w:rsidR="003D2B93" w:rsidRPr="001A7DCD">
        <w:rPr>
          <w:b/>
        </w:rPr>
        <w:t xml:space="preserve">In either case </w:t>
      </w:r>
      <w:r w:rsidR="00BE1FFD">
        <w:rPr>
          <w:b/>
        </w:rPr>
        <w:t>a</w:t>
      </w:r>
      <w:r w:rsidR="003D2B93" w:rsidRPr="001A7DCD">
        <w:rPr>
          <w:b/>
        </w:rPr>
        <w:t xml:space="preserve"> defence would be </w:t>
      </w:r>
      <w:r w:rsidR="00BE1FFD">
        <w:rPr>
          <w:b/>
        </w:rPr>
        <w:t>to demonstrate</w:t>
      </w:r>
      <w:r w:rsidR="003D2B93" w:rsidRPr="001A7DCD">
        <w:rPr>
          <w:b/>
        </w:rPr>
        <w:t xml:space="preserve"> that the company had in place adequate procedures to prevent the commission of the offence.</w:t>
      </w:r>
      <w:r w:rsidR="00061A0C" w:rsidRPr="001A7DCD">
        <w:rPr>
          <w:b/>
        </w:rPr>
        <w:t xml:space="preserve"> </w:t>
      </w:r>
    </w:p>
    <w:p w14:paraId="5991411C" w14:textId="77777777" w:rsidR="009654C6" w:rsidRPr="001A7DCD" w:rsidRDefault="009654C6" w:rsidP="005A4B4D">
      <w:pPr>
        <w:spacing w:after="0" w:line="240" w:lineRule="auto"/>
        <w:jc w:val="both"/>
        <w:rPr>
          <w:b/>
        </w:rPr>
      </w:pPr>
    </w:p>
    <w:p w14:paraId="08DFBC91" w14:textId="77777777" w:rsidR="00806CF8" w:rsidRPr="001A7DCD" w:rsidRDefault="00806CF8" w:rsidP="005A4B4D">
      <w:pPr>
        <w:pBdr>
          <w:top w:val="single" w:sz="4" w:space="1" w:color="auto"/>
          <w:left w:val="single" w:sz="4" w:space="4" w:color="auto"/>
          <w:bottom w:val="single" w:sz="4" w:space="1" w:color="auto"/>
          <w:right w:val="single" w:sz="4" w:space="4" w:color="auto"/>
        </w:pBdr>
        <w:spacing w:after="0" w:line="240" w:lineRule="auto"/>
        <w:jc w:val="both"/>
        <w:rPr>
          <w:b/>
          <w:i/>
        </w:rPr>
      </w:pPr>
      <w:r w:rsidRPr="001A7DCD">
        <w:rPr>
          <w:b/>
          <w:i/>
        </w:rPr>
        <w:t>Recommendation 1b: Clarification of guidance regarding ‘improper conduct’</w:t>
      </w:r>
    </w:p>
    <w:p w14:paraId="0A51CA6A" w14:textId="5BBE47DA" w:rsidR="00806CF8" w:rsidRPr="001A7DCD" w:rsidRDefault="00A62999" w:rsidP="005A4B4D">
      <w:pPr>
        <w:pStyle w:val="ListParagraph"/>
        <w:numPr>
          <w:ilvl w:val="0"/>
          <w:numId w:val="23"/>
        </w:numPr>
        <w:spacing w:after="0" w:line="240" w:lineRule="auto"/>
        <w:jc w:val="both"/>
      </w:pPr>
      <w:r w:rsidRPr="001A7DCD">
        <w:t xml:space="preserve">A </w:t>
      </w:r>
      <w:r w:rsidR="00F311AE" w:rsidRPr="001A7DCD">
        <w:t xml:space="preserve">secondary recommendation </w:t>
      </w:r>
      <w:r w:rsidRPr="001A7DCD">
        <w:t xml:space="preserve">is that </w:t>
      </w:r>
      <w:r w:rsidR="003C33EF">
        <w:t>the existing Bribery Act or its possible w</w:t>
      </w:r>
      <w:r w:rsidR="00960E10" w:rsidRPr="001A7DCD">
        <w:t>ider focus</w:t>
      </w:r>
      <w:r w:rsidR="00701D7B" w:rsidRPr="001A7DCD">
        <w:t xml:space="preserve"> on ‘economic crimes’ could also support prosecution of human rights abuses</w:t>
      </w:r>
      <w:r w:rsidR="003C33EF">
        <w:t>, with some clarifications</w:t>
      </w:r>
      <w:r w:rsidR="00701D7B" w:rsidRPr="001A7DCD">
        <w:t xml:space="preserve">. </w:t>
      </w:r>
    </w:p>
    <w:p w14:paraId="7ECEFFC6" w14:textId="77777777" w:rsidR="00806CF8" w:rsidRPr="001A7DCD" w:rsidRDefault="00A62999" w:rsidP="005A4B4D">
      <w:pPr>
        <w:pStyle w:val="ListParagraph"/>
        <w:numPr>
          <w:ilvl w:val="0"/>
          <w:numId w:val="23"/>
        </w:numPr>
        <w:spacing w:after="0" w:line="240" w:lineRule="auto"/>
        <w:jc w:val="both"/>
      </w:pPr>
      <w:r w:rsidRPr="001A7DCD">
        <w:t>T</w:t>
      </w:r>
      <w:r w:rsidR="001440E4" w:rsidRPr="001A7DCD">
        <w:t>he ‘improper performance’ requirement (under sections 1 and 4</w:t>
      </w:r>
      <w:r w:rsidRPr="001A7DCD">
        <w:t xml:space="preserve"> of the Act</w:t>
      </w:r>
      <w:r w:rsidR="001440E4" w:rsidRPr="001A7DCD">
        <w:t xml:space="preserve">) </w:t>
      </w:r>
      <w:r w:rsidRPr="001A7DCD">
        <w:t xml:space="preserve">would be considered </w:t>
      </w:r>
      <w:r w:rsidR="001440E4" w:rsidRPr="001A7DCD">
        <w:t xml:space="preserve">as being satisfied when, for example, UK Company ‘A’ pays its overseas subsidiary ‘B’ for products or services procured through the commission of gross or serious human rights abuses, where ‘A’ knew (or reasonably believed) that the products or services had been procured through the commission of such abuses. </w:t>
      </w:r>
    </w:p>
    <w:p w14:paraId="663742C4" w14:textId="77777777" w:rsidR="00806CF8" w:rsidRPr="001A7DCD" w:rsidRDefault="001440E4" w:rsidP="005A4B4D">
      <w:pPr>
        <w:pStyle w:val="ListParagraph"/>
        <w:numPr>
          <w:ilvl w:val="0"/>
          <w:numId w:val="23"/>
        </w:numPr>
        <w:spacing w:after="0" w:line="240" w:lineRule="auto"/>
        <w:jc w:val="both"/>
      </w:pPr>
      <w:r w:rsidRPr="001A7DCD">
        <w:t xml:space="preserve">The </w:t>
      </w:r>
      <w:r w:rsidR="00A62999" w:rsidRPr="001A7DCD">
        <w:t xml:space="preserve">logic is that in many cases there is a </w:t>
      </w:r>
      <w:r w:rsidRPr="001A7DCD">
        <w:t xml:space="preserve">profit motive behind a company’s acceptance of goods or services procured through human rights abuses. The delivery of such goods or services procured in this way must inevitably be considered as ‘improper performance’ under the terms of the Act. </w:t>
      </w:r>
    </w:p>
    <w:p w14:paraId="71095282" w14:textId="3B7E447F" w:rsidR="001440E4" w:rsidRPr="001A7DCD" w:rsidRDefault="00A62999" w:rsidP="005A4B4D">
      <w:pPr>
        <w:pStyle w:val="ListParagraph"/>
        <w:numPr>
          <w:ilvl w:val="0"/>
          <w:numId w:val="23"/>
        </w:numPr>
        <w:spacing w:after="0" w:line="240" w:lineRule="auto"/>
        <w:jc w:val="both"/>
        <w:rPr>
          <w:b/>
        </w:rPr>
      </w:pPr>
      <w:r w:rsidRPr="001A7DCD">
        <w:rPr>
          <w:b/>
        </w:rPr>
        <w:t>This option would require t</w:t>
      </w:r>
      <w:r w:rsidR="001440E4" w:rsidRPr="001A7DCD">
        <w:rPr>
          <w:b/>
        </w:rPr>
        <w:t>he Serious Fraud Office (who would ordinarily be the relevant prosecuting authority under the Act for large scale or interna</w:t>
      </w:r>
      <w:r w:rsidRPr="001A7DCD">
        <w:rPr>
          <w:b/>
        </w:rPr>
        <w:t xml:space="preserve">tional cases) </w:t>
      </w:r>
      <w:r w:rsidR="001440E4" w:rsidRPr="001A7DCD">
        <w:rPr>
          <w:b/>
        </w:rPr>
        <w:t>to issue guidance on interpreting ‘improper performance’ under the B</w:t>
      </w:r>
      <w:r w:rsidR="00960E10" w:rsidRPr="001A7DCD">
        <w:rPr>
          <w:b/>
        </w:rPr>
        <w:t xml:space="preserve">ribery </w:t>
      </w:r>
      <w:r w:rsidR="001440E4" w:rsidRPr="001A7DCD">
        <w:rPr>
          <w:b/>
        </w:rPr>
        <w:t>A</w:t>
      </w:r>
      <w:r w:rsidR="00960E10" w:rsidRPr="001A7DCD">
        <w:rPr>
          <w:b/>
        </w:rPr>
        <w:t>ct</w:t>
      </w:r>
      <w:r w:rsidR="001440E4" w:rsidRPr="001A7DCD">
        <w:rPr>
          <w:b/>
        </w:rPr>
        <w:t xml:space="preserve"> </w:t>
      </w:r>
      <w:r w:rsidRPr="001A7DCD">
        <w:rPr>
          <w:b/>
        </w:rPr>
        <w:t xml:space="preserve">or its successor </w:t>
      </w:r>
      <w:r w:rsidR="001440E4" w:rsidRPr="001A7DCD">
        <w:rPr>
          <w:b/>
        </w:rPr>
        <w:t>in this way</w:t>
      </w:r>
      <w:r w:rsidR="003C33EF">
        <w:rPr>
          <w:b/>
        </w:rPr>
        <w:t>. It was also require resources to enable investigations and prosecutions</w:t>
      </w:r>
      <w:r w:rsidR="001440E4" w:rsidRPr="001A7DCD">
        <w:rPr>
          <w:b/>
        </w:rPr>
        <w:t>.</w:t>
      </w:r>
    </w:p>
    <w:p w14:paraId="347BB9B9" w14:textId="77777777" w:rsidR="009654C6" w:rsidRDefault="009654C6" w:rsidP="005A4B4D">
      <w:pPr>
        <w:spacing w:after="0" w:line="240" w:lineRule="auto"/>
        <w:jc w:val="both"/>
        <w:rPr>
          <w:b/>
        </w:rPr>
      </w:pPr>
    </w:p>
    <w:p w14:paraId="0DAF485B" w14:textId="77777777" w:rsidR="00806CF8" w:rsidRPr="001A7DCD" w:rsidRDefault="00806CF8" w:rsidP="005A4B4D">
      <w:pPr>
        <w:spacing w:after="0" w:line="240" w:lineRule="auto"/>
        <w:jc w:val="both"/>
        <w:rPr>
          <w:b/>
        </w:rPr>
      </w:pPr>
      <w:r w:rsidRPr="001A7DCD">
        <w:rPr>
          <w:b/>
        </w:rPr>
        <w:t>Provision for victims under criminal law recommendations</w:t>
      </w:r>
    </w:p>
    <w:p w14:paraId="187779BE" w14:textId="78FDE8E3" w:rsidR="001440E4" w:rsidRDefault="001440E4" w:rsidP="005A4B4D">
      <w:pPr>
        <w:pStyle w:val="ListParagraph"/>
        <w:numPr>
          <w:ilvl w:val="0"/>
          <w:numId w:val="31"/>
        </w:numPr>
        <w:spacing w:after="0" w:line="240" w:lineRule="auto"/>
        <w:jc w:val="both"/>
      </w:pPr>
      <w:r w:rsidRPr="001A7DCD">
        <w:t>Whichever of</w:t>
      </w:r>
      <w:r w:rsidR="00C11160" w:rsidRPr="001A7DCD">
        <w:t xml:space="preserve"> recommendation</w:t>
      </w:r>
      <w:r w:rsidRPr="001A7DCD">
        <w:t xml:space="preserve"> is adopted, a further component for vic</w:t>
      </w:r>
      <w:r w:rsidR="00E60EE6" w:rsidRPr="001A7DCD">
        <w:t xml:space="preserve">tims </w:t>
      </w:r>
      <w:r w:rsidR="003D289D" w:rsidRPr="001A7DCD">
        <w:t xml:space="preserve">would need to </w:t>
      </w:r>
      <w:r w:rsidR="00E60EE6" w:rsidRPr="001A7DCD">
        <w:t>be included</w:t>
      </w:r>
      <w:r w:rsidRPr="001A7DCD">
        <w:t xml:space="preserve">.  A provision similar to the requirement for a Court to prioritise compensation to the victim over a fine where the convicted company has insufficient means to pay both, as is currently the case under section 8(6) of the Modern Slavery Act 2015, could be inserted into </w:t>
      </w:r>
      <w:r w:rsidR="00810C30" w:rsidRPr="001A7DCD">
        <w:t>any</w:t>
      </w:r>
      <w:r w:rsidR="003D289D" w:rsidRPr="001A7DCD">
        <w:t xml:space="preserve"> legislation. </w:t>
      </w:r>
    </w:p>
    <w:p w14:paraId="0990ACED" w14:textId="77777777" w:rsidR="009654C6" w:rsidRDefault="009654C6" w:rsidP="009654C6">
      <w:pPr>
        <w:spacing w:after="0" w:line="240" w:lineRule="auto"/>
        <w:ind w:left="360"/>
        <w:jc w:val="both"/>
      </w:pPr>
    </w:p>
    <w:p w14:paraId="30649981" w14:textId="77777777" w:rsidR="009654C6" w:rsidRDefault="009654C6" w:rsidP="009654C6">
      <w:pPr>
        <w:spacing w:after="0" w:line="240" w:lineRule="auto"/>
        <w:ind w:left="360"/>
        <w:jc w:val="both"/>
      </w:pPr>
    </w:p>
    <w:p w14:paraId="1E61C43B" w14:textId="77777777" w:rsidR="009654C6" w:rsidRPr="001A7DCD" w:rsidRDefault="009654C6" w:rsidP="009654C6">
      <w:pPr>
        <w:spacing w:after="0" w:line="240" w:lineRule="auto"/>
        <w:ind w:left="360"/>
        <w:jc w:val="both"/>
      </w:pPr>
    </w:p>
    <w:p w14:paraId="3A8627B8" w14:textId="77777777" w:rsidR="00CD493C" w:rsidRPr="001A7DCD" w:rsidRDefault="00806CF8" w:rsidP="005A4B4D">
      <w:pPr>
        <w:pBdr>
          <w:top w:val="single" w:sz="4" w:space="1" w:color="auto"/>
          <w:left w:val="single" w:sz="4" w:space="4" w:color="auto"/>
          <w:bottom w:val="single" w:sz="4" w:space="1" w:color="auto"/>
          <w:right w:val="single" w:sz="4" w:space="4" w:color="auto"/>
        </w:pBdr>
        <w:spacing w:after="0" w:line="240" w:lineRule="auto"/>
        <w:jc w:val="both"/>
        <w:rPr>
          <w:b/>
          <w:i/>
        </w:rPr>
      </w:pPr>
      <w:r w:rsidRPr="001A7DCD">
        <w:rPr>
          <w:b/>
          <w:i/>
        </w:rPr>
        <w:t>Recommendation</w:t>
      </w:r>
      <w:r w:rsidR="00EA5F99" w:rsidRPr="001A7DCD">
        <w:rPr>
          <w:b/>
          <w:i/>
        </w:rPr>
        <w:t xml:space="preserve"> 2: </w:t>
      </w:r>
      <w:r w:rsidR="00B14568" w:rsidRPr="001A7DCD">
        <w:rPr>
          <w:b/>
          <w:i/>
        </w:rPr>
        <w:t xml:space="preserve"> Amending existing statues on </w:t>
      </w:r>
      <w:r w:rsidR="00CD493C" w:rsidRPr="001A7DCD">
        <w:rPr>
          <w:b/>
          <w:i/>
        </w:rPr>
        <w:t>inter</w:t>
      </w:r>
      <w:r w:rsidR="00B14568" w:rsidRPr="001A7DCD">
        <w:rPr>
          <w:b/>
          <w:i/>
        </w:rPr>
        <w:t>national crimes</w:t>
      </w:r>
    </w:p>
    <w:p w14:paraId="06C50137" w14:textId="77777777" w:rsidR="009654C6" w:rsidRDefault="009654C6" w:rsidP="009654C6">
      <w:pPr>
        <w:pStyle w:val="ListParagraph"/>
        <w:spacing w:after="0" w:line="240" w:lineRule="auto"/>
        <w:jc w:val="both"/>
      </w:pPr>
    </w:p>
    <w:p w14:paraId="47AE9270" w14:textId="32D21AE4" w:rsidR="00375597" w:rsidRPr="001A7DCD" w:rsidRDefault="00CD493C" w:rsidP="005A4B4D">
      <w:pPr>
        <w:pStyle w:val="ListParagraph"/>
        <w:numPr>
          <w:ilvl w:val="0"/>
          <w:numId w:val="24"/>
        </w:numPr>
        <w:spacing w:after="0" w:line="240" w:lineRule="auto"/>
        <w:jc w:val="both"/>
      </w:pPr>
      <w:r w:rsidRPr="001A7DCD">
        <w:t>The U</w:t>
      </w:r>
      <w:r w:rsidR="00375597" w:rsidRPr="001A7DCD">
        <w:t>K</w:t>
      </w:r>
      <w:r w:rsidRPr="001A7DCD">
        <w:t xml:space="preserve"> asserts extraterritorial jurisdiction for certain specific (international) criminal offences to which universal jurisdiction applies. </w:t>
      </w:r>
    </w:p>
    <w:p w14:paraId="0F34AF4D" w14:textId="77777777" w:rsidR="00375597" w:rsidRPr="001A7DCD" w:rsidRDefault="00CD493C" w:rsidP="005A4B4D">
      <w:pPr>
        <w:pStyle w:val="ListParagraph"/>
        <w:numPr>
          <w:ilvl w:val="0"/>
          <w:numId w:val="24"/>
        </w:numPr>
        <w:spacing w:after="0" w:line="240" w:lineRule="auto"/>
        <w:jc w:val="both"/>
      </w:pPr>
      <w:r w:rsidRPr="001A7DCD">
        <w:rPr>
          <w:i/>
        </w:rPr>
        <w:t>The International Criminal Court Act 2001 (ICCA)</w:t>
      </w:r>
      <w:r w:rsidRPr="001A7DCD">
        <w:t xml:space="preserve"> criminalises genocide, crimes against humanity, war crimes and ot</w:t>
      </w:r>
      <w:r w:rsidR="00375597" w:rsidRPr="001A7DCD">
        <w:t>her ‘ancillary conduct’.</w:t>
      </w:r>
      <w:r w:rsidRPr="001A7DCD">
        <w:t xml:space="preserve"> </w:t>
      </w:r>
      <w:r w:rsidR="00375597" w:rsidRPr="001A7DCD">
        <w:t xml:space="preserve">The Act </w:t>
      </w:r>
      <w:r w:rsidRPr="001A7DCD">
        <w:t xml:space="preserve">applies extraterritorially to UK nationals, UK residents or to persons subject </w:t>
      </w:r>
      <w:r w:rsidR="00B341CC" w:rsidRPr="001A7DCD">
        <w:t xml:space="preserve">to UK service jurisdiction. </w:t>
      </w:r>
    </w:p>
    <w:p w14:paraId="7335E3ED" w14:textId="77777777" w:rsidR="00375597" w:rsidRPr="001A7DCD" w:rsidRDefault="00B341CC" w:rsidP="005A4B4D">
      <w:pPr>
        <w:pStyle w:val="ListParagraph"/>
        <w:numPr>
          <w:ilvl w:val="0"/>
          <w:numId w:val="24"/>
        </w:numPr>
        <w:spacing w:after="0" w:line="240" w:lineRule="auto"/>
        <w:jc w:val="both"/>
      </w:pPr>
      <w:r w:rsidRPr="001A7DCD">
        <w:t>T</w:t>
      </w:r>
      <w:r w:rsidR="00CD493C" w:rsidRPr="001A7DCD">
        <w:t xml:space="preserve">his statute could apply to UK-based companies that aid and abet, or procure, genocide, a crime against humanity or a war crime committed by another, such as their subsidiary or supplier. </w:t>
      </w:r>
    </w:p>
    <w:p w14:paraId="7575FBD2" w14:textId="77777777" w:rsidR="00375597" w:rsidRPr="001A7DCD" w:rsidRDefault="00CD493C" w:rsidP="005A4B4D">
      <w:pPr>
        <w:pStyle w:val="ListParagraph"/>
        <w:numPr>
          <w:ilvl w:val="0"/>
          <w:numId w:val="24"/>
        </w:numPr>
        <w:spacing w:after="0" w:line="240" w:lineRule="auto"/>
        <w:jc w:val="both"/>
      </w:pPr>
      <w:r w:rsidRPr="001A7DCD">
        <w:rPr>
          <w:i/>
        </w:rPr>
        <w:t>The Geneva Conventions Act 1957 (GCA)</w:t>
      </w:r>
      <w:r w:rsidRPr="001A7DCD">
        <w:t xml:space="preserve"> criminalises the commission, or aiding, abetting or procuring of a grave breach of the Geneva Conventions, specific violations of the Conventions</w:t>
      </w:r>
      <w:r w:rsidR="00375597" w:rsidRPr="001A7DCD">
        <w:t xml:space="preserve"> during war time.</w:t>
      </w:r>
    </w:p>
    <w:p w14:paraId="4A4AA9E4" w14:textId="77777777" w:rsidR="00375597" w:rsidRPr="001A7DCD" w:rsidRDefault="00B341CC" w:rsidP="005A4B4D">
      <w:pPr>
        <w:pStyle w:val="ListParagraph"/>
        <w:numPr>
          <w:ilvl w:val="0"/>
          <w:numId w:val="24"/>
        </w:numPr>
        <w:spacing w:after="0" w:line="240" w:lineRule="auto"/>
        <w:jc w:val="both"/>
      </w:pPr>
      <w:r w:rsidRPr="001A7DCD">
        <w:t>T</w:t>
      </w:r>
      <w:r w:rsidR="00CD493C" w:rsidRPr="001A7DCD">
        <w:t xml:space="preserve">his statute could apply to UK-based companies that aid and abet, or procure, a grave breach committed by another, such as their subsidiary or supplier. </w:t>
      </w:r>
    </w:p>
    <w:p w14:paraId="2D645A62" w14:textId="77777777" w:rsidR="00BF5248" w:rsidRPr="001A7DCD" w:rsidRDefault="00375597" w:rsidP="005A4B4D">
      <w:pPr>
        <w:pStyle w:val="ListParagraph"/>
        <w:numPr>
          <w:ilvl w:val="0"/>
          <w:numId w:val="24"/>
        </w:numPr>
        <w:spacing w:after="0" w:line="240" w:lineRule="auto"/>
        <w:jc w:val="both"/>
        <w:rPr>
          <w:b/>
        </w:rPr>
      </w:pPr>
      <w:r w:rsidRPr="001A7DCD">
        <w:rPr>
          <w:b/>
        </w:rPr>
        <w:t>In either statute a</w:t>
      </w:r>
      <w:r w:rsidR="00B14568" w:rsidRPr="001A7DCD">
        <w:rPr>
          <w:b/>
        </w:rPr>
        <w:t>n amendment would be required to insert an alternative to imprisonment for corporate defendants</w:t>
      </w:r>
      <w:r w:rsidRPr="001A7DCD">
        <w:rPr>
          <w:b/>
        </w:rPr>
        <w:t>. This would</w:t>
      </w:r>
      <w:r w:rsidR="00B14568" w:rsidRPr="001A7DCD">
        <w:rPr>
          <w:b/>
        </w:rPr>
        <w:t xml:space="preserve"> allow companies to be prosecuted under these statutes.</w:t>
      </w:r>
      <w:r w:rsidR="00B341CC" w:rsidRPr="001A7DCD">
        <w:rPr>
          <w:b/>
        </w:rPr>
        <w:t xml:space="preserve"> </w:t>
      </w:r>
    </w:p>
    <w:p w14:paraId="27B1C129" w14:textId="77777777" w:rsidR="009654C6" w:rsidRDefault="009654C6" w:rsidP="005A4B4D">
      <w:pPr>
        <w:spacing w:after="0" w:line="240" w:lineRule="auto"/>
        <w:jc w:val="both"/>
        <w:rPr>
          <w:b/>
        </w:rPr>
      </w:pPr>
    </w:p>
    <w:p w14:paraId="7DEC312C" w14:textId="77777777" w:rsidR="00D537FA" w:rsidRPr="001A1F87" w:rsidRDefault="00D537FA" w:rsidP="005A4B4D">
      <w:pPr>
        <w:spacing w:after="0" w:line="240" w:lineRule="auto"/>
        <w:jc w:val="both"/>
        <w:rPr>
          <w:b/>
          <w:sz w:val="28"/>
          <w:szCs w:val="28"/>
        </w:rPr>
      </w:pPr>
      <w:r w:rsidRPr="001A1F87">
        <w:rPr>
          <w:b/>
          <w:sz w:val="28"/>
          <w:szCs w:val="28"/>
        </w:rPr>
        <w:t>Policy Options relating to civil law</w:t>
      </w:r>
    </w:p>
    <w:p w14:paraId="3EC781A2" w14:textId="77777777" w:rsidR="009654C6" w:rsidRDefault="009654C6" w:rsidP="005A4B4D">
      <w:pPr>
        <w:spacing w:after="0" w:line="240" w:lineRule="auto"/>
        <w:jc w:val="both"/>
      </w:pPr>
    </w:p>
    <w:p w14:paraId="0A88F10D" w14:textId="77777777" w:rsidR="00D95C3E" w:rsidRDefault="00AB7C15" w:rsidP="005A4B4D">
      <w:pPr>
        <w:spacing w:after="0" w:line="240" w:lineRule="auto"/>
        <w:jc w:val="both"/>
      </w:pPr>
      <w:r w:rsidRPr="001A7DCD">
        <w:t>Access to civil law remedies are particularly importa</w:t>
      </w:r>
      <w:r w:rsidR="00914A25">
        <w:t>nt for victims in that they can</w:t>
      </w:r>
      <w:r w:rsidRPr="001A7DCD">
        <w:t xml:space="preserve"> receive compensation for the harm suffered and the high cost of defending such actions and paying any fines </w:t>
      </w:r>
      <w:r w:rsidR="00914A25">
        <w:t xml:space="preserve">can be </w:t>
      </w:r>
      <w:r w:rsidRPr="001A7DCD">
        <w:t xml:space="preserve">a strong incentive for companies to improve their conduct. </w:t>
      </w:r>
      <w:r w:rsidR="00837671" w:rsidRPr="001A7DCD">
        <w:t>The barriers to victims pursuing civil cases in relation to an alleged human rights abuse by a company are largely administrative and financial, rather than substantive. It is possible to bring cases under tort law, for example for negligence by a parent company and a handful of cases have reached out of court settlement in this way.</w:t>
      </w:r>
      <w:r w:rsidR="00E41934">
        <w:t xml:space="preserve"> </w:t>
      </w:r>
    </w:p>
    <w:p w14:paraId="4C688716" w14:textId="77777777" w:rsidR="00D95C3E" w:rsidRDefault="00D95C3E" w:rsidP="005A4B4D">
      <w:pPr>
        <w:spacing w:after="0" w:line="240" w:lineRule="auto"/>
        <w:jc w:val="both"/>
      </w:pPr>
    </w:p>
    <w:p w14:paraId="242FE753" w14:textId="42944003" w:rsidR="002C5C97" w:rsidRPr="001A7DCD" w:rsidRDefault="00837671" w:rsidP="005A4B4D">
      <w:pPr>
        <w:spacing w:after="0" w:line="240" w:lineRule="auto"/>
        <w:jc w:val="both"/>
      </w:pPr>
      <w:r w:rsidRPr="001A7DCD">
        <w:t>However these ar</w:t>
      </w:r>
      <w:r w:rsidR="00006FFA" w:rsidRPr="001A7DCD">
        <w:t>e few and far between</w:t>
      </w:r>
      <w:r w:rsidR="002C5C97" w:rsidRPr="001A7DCD">
        <w:t xml:space="preserve"> and a number of factors are conspiring to make them harder to bring.</w:t>
      </w:r>
    </w:p>
    <w:p w14:paraId="4EA5808D" w14:textId="4D235181" w:rsidR="002C5C97" w:rsidRPr="001A7DCD" w:rsidRDefault="002C5C97" w:rsidP="005A4B4D">
      <w:pPr>
        <w:pStyle w:val="ListParagraph"/>
        <w:numPr>
          <w:ilvl w:val="0"/>
          <w:numId w:val="33"/>
        </w:numPr>
        <w:spacing w:after="0" w:line="240" w:lineRule="auto"/>
        <w:jc w:val="both"/>
      </w:pPr>
      <w:r w:rsidRPr="001A7DCD">
        <w:t>There are</w:t>
      </w:r>
      <w:r w:rsidR="00006FFA" w:rsidRPr="001A7DCD">
        <w:t xml:space="preserve"> very few law firms whose structure allows them to pursue these types of cases. The nature, scale and complexity of these cases</w:t>
      </w:r>
      <w:r w:rsidR="00E71CEC" w:rsidRPr="001A7DCD">
        <w:t xml:space="preserve"> </w:t>
      </w:r>
      <w:r w:rsidR="00397B81" w:rsidRPr="001A7DCD">
        <w:t xml:space="preserve">means they are expensive to </w:t>
      </w:r>
      <w:r w:rsidR="00D85A0A" w:rsidRPr="001A7DCD">
        <w:t xml:space="preserve">investigate and </w:t>
      </w:r>
      <w:r w:rsidRPr="001A7DCD">
        <w:t>litigate while the claimant are likely to have severely limited resources and</w:t>
      </w:r>
      <w:r w:rsidR="00E41934">
        <w:t xml:space="preserve"> may</w:t>
      </w:r>
      <w:r w:rsidRPr="001A7DCD">
        <w:t xml:space="preserve"> have no other way of accessing legal remedy.</w:t>
      </w:r>
    </w:p>
    <w:p w14:paraId="0645927F" w14:textId="6843F35F" w:rsidR="002C5C97" w:rsidRPr="001A7DCD" w:rsidRDefault="002C5C97" w:rsidP="005A4B4D">
      <w:pPr>
        <w:pStyle w:val="ListParagraph"/>
        <w:numPr>
          <w:ilvl w:val="0"/>
          <w:numId w:val="33"/>
        </w:numPr>
        <w:spacing w:after="0" w:line="240" w:lineRule="auto"/>
        <w:jc w:val="both"/>
      </w:pPr>
      <w:r w:rsidRPr="001A7DCD">
        <w:t xml:space="preserve">The stricter </w:t>
      </w:r>
      <w:r w:rsidR="00397B81" w:rsidRPr="001A7DCD">
        <w:t xml:space="preserve">LASPO </w:t>
      </w:r>
      <w:r w:rsidRPr="001A7DCD">
        <w:t xml:space="preserve">proportionality test </w:t>
      </w:r>
      <w:r w:rsidR="00E41934">
        <w:t xml:space="preserve">and lack of clarity regarding its interpretation </w:t>
      </w:r>
      <w:r w:rsidRPr="001A7DCD">
        <w:t xml:space="preserve">has made firms more reluctant to take on cases which may have a strong public interest </w:t>
      </w:r>
      <w:r w:rsidR="00E41934">
        <w:t>aspect to them, but which</w:t>
      </w:r>
      <w:r w:rsidRPr="001A7DCD">
        <w:t xml:space="preserve"> they fear </w:t>
      </w:r>
      <w:r w:rsidR="00E41934">
        <w:t>may</w:t>
      </w:r>
      <w:r w:rsidRPr="001A7DCD">
        <w:t xml:space="preserve"> fail the proportionality test. This means that important cases that </w:t>
      </w:r>
      <w:r w:rsidR="00E41934">
        <w:t>could</w:t>
      </w:r>
      <w:r w:rsidR="0007777C">
        <w:t xml:space="preserve"> set a precedent, </w:t>
      </w:r>
      <w:r w:rsidRPr="001A7DCD">
        <w:t xml:space="preserve">have an important impact on corporate accountability or might provide redress to victims with no other options, </w:t>
      </w:r>
      <w:r w:rsidR="00E41934">
        <w:t>may not be</w:t>
      </w:r>
      <w:r w:rsidRPr="001A7DCD">
        <w:t xml:space="preserve"> brought. </w:t>
      </w:r>
    </w:p>
    <w:p w14:paraId="0875675D" w14:textId="513B7C6F" w:rsidR="002C5C97" w:rsidRPr="001A7DCD" w:rsidRDefault="002C5C97" w:rsidP="005A4B4D">
      <w:pPr>
        <w:pStyle w:val="ListParagraph"/>
        <w:numPr>
          <w:ilvl w:val="0"/>
          <w:numId w:val="33"/>
        </w:numPr>
        <w:spacing w:after="0" w:line="240" w:lineRule="auto"/>
        <w:jc w:val="both"/>
      </w:pPr>
      <w:r w:rsidRPr="001A7DCD">
        <w:t>Changes to the cost system have</w:t>
      </w:r>
      <w:r w:rsidR="00E41934">
        <w:t xml:space="preserve"> made funding </w:t>
      </w:r>
      <w:r w:rsidR="00D95C3E">
        <w:t xml:space="preserve">these complex </w:t>
      </w:r>
      <w:r w:rsidR="00397B81" w:rsidRPr="001A7DCD">
        <w:t xml:space="preserve">cases more </w:t>
      </w:r>
      <w:r w:rsidR="00E41934">
        <w:t>difficult</w:t>
      </w:r>
      <w:r w:rsidR="00397B81" w:rsidRPr="001A7DCD">
        <w:t>. Damages must now be assessed in accordance with the law and procedure of the country where the ha</w:t>
      </w:r>
      <w:r w:rsidR="00D95C3E">
        <w:t>rm occurred</w:t>
      </w:r>
      <w:r w:rsidR="00397B81" w:rsidRPr="001A7DCD">
        <w:t xml:space="preserve">, plus success fees have to be deducted from the claimants’ damages and cannot be more than 25% of the total. The Jackson reforms </w:t>
      </w:r>
      <w:r w:rsidR="002B5C5C" w:rsidRPr="001A7DCD">
        <w:t xml:space="preserve">(2013) </w:t>
      </w:r>
      <w:r w:rsidR="00397B81" w:rsidRPr="001A7DCD">
        <w:t>have meant that the financial risk borne by the claimants, for which they can take out ‘After the event insurance’</w:t>
      </w:r>
      <w:r w:rsidR="00C36EE0" w:rsidRPr="001A7DCD">
        <w:t>, is no</w:t>
      </w:r>
      <w:r w:rsidR="00397B81" w:rsidRPr="001A7DCD">
        <w:t xml:space="preserve"> longer recoverable from the losing party, except in personal injury cases. </w:t>
      </w:r>
    </w:p>
    <w:p w14:paraId="6F4DCF9A" w14:textId="761FC7AA" w:rsidR="0044574D" w:rsidRPr="001A7DCD" w:rsidRDefault="00C36EE0" w:rsidP="0044574D">
      <w:pPr>
        <w:pStyle w:val="ListParagraph"/>
        <w:numPr>
          <w:ilvl w:val="0"/>
          <w:numId w:val="33"/>
        </w:numPr>
        <w:spacing w:after="0" w:line="240" w:lineRule="auto"/>
        <w:jc w:val="both"/>
      </w:pPr>
      <w:r w:rsidRPr="001A7DCD">
        <w:t xml:space="preserve">Lawyers acting on a no win no fee/contingency basis </w:t>
      </w:r>
      <w:r w:rsidR="00E41934">
        <w:t xml:space="preserve">therefore </w:t>
      </w:r>
      <w:r w:rsidRPr="001A7DCD">
        <w:t xml:space="preserve">face huge financial risks and </w:t>
      </w:r>
      <w:r w:rsidR="002B5C5C" w:rsidRPr="001A7DCD">
        <w:t xml:space="preserve">may </w:t>
      </w:r>
      <w:r w:rsidR="002C5C97" w:rsidRPr="001A7DCD">
        <w:t xml:space="preserve">now </w:t>
      </w:r>
      <w:r w:rsidR="002B5C5C" w:rsidRPr="001A7DCD">
        <w:t>be forced not to take on cases that have merit, because they</w:t>
      </w:r>
      <w:r w:rsidR="00D95C3E">
        <w:t xml:space="preserve"> are concerned about proportionality, </w:t>
      </w:r>
      <w:r w:rsidR="002B5C5C" w:rsidRPr="001A7DCD">
        <w:t>cannot cover their costs, or</w:t>
      </w:r>
      <w:r w:rsidR="00D95C3E">
        <w:t xml:space="preserve"> may prefer to</w:t>
      </w:r>
      <w:r w:rsidR="002B5C5C" w:rsidRPr="001A7DCD">
        <w:t xml:space="preserve"> favour cases that are likely to deliver </w:t>
      </w:r>
      <w:r w:rsidRPr="001A7DCD">
        <w:t>higher overall damages</w:t>
      </w:r>
      <w:r w:rsidR="002B5C5C" w:rsidRPr="001A7DCD">
        <w:t xml:space="preserve">. </w:t>
      </w:r>
      <w:r w:rsidR="00397B81" w:rsidRPr="001A7DCD">
        <w:t xml:space="preserve">Some firms are now relying on public donations to bring </w:t>
      </w:r>
      <w:r w:rsidR="00E41934">
        <w:t>cases.</w:t>
      </w:r>
    </w:p>
    <w:p w14:paraId="1F0B822E" w14:textId="6AC63003" w:rsidR="005F37A9" w:rsidRPr="001A7DCD" w:rsidRDefault="005F37A9" w:rsidP="005A4B4D">
      <w:pPr>
        <w:pBdr>
          <w:top w:val="single" w:sz="4" w:space="1" w:color="auto"/>
          <w:left w:val="single" w:sz="4" w:space="4" w:color="auto"/>
          <w:bottom w:val="single" w:sz="4" w:space="1" w:color="auto"/>
          <w:right w:val="single" w:sz="4" w:space="4" w:color="auto"/>
        </w:pBdr>
        <w:spacing w:after="0" w:line="240" w:lineRule="auto"/>
        <w:jc w:val="both"/>
        <w:rPr>
          <w:b/>
          <w:i/>
        </w:rPr>
      </w:pPr>
      <w:r w:rsidRPr="001A7DCD">
        <w:rPr>
          <w:b/>
          <w:i/>
        </w:rPr>
        <w:lastRenderedPageBreak/>
        <w:t xml:space="preserve">Recommendation 3: </w:t>
      </w:r>
      <w:r w:rsidR="002D4A37" w:rsidRPr="001A7DCD">
        <w:rPr>
          <w:b/>
          <w:i/>
        </w:rPr>
        <w:t>Provide guidance regarding proportionality</w:t>
      </w:r>
    </w:p>
    <w:p w14:paraId="0C76A5E9" w14:textId="77777777" w:rsidR="009654C6" w:rsidRDefault="009654C6" w:rsidP="005A4B4D">
      <w:pPr>
        <w:spacing w:after="0" w:line="240" w:lineRule="auto"/>
        <w:jc w:val="both"/>
      </w:pPr>
    </w:p>
    <w:p w14:paraId="42F9CE0F" w14:textId="6E1A77D8" w:rsidR="005F37A9" w:rsidRDefault="005F37A9" w:rsidP="005A4B4D">
      <w:pPr>
        <w:spacing w:after="0" w:line="240" w:lineRule="auto"/>
        <w:jc w:val="both"/>
      </w:pPr>
      <w:r w:rsidRPr="001A7DCD">
        <w:t>Provide guidance on the application of the LASPO proportionality test in complex cases involving serious harm</w:t>
      </w:r>
      <w:r w:rsidR="00CC6F3E">
        <w:t xml:space="preserve"> overseas</w:t>
      </w:r>
      <w:r w:rsidRPr="001A7DCD">
        <w:t xml:space="preserve"> in which the costs incurred are likely to exceed the value of the claim, but where there are wider </w:t>
      </w:r>
      <w:r w:rsidR="00234438">
        <w:t>public interest issues at stake.</w:t>
      </w:r>
    </w:p>
    <w:p w14:paraId="4ECC5AE5" w14:textId="77777777" w:rsidR="009654C6" w:rsidRPr="001A7DCD" w:rsidRDefault="009654C6" w:rsidP="005A4B4D">
      <w:pPr>
        <w:spacing w:after="0" w:line="240" w:lineRule="auto"/>
        <w:jc w:val="both"/>
        <w:rPr>
          <w:b/>
          <w:i/>
        </w:rPr>
      </w:pPr>
    </w:p>
    <w:p w14:paraId="032BA51F" w14:textId="37944060" w:rsidR="00006FFA" w:rsidRPr="001A7DCD" w:rsidRDefault="00C36EE0" w:rsidP="005A4B4D">
      <w:pPr>
        <w:pBdr>
          <w:top w:val="single" w:sz="4" w:space="1" w:color="auto"/>
          <w:left w:val="single" w:sz="4" w:space="4" w:color="auto"/>
          <w:bottom w:val="single" w:sz="4" w:space="1" w:color="auto"/>
          <w:right w:val="single" w:sz="4" w:space="4" w:color="auto"/>
        </w:pBdr>
        <w:spacing w:after="0" w:line="240" w:lineRule="auto"/>
        <w:jc w:val="both"/>
        <w:rPr>
          <w:b/>
          <w:i/>
        </w:rPr>
      </w:pPr>
      <w:r w:rsidRPr="001A7DCD">
        <w:rPr>
          <w:b/>
          <w:i/>
        </w:rPr>
        <w:t xml:space="preserve">Recommendation </w:t>
      </w:r>
      <w:r w:rsidR="00AB2F23" w:rsidRPr="001A7DCD">
        <w:rPr>
          <w:b/>
          <w:i/>
        </w:rPr>
        <w:t>4</w:t>
      </w:r>
      <w:r w:rsidR="00837671" w:rsidRPr="001A7DCD">
        <w:rPr>
          <w:b/>
          <w:i/>
        </w:rPr>
        <w:t xml:space="preserve">: </w:t>
      </w:r>
      <w:r w:rsidR="00006FFA" w:rsidRPr="001A7DCD">
        <w:rPr>
          <w:b/>
          <w:i/>
        </w:rPr>
        <w:t xml:space="preserve">Limit </w:t>
      </w:r>
      <w:r w:rsidR="00E7567A" w:rsidRPr="001A7DCD">
        <w:rPr>
          <w:b/>
          <w:i/>
        </w:rPr>
        <w:t>financial risk taken by victims</w:t>
      </w:r>
    </w:p>
    <w:p w14:paraId="10C7DAB6" w14:textId="77777777" w:rsidR="009654C6" w:rsidRDefault="009654C6" w:rsidP="005A4B4D">
      <w:pPr>
        <w:spacing w:after="0" w:line="240" w:lineRule="auto"/>
        <w:jc w:val="both"/>
      </w:pPr>
    </w:p>
    <w:p w14:paraId="3C6A4458" w14:textId="4BEE027D" w:rsidR="00E7567A" w:rsidRPr="001A7DCD" w:rsidRDefault="00E7567A" w:rsidP="005A4B4D">
      <w:pPr>
        <w:spacing w:after="0" w:line="240" w:lineRule="auto"/>
        <w:jc w:val="both"/>
      </w:pPr>
      <w:r w:rsidRPr="001A7DCD">
        <w:t>Although</w:t>
      </w:r>
      <w:r w:rsidR="00006FFA" w:rsidRPr="001A7DCD">
        <w:t xml:space="preserve"> it may not be possible to argue for full public finding for such cases it could be poss</w:t>
      </w:r>
      <w:r w:rsidRPr="001A7DCD">
        <w:t>ible to limit the fina</w:t>
      </w:r>
      <w:r w:rsidR="00AB2F23" w:rsidRPr="001A7DCD">
        <w:t>ncial risk taken by the victims</w:t>
      </w:r>
      <w:r w:rsidRPr="001A7DCD">
        <w:t xml:space="preserve"> thereby making </w:t>
      </w:r>
      <w:r w:rsidR="00E71CEC" w:rsidRPr="001A7DCD">
        <w:t xml:space="preserve">a wider range of </w:t>
      </w:r>
      <w:r w:rsidRPr="001A7DCD">
        <w:t>cases more viable.</w:t>
      </w:r>
      <w:r w:rsidR="00E12D0D" w:rsidRPr="001A7DCD">
        <w:t xml:space="preserve"> There are a number of ways this could be achieved:</w:t>
      </w:r>
    </w:p>
    <w:p w14:paraId="53CCB2A5" w14:textId="74F454D0" w:rsidR="00AF627F" w:rsidRPr="001A7DCD" w:rsidRDefault="00E12D0D" w:rsidP="005A4B4D">
      <w:pPr>
        <w:pStyle w:val="ListParagraph"/>
        <w:numPr>
          <w:ilvl w:val="0"/>
          <w:numId w:val="14"/>
        </w:numPr>
        <w:spacing w:after="0" w:line="240" w:lineRule="auto"/>
        <w:jc w:val="both"/>
        <w:rPr>
          <w:b/>
        </w:rPr>
      </w:pPr>
      <w:r w:rsidRPr="001A7DCD">
        <w:rPr>
          <w:b/>
        </w:rPr>
        <w:t xml:space="preserve">Extend QOWCS. </w:t>
      </w:r>
      <w:r w:rsidR="005B4028" w:rsidRPr="001A7DCD">
        <w:rPr>
          <w:b/>
        </w:rPr>
        <w:t>A system called ‘Qualified one-way cost shifting’ applies to personal injury</w:t>
      </w:r>
      <w:r w:rsidRPr="001A7DCD">
        <w:rPr>
          <w:b/>
        </w:rPr>
        <w:t xml:space="preserve"> claims, meaning that victims do not have to bear the defendant’s legal costs if they lose and they no longer have to obtain adverse costs insurance. </w:t>
      </w:r>
      <w:r w:rsidR="00837671" w:rsidRPr="001A7DCD">
        <w:rPr>
          <w:b/>
        </w:rPr>
        <w:t>QOWCS</w:t>
      </w:r>
      <w:r w:rsidRPr="001A7DCD">
        <w:rPr>
          <w:b/>
        </w:rPr>
        <w:t xml:space="preserve"> could be extended </w:t>
      </w:r>
      <w:r w:rsidR="00837671" w:rsidRPr="001A7DCD">
        <w:rPr>
          <w:b/>
        </w:rPr>
        <w:t>from personal injury cases to all relevant cases from overseas victims</w:t>
      </w:r>
      <w:r w:rsidRPr="001A7DCD">
        <w:rPr>
          <w:b/>
        </w:rPr>
        <w:t xml:space="preserve"> or to a wider range of </w:t>
      </w:r>
      <w:r w:rsidR="00AB2F23" w:rsidRPr="001A7DCD">
        <w:rPr>
          <w:b/>
        </w:rPr>
        <w:t xml:space="preserve">civil </w:t>
      </w:r>
      <w:r w:rsidRPr="001A7DCD">
        <w:rPr>
          <w:b/>
        </w:rPr>
        <w:t xml:space="preserve">cases </w:t>
      </w:r>
      <w:r w:rsidR="00AB2F23" w:rsidRPr="001A7DCD">
        <w:rPr>
          <w:b/>
        </w:rPr>
        <w:t>relating to human rights, public interest or environmental cases</w:t>
      </w:r>
      <w:r w:rsidRPr="001A7DCD">
        <w:rPr>
          <w:b/>
        </w:rPr>
        <w:t>.</w:t>
      </w:r>
    </w:p>
    <w:p w14:paraId="6EEE4A24" w14:textId="79178E23" w:rsidR="00E12D0D" w:rsidRDefault="00AF627F" w:rsidP="005A4B4D">
      <w:pPr>
        <w:pStyle w:val="ListParagraph"/>
        <w:numPr>
          <w:ilvl w:val="0"/>
          <w:numId w:val="14"/>
        </w:numPr>
        <w:spacing w:after="0" w:line="240" w:lineRule="auto"/>
        <w:jc w:val="both"/>
        <w:rPr>
          <w:b/>
        </w:rPr>
      </w:pPr>
      <w:r w:rsidRPr="001A7DCD">
        <w:rPr>
          <w:b/>
        </w:rPr>
        <w:t xml:space="preserve">In Judicial Review cases claimants can apply for </w:t>
      </w:r>
      <w:r w:rsidR="00BC5836" w:rsidRPr="001A7DCD">
        <w:rPr>
          <w:b/>
        </w:rPr>
        <w:t xml:space="preserve">Protective Cost Orders (PCOs) </w:t>
      </w:r>
      <w:r w:rsidRPr="001A7DCD">
        <w:rPr>
          <w:b/>
        </w:rPr>
        <w:t xml:space="preserve">which limits the </w:t>
      </w:r>
      <w:r w:rsidR="00233768" w:rsidRPr="001A7DCD">
        <w:rPr>
          <w:b/>
        </w:rPr>
        <w:t>claimants</w:t>
      </w:r>
      <w:r w:rsidR="00D87AE5" w:rsidRPr="001A7DCD">
        <w:rPr>
          <w:b/>
        </w:rPr>
        <w:t>’</w:t>
      </w:r>
      <w:r w:rsidRPr="001A7DCD">
        <w:rPr>
          <w:b/>
        </w:rPr>
        <w:t xml:space="preserve"> liability to pay the </w:t>
      </w:r>
      <w:r w:rsidR="00233768" w:rsidRPr="001A7DCD">
        <w:rPr>
          <w:b/>
        </w:rPr>
        <w:t>defendants</w:t>
      </w:r>
      <w:r w:rsidR="00D87AE5" w:rsidRPr="001A7DCD">
        <w:rPr>
          <w:b/>
        </w:rPr>
        <w:t xml:space="preserve"> legal fees should they lose</w:t>
      </w:r>
      <w:r w:rsidR="00BC5836" w:rsidRPr="001A7DCD">
        <w:rPr>
          <w:b/>
        </w:rPr>
        <w:t xml:space="preserve"> the case. </w:t>
      </w:r>
      <w:r w:rsidRPr="001A7DCD">
        <w:rPr>
          <w:b/>
        </w:rPr>
        <w:t>P</w:t>
      </w:r>
      <w:r w:rsidR="00BC5836" w:rsidRPr="001A7DCD">
        <w:rPr>
          <w:b/>
        </w:rPr>
        <w:t>C</w:t>
      </w:r>
      <w:r w:rsidRPr="001A7DCD">
        <w:rPr>
          <w:b/>
        </w:rPr>
        <w:t xml:space="preserve">Os are given in recognition that JRs are often public interest matters. </w:t>
      </w:r>
      <w:r w:rsidR="00D87AE5" w:rsidRPr="001A7DCD">
        <w:rPr>
          <w:b/>
        </w:rPr>
        <w:t>Th</w:t>
      </w:r>
      <w:r w:rsidR="00BC5836" w:rsidRPr="001A7DCD">
        <w:rPr>
          <w:b/>
        </w:rPr>
        <w:t xml:space="preserve">e use of </w:t>
      </w:r>
      <w:r w:rsidRPr="001A7DCD">
        <w:rPr>
          <w:b/>
        </w:rPr>
        <w:t>P</w:t>
      </w:r>
      <w:r w:rsidR="00BC5836" w:rsidRPr="001A7DCD">
        <w:rPr>
          <w:b/>
        </w:rPr>
        <w:t>C</w:t>
      </w:r>
      <w:r w:rsidRPr="001A7DCD">
        <w:rPr>
          <w:b/>
        </w:rPr>
        <w:t xml:space="preserve">Os </w:t>
      </w:r>
      <w:r w:rsidR="00D87AE5" w:rsidRPr="001A7DCD">
        <w:rPr>
          <w:b/>
        </w:rPr>
        <w:t xml:space="preserve">could be extended </w:t>
      </w:r>
      <w:r w:rsidRPr="001A7DCD">
        <w:rPr>
          <w:b/>
        </w:rPr>
        <w:t xml:space="preserve">to </w:t>
      </w:r>
      <w:r w:rsidR="00D87AE5" w:rsidRPr="001A7DCD">
        <w:rPr>
          <w:b/>
        </w:rPr>
        <w:t xml:space="preserve">a wider range of </w:t>
      </w:r>
      <w:r w:rsidRPr="001A7DCD">
        <w:rPr>
          <w:b/>
        </w:rPr>
        <w:t>c</w:t>
      </w:r>
      <w:r w:rsidR="00D87AE5" w:rsidRPr="001A7DCD">
        <w:rPr>
          <w:b/>
        </w:rPr>
        <w:t xml:space="preserve">ivil cases </w:t>
      </w:r>
      <w:r w:rsidRPr="001A7DCD">
        <w:rPr>
          <w:b/>
        </w:rPr>
        <w:t>relating to huma</w:t>
      </w:r>
      <w:r w:rsidR="008E1410" w:rsidRPr="001A7DCD">
        <w:rPr>
          <w:b/>
        </w:rPr>
        <w:t xml:space="preserve">n rights, public interest or </w:t>
      </w:r>
      <w:r w:rsidRPr="001A7DCD">
        <w:rPr>
          <w:b/>
        </w:rPr>
        <w:t>environment</w:t>
      </w:r>
      <w:r w:rsidR="008E1410" w:rsidRPr="001A7DCD">
        <w:rPr>
          <w:b/>
        </w:rPr>
        <w:t>al cases</w:t>
      </w:r>
      <w:r w:rsidRPr="001A7DCD">
        <w:rPr>
          <w:b/>
        </w:rPr>
        <w:t>.</w:t>
      </w:r>
      <w:r w:rsidR="00EE6A29">
        <w:rPr>
          <w:b/>
        </w:rPr>
        <w:t xml:space="preserve"> These w</w:t>
      </w:r>
      <w:r w:rsidR="00130035">
        <w:rPr>
          <w:b/>
        </w:rPr>
        <w:t xml:space="preserve">ould need to be clearly </w:t>
      </w:r>
      <w:r w:rsidR="00EE6A29">
        <w:rPr>
          <w:b/>
        </w:rPr>
        <w:t>defined.</w:t>
      </w:r>
    </w:p>
    <w:p w14:paraId="5E1E3196" w14:textId="77777777" w:rsidR="009654C6" w:rsidRPr="001A7DCD" w:rsidRDefault="009654C6" w:rsidP="009654C6">
      <w:pPr>
        <w:pStyle w:val="ListParagraph"/>
        <w:spacing w:after="0" w:line="240" w:lineRule="auto"/>
        <w:ind w:left="777"/>
        <w:jc w:val="both"/>
        <w:rPr>
          <w:b/>
        </w:rPr>
      </w:pPr>
    </w:p>
    <w:p w14:paraId="786F76EC" w14:textId="77777777" w:rsidR="00B14568" w:rsidRPr="001A7DCD" w:rsidRDefault="002110BA" w:rsidP="005A4B4D">
      <w:pPr>
        <w:pBdr>
          <w:top w:val="single" w:sz="4" w:space="1" w:color="auto"/>
          <w:left w:val="single" w:sz="4" w:space="4" w:color="auto"/>
          <w:bottom w:val="single" w:sz="4" w:space="1" w:color="auto"/>
          <w:right w:val="single" w:sz="4" w:space="4" w:color="auto"/>
        </w:pBdr>
        <w:spacing w:after="0" w:line="240" w:lineRule="auto"/>
        <w:jc w:val="both"/>
        <w:rPr>
          <w:b/>
          <w:i/>
        </w:rPr>
      </w:pPr>
      <w:r w:rsidRPr="001A7DCD">
        <w:rPr>
          <w:b/>
          <w:i/>
        </w:rPr>
        <w:t>Recommendation</w:t>
      </w:r>
      <w:r w:rsidR="008C163F" w:rsidRPr="001A7DCD">
        <w:rPr>
          <w:b/>
          <w:i/>
        </w:rPr>
        <w:t xml:space="preserve"> 5</w:t>
      </w:r>
      <w:r w:rsidR="00E40772" w:rsidRPr="001A7DCD">
        <w:rPr>
          <w:b/>
          <w:i/>
        </w:rPr>
        <w:t xml:space="preserve">: </w:t>
      </w:r>
      <w:r w:rsidR="00D85E24" w:rsidRPr="001A7DCD">
        <w:rPr>
          <w:b/>
          <w:i/>
        </w:rPr>
        <w:t xml:space="preserve">Improve </w:t>
      </w:r>
      <w:r w:rsidR="00813E20" w:rsidRPr="001A7DCD">
        <w:rPr>
          <w:b/>
          <w:i/>
        </w:rPr>
        <w:t>the ability to bring collective actions</w:t>
      </w:r>
    </w:p>
    <w:p w14:paraId="47612D8B" w14:textId="77777777" w:rsidR="009654C6" w:rsidRDefault="009654C6" w:rsidP="009654C6">
      <w:pPr>
        <w:pStyle w:val="ListParagraph"/>
        <w:spacing w:after="0" w:line="240" w:lineRule="auto"/>
        <w:jc w:val="both"/>
      </w:pPr>
    </w:p>
    <w:p w14:paraId="673241A1" w14:textId="77777777" w:rsidR="00427510" w:rsidRPr="001A7DCD" w:rsidRDefault="00D42B4E" w:rsidP="005A4B4D">
      <w:pPr>
        <w:pStyle w:val="ListParagraph"/>
        <w:numPr>
          <w:ilvl w:val="0"/>
          <w:numId w:val="29"/>
        </w:numPr>
        <w:spacing w:after="0" w:line="240" w:lineRule="auto"/>
        <w:jc w:val="both"/>
      </w:pPr>
      <w:r w:rsidRPr="001A7DCD">
        <w:t>Existing rules governing collective actions have been deemed ineffective, leading to insufficient access to justice for a range of groups in the UK including consumers, SMEs and employees</w:t>
      </w:r>
      <w:r w:rsidR="00601AD0" w:rsidRPr="001A7DCD">
        <w:rPr>
          <w:rStyle w:val="FootnoteReference"/>
        </w:rPr>
        <w:footnoteReference w:id="5"/>
      </w:r>
      <w:r w:rsidRPr="001A7DCD">
        <w:t xml:space="preserve">. </w:t>
      </w:r>
      <w:r w:rsidR="0021309A" w:rsidRPr="001A7DCD">
        <w:t xml:space="preserve">Meritorious cases that could be more efficiently brought collectively are not proceeding. </w:t>
      </w:r>
    </w:p>
    <w:p w14:paraId="0E0CAE1C" w14:textId="77777777" w:rsidR="00427510" w:rsidRPr="001A7DCD" w:rsidRDefault="00D42B4E" w:rsidP="005A4B4D">
      <w:pPr>
        <w:pStyle w:val="ListParagraph"/>
        <w:numPr>
          <w:ilvl w:val="0"/>
          <w:numId w:val="29"/>
        </w:numPr>
        <w:spacing w:after="0" w:line="240" w:lineRule="auto"/>
        <w:jc w:val="both"/>
      </w:pPr>
      <w:r w:rsidRPr="001A7DCD">
        <w:t xml:space="preserve">In a recent development the Consumer Rights Act passed in March 2015 introduces a new ‘opt-out’ collective action in the Competition Appeal Tribunal, so that claims can be brought on behalf of a defined group of consumers without the need to identify all the individual claimants. </w:t>
      </w:r>
    </w:p>
    <w:p w14:paraId="17801BE0" w14:textId="77777777" w:rsidR="00427510" w:rsidRPr="001A7DCD" w:rsidRDefault="00D42B4E" w:rsidP="005A4B4D">
      <w:pPr>
        <w:pStyle w:val="ListParagraph"/>
        <w:numPr>
          <w:ilvl w:val="0"/>
          <w:numId w:val="29"/>
        </w:numPr>
        <w:spacing w:after="0" w:line="240" w:lineRule="auto"/>
        <w:jc w:val="both"/>
      </w:pPr>
      <w:r w:rsidRPr="001A7DCD">
        <w:t>Such o</w:t>
      </w:r>
      <w:r w:rsidR="00E40772" w:rsidRPr="001A7DCD">
        <w:t>pt-out class actions reduce costs by enabling the aggregati</w:t>
      </w:r>
      <w:r w:rsidR="00AB71E5" w:rsidRPr="001A7DCD">
        <w:t>on of cases. These are</w:t>
      </w:r>
      <w:r w:rsidR="00E40772" w:rsidRPr="001A7DCD">
        <w:t xml:space="preserve"> available in Canada, Australia, South Africa a</w:t>
      </w:r>
      <w:r w:rsidRPr="001A7DCD">
        <w:t>nd the United States</w:t>
      </w:r>
      <w:r w:rsidR="00AB71E5" w:rsidRPr="001A7DCD">
        <w:t xml:space="preserve"> for a much wider range of cases</w:t>
      </w:r>
      <w:r w:rsidR="00E40772" w:rsidRPr="001A7DCD">
        <w:t xml:space="preserve">. </w:t>
      </w:r>
      <w:r w:rsidRPr="001A7DCD">
        <w:t xml:space="preserve"> </w:t>
      </w:r>
    </w:p>
    <w:p w14:paraId="28BA2097" w14:textId="77777777" w:rsidR="00427510" w:rsidRPr="001A7DCD" w:rsidRDefault="00A20D12" w:rsidP="005A4B4D">
      <w:pPr>
        <w:pStyle w:val="ListParagraph"/>
        <w:numPr>
          <w:ilvl w:val="0"/>
          <w:numId w:val="29"/>
        </w:numPr>
        <w:spacing w:after="0" w:line="240" w:lineRule="auto"/>
        <w:jc w:val="both"/>
      </w:pPr>
      <w:r w:rsidRPr="001A7DCD">
        <w:t>At present the UK’s civil procedure rules allow for test cases, for the consolidation of cases and for Group Litigation Orders. The</w:t>
      </w:r>
      <w:r w:rsidR="0094623D" w:rsidRPr="001A7DCD">
        <w:t xml:space="preserve">se </w:t>
      </w:r>
      <w:r w:rsidR="00CD6062" w:rsidRPr="001A7DCD">
        <w:t>have</w:t>
      </w:r>
      <w:r w:rsidR="0094623D" w:rsidRPr="001A7DCD">
        <w:t xml:space="preserve"> a </w:t>
      </w:r>
      <w:r w:rsidR="00CD6062" w:rsidRPr="001A7DCD">
        <w:t xml:space="preserve">range of limitations, including extremely strict interpretations of ‘commonality’ </w:t>
      </w:r>
      <w:r w:rsidR="0094623D" w:rsidRPr="001A7DCD">
        <w:t>and the difficulty in making test cases more widely applicable to a group</w:t>
      </w:r>
      <w:r w:rsidR="000F2375" w:rsidRPr="001A7DCD">
        <w:t>.</w:t>
      </w:r>
      <w:r w:rsidR="0094623D" w:rsidRPr="001A7DCD">
        <w:t xml:space="preserve"> </w:t>
      </w:r>
    </w:p>
    <w:p w14:paraId="07810DE3" w14:textId="77777777" w:rsidR="00CD493C" w:rsidRDefault="00A20D12" w:rsidP="005A4B4D">
      <w:pPr>
        <w:pStyle w:val="ListParagraph"/>
        <w:numPr>
          <w:ilvl w:val="0"/>
          <w:numId w:val="29"/>
        </w:numPr>
        <w:spacing w:after="0" w:line="240" w:lineRule="auto"/>
        <w:jc w:val="both"/>
        <w:rPr>
          <w:b/>
        </w:rPr>
      </w:pPr>
      <w:r w:rsidRPr="001A7DCD">
        <w:rPr>
          <w:b/>
        </w:rPr>
        <w:t xml:space="preserve">A simpler and more cost effective system would be </w:t>
      </w:r>
      <w:r w:rsidR="008C4774" w:rsidRPr="001A7DCD">
        <w:rPr>
          <w:b/>
        </w:rPr>
        <w:t>enable collective actions in all civil claims</w:t>
      </w:r>
      <w:r w:rsidR="008509D1" w:rsidRPr="001A7DCD">
        <w:rPr>
          <w:b/>
        </w:rPr>
        <w:t xml:space="preserve"> – including both opt-in and opt-out mechanisms</w:t>
      </w:r>
      <w:r w:rsidR="008C4774" w:rsidRPr="001A7DCD">
        <w:rPr>
          <w:b/>
        </w:rPr>
        <w:t xml:space="preserve">. This </w:t>
      </w:r>
      <w:r w:rsidR="008509D1" w:rsidRPr="001A7DCD">
        <w:rPr>
          <w:b/>
        </w:rPr>
        <w:t>could be achieved via a change</w:t>
      </w:r>
      <w:r w:rsidR="008C4774" w:rsidRPr="001A7DCD">
        <w:rPr>
          <w:b/>
        </w:rPr>
        <w:t xml:space="preserve"> to the civil procedure rules.</w:t>
      </w:r>
    </w:p>
    <w:p w14:paraId="761D1678" w14:textId="77777777" w:rsidR="009654C6" w:rsidRDefault="009654C6" w:rsidP="009654C6">
      <w:pPr>
        <w:pStyle w:val="ListParagraph"/>
        <w:spacing w:after="0" w:line="240" w:lineRule="auto"/>
        <w:jc w:val="both"/>
        <w:rPr>
          <w:b/>
        </w:rPr>
      </w:pPr>
    </w:p>
    <w:p w14:paraId="2BC35B50" w14:textId="77777777" w:rsidR="009654C6" w:rsidRPr="009654C6" w:rsidRDefault="009654C6" w:rsidP="009654C6">
      <w:pPr>
        <w:spacing w:after="0" w:line="240" w:lineRule="auto"/>
        <w:jc w:val="both"/>
        <w:rPr>
          <w:b/>
        </w:rPr>
      </w:pPr>
    </w:p>
    <w:p w14:paraId="7CFE6672" w14:textId="6F9DF3BB" w:rsidR="00300E47" w:rsidRPr="001A7DCD" w:rsidRDefault="002110BA" w:rsidP="005A4B4D">
      <w:pPr>
        <w:pBdr>
          <w:top w:val="single" w:sz="4" w:space="1" w:color="auto"/>
          <w:left w:val="single" w:sz="4" w:space="4" w:color="auto"/>
          <w:bottom w:val="single" w:sz="4" w:space="1" w:color="auto"/>
          <w:right w:val="single" w:sz="4" w:space="4" w:color="auto"/>
        </w:pBdr>
        <w:spacing w:after="0" w:line="240" w:lineRule="auto"/>
        <w:jc w:val="both"/>
        <w:rPr>
          <w:b/>
          <w:i/>
        </w:rPr>
      </w:pPr>
      <w:r w:rsidRPr="001A7DCD">
        <w:rPr>
          <w:b/>
          <w:i/>
        </w:rPr>
        <w:lastRenderedPageBreak/>
        <w:t xml:space="preserve">Recommendation </w:t>
      </w:r>
      <w:r w:rsidR="00300E47" w:rsidRPr="001A7DCD">
        <w:rPr>
          <w:b/>
          <w:i/>
        </w:rPr>
        <w:t>6</w:t>
      </w:r>
      <w:r w:rsidR="00936159" w:rsidRPr="001A7DCD">
        <w:rPr>
          <w:b/>
          <w:i/>
        </w:rPr>
        <w:t xml:space="preserve">: </w:t>
      </w:r>
      <w:r w:rsidR="00947406" w:rsidRPr="001A7DCD">
        <w:rPr>
          <w:b/>
          <w:i/>
        </w:rPr>
        <w:t>Improve pre-action disclosure</w:t>
      </w:r>
      <w:r w:rsidR="00AA5031">
        <w:rPr>
          <w:b/>
          <w:i/>
        </w:rPr>
        <w:t xml:space="preserve"> and break link with costs</w:t>
      </w:r>
    </w:p>
    <w:p w14:paraId="1CA4D673" w14:textId="77777777" w:rsidR="009654C6" w:rsidRDefault="009654C6" w:rsidP="009654C6">
      <w:pPr>
        <w:pStyle w:val="ListParagraph"/>
        <w:spacing w:after="0" w:line="240" w:lineRule="auto"/>
        <w:jc w:val="both"/>
      </w:pPr>
    </w:p>
    <w:p w14:paraId="46AD3154" w14:textId="6F88453E" w:rsidR="00427510" w:rsidRPr="001A7DCD" w:rsidRDefault="00936159" w:rsidP="005A4B4D">
      <w:pPr>
        <w:pStyle w:val="ListParagraph"/>
        <w:numPr>
          <w:ilvl w:val="0"/>
          <w:numId w:val="30"/>
        </w:numPr>
        <w:spacing w:after="0" w:line="240" w:lineRule="auto"/>
        <w:jc w:val="both"/>
      </w:pPr>
      <w:r w:rsidRPr="001A7DCD">
        <w:t xml:space="preserve">At present it is very difficult </w:t>
      </w:r>
      <w:r w:rsidR="00842782" w:rsidRPr="001A7DCD">
        <w:t xml:space="preserve">for </w:t>
      </w:r>
      <w:r w:rsidRPr="001A7DCD">
        <w:t>law firms to judge whether to proceed with a case because they</w:t>
      </w:r>
      <w:r w:rsidR="00427510" w:rsidRPr="001A7DCD">
        <w:t xml:space="preserve"> can </w:t>
      </w:r>
      <w:r w:rsidRPr="001A7DCD">
        <w:t>only access the most relevant document</w:t>
      </w:r>
      <w:r w:rsidR="008D2C0E" w:rsidRPr="001A7DCD">
        <w:t>s</w:t>
      </w:r>
      <w:r w:rsidRPr="001A7DCD">
        <w:t xml:space="preserve"> after proceedings have started and substantial costs have been incurred. </w:t>
      </w:r>
    </w:p>
    <w:p w14:paraId="7D4A3E8D" w14:textId="77777777" w:rsidR="00427510" w:rsidRPr="001A7DCD" w:rsidRDefault="00936159" w:rsidP="005A4B4D">
      <w:pPr>
        <w:pStyle w:val="ListParagraph"/>
        <w:numPr>
          <w:ilvl w:val="0"/>
          <w:numId w:val="30"/>
        </w:numPr>
        <w:spacing w:after="0" w:line="240" w:lineRule="auto"/>
        <w:jc w:val="both"/>
      </w:pPr>
      <w:r w:rsidRPr="001A7DCD">
        <w:t xml:space="preserve">This is particularly problematic in cases involving a parent and subsidiary as it is necessary to </w:t>
      </w:r>
      <w:r w:rsidR="008D2C0E" w:rsidRPr="001A7DCD">
        <w:t>investigate</w:t>
      </w:r>
      <w:r w:rsidRPr="001A7DCD">
        <w:t xml:space="preserve"> the internal </w:t>
      </w:r>
      <w:r w:rsidR="008D2C0E" w:rsidRPr="001A7DCD">
        <w:t>workings</w:t>
      </w:r>
      <w:r w:rsidRPr="001A7DCD">
        <w:t xml:space="preserve"> of the parent company in order to establish which part of the group was responsible for the functions that were connected with the harm. </w:t>
      </w:r>
      <w:r w:rsidR="00F167DC" w:rsidRPr="001A7DCD">
        <w:t xml:space="preserve"> </w:t>
      </w:r>
    </w:p>
    <w:p w14:paraId="244E9BAA" w14:textId="34EEDC0B" w:rsidR="00936159" w:rsidRPr="001A7DCD" w:rsidRDefault="00E94776" w:rsidP="005A4B4D">
      <w:pPr>
        <w:pStyle w:val="ListParagraph"/>
        <w:numPr>
          <w:ilvl w:val="0"/>
          <w:numId w:val="30"/>
        </w:numPr>
        <w:spacing w:after="0" w:line="240" w:lineRule="auto"/>
        <w:jc w:val="both"/>
      </w:pPr>
      <w:r>
        <w:t>Claimant</w:t>
      </w:r>
      <w:r w:rsidR="00936159" w:rsidRPr="001A7DCD">
        <w:t>s</w:t>
      </w:r>
      <w:r>
        <w:t>’</w:t>
      </w:r>
      <w:r w:rsidR="00936159" w:rsidRPr="001A7DCD">
        <w:t xml:space="preserve"> lawyers </w:t>
      </w:r>
      <w:r w:rsidR="00F167DC" w:rsidRPr="001A7DCD">
        <w:t xml:space="preserve">have to rely on scarce information in the public domain or they </w:t>
      </w:r>
      <w:r w:rsidR="00936159" w:rsidRPr="001A7DCD">
        <w:t xml:space="preserve">can make an Application for Specific Disclosure or Pre-Action Disclosure, but </w:t>
      </w:r>
      <w:r w:rsidR="00F167DC" w:rsidRPr="001A7DCD">
        <w:t xml:space="preserve">if they do so </w:t>
      </w:r>
      <w:r w:rsidR="00936159" w:rsidRPr="001A7DCD">
        <w:t>the requester is then usually responsible for the defendant’s costs.</w:t>
      </w:r>
      <w:r>
        <w:t xml:space="preserve"> This can be prohibitive. </w:t>
      </w:r>
      <w:r w:rsidR="00936159" w:rsidRPr="001A7DCD">
        <w:t xml:space="preserve"> </w:t>
      </w:r>
    </w:p>
    <w:p w14:paraId="0092D93E" w14:textId="77777777" w:rsidR="009654C6" w:rsidRDefault="009654C6" w:rsidP="005A4B4D">
      <w:pPr>
        <w:spacing w:after="0" w:line="240" w:lineRule="auto"/>
        <w:jc w:val="both"/>
        <w:rPr>
          <w:b/>
        </w:rPr>
      </w:pPr>
    </w:p>
    <w:p w14:paraId="76B686B8" w14:textId="77777777" w:rsidR="00936159" w:rsidRPr="001A7DCD" w:rsidRDefault="00936159" w:rsidP="005A4B4D">
      <w:pPr>
        <w:spacing w:after="0" w:line="240" w:lineRule="auto"/>
        <w:jc w:val="both"/>
        <w:rPr>
          <w:b/>
        </w:rPr>
      </w:pPr>
      <w:r w:rsidRPr="001A7DCD">
        <w:rPr>
          <w:b/>
        </w:rPr>
        <w:t>We recommend two steps to improve this:</w:t>
      </w:r>
    </w:p>
    <w:p w14:paraId="535B495D" w14:textId="5552B1F6" w:rsidR="00936159" w:rsidRPr="001A7DCD" w:rsidRDefault="00936159" w:rsidP="005A4B4D">
      <w:pPr>
        <w:pStyle w:val="ListParagraph"/>
        <w:numPr>
          <w:ilvl w:val="0"/>
          <w:numId w:val="16"/>
        </w:numPr>
        <w:spacing w:after="0" w:line="240" w:lineRule="auto"/>
        <w:jc w:val="both"/>
        <w:rPr>
          <w:b/>
        </w:rPr>
      </w:pPr>
      <w:r w:rsidRPr="001A7DCD">
        <w:rPr>
          <w:b/>
        </w:rPr>
        <w:t xml:space="preserve">Break the link between requesting pre-action disclosure and </w:t>
      </w:r>
      <w:r w:rsidR="008D2C0E" w:rsidRPr="001A7DCD">
        <w:rPr>
          <w:b/>
        </w:rPr>
        <w:t>liability</w:t>
      </w:r>
      <w:r w:rsidRPr="001A7DCD">
        <w:rPr>
          <w:b/>
        </w:rPr>
        <w:t xml:space="preserve"> for the defendant’s </w:t>
      </w:r>
      <w:r w:rsidR="005F3B3B" w:rsidRPr="001A7DCD">
        <w:rPr>
          <w:b/>
        </w:rPr>
        <w:t>costs</w:t>
      </w:r>
      <w:r w:rsidRPr="001A7DCD">
        <w:rPr>
          <w:b/>
        </w:rPr>
        <w:t xml:space="preserve">. </w:t>
      </w:r>
    </w:p>
    <w:p w14:paraId="701A4CD3" w14:textId="6081FF09" w:rsidR="00936159" w:rsidRPr="001A7DCD" w:rsidRDefault="00F167DC" w:rsidP="005A4B4D">
      <w:pPr>
        <w:pStyle w:val="ListParagraph"/>
        <w:numPr>
          <w:ilvl w:val="0"/>
          <w:numId w:val="16"/>
        </w:numPr>
        <w:spacing w:after="0" w:line="240" w:lineRule="auto"/>
        <w:jc w:val="both"/>
        <w:rPr>
          <w:b/>
        </w:rPr>
      </w:pPr>
      <w:r w:rsidRPr="001A7DCD">
        <w:rPr>
          <w:b/>
        </w:rPr>
        <w:t>In cases involving parent and subsidiary companies</w:t>
      </w:r>
      <w:r w:rsidR="00B30742" w:rsidRPr="001A7DCD">
        <w:rPr>
          <w:b/>
        </w:rPr>
        <w:t>,</w:t>
      </w:r>
      <w:r w:rsidRPr="001A7DCD">
        <w:rPr>
          <w:b/>
        </w:rPr>
        <w:t xml:space="preserve"> require the parent company to prove that it </w:t>
      </w:r>
      <w:r w:rsidRPr="001A7DCD">
        <w:rPr>
          <w:b/>
          <w:i/>
        </w:rPr>
        <w:t>was not</w:t>
      </w:r>
      <w:r w:rsidRPr="001A7DCD">
        <w:rPr>
          <w:b/>
        </w:rPr>
        <w:t xml:space="preserve"> in control of the relevant subsidiary functions that caused the harm. This reversal of the burden of proof in these specific types of cases would encourage companies to disclose the relevant documents sooner. </w:t>
      </w:r>
    </w:p>
    <w:p w14:paraId="4DF35FDB" w14:textId="77777777" w:rsidR="008D3496" w:rsidRDefault="008D3496" w:rsidP="005A4B4D">
      <w:pPr>
        <w:spacing w:after="0" w:line="240" w:lineRule="auto"/>
        <w:jc w:val="both"/>
        <w:rPr>
          <w:b/>
          <w:i/>
        </w:rPr>
      </w:pPr>
    </w:p>
    <w:p w14:paraId="4A7C5655" w14:textId="1F08C788" w:rsidR="00E94776" w:rsidRDefault="00E94776" w:rsidP="005A4B4D">
      <w:pPr>
        <w:spacing w:after="0" w:line="240" w:lineRule="auto"/>
        <w:jc w:val="both"/>
        <w:rPr>
          <w:b/>
          <w:i/>
        </w:rPr>
      </w:pPr>
      <w:r>
        <w:rPr>
          <w:b/>
          <w:i/>
        </w:rPr>
        <w:t>ENDS/.</w:t>
      </w:r>
    </w:p>
    <w:p w14:paraId="0CB13CCA" w14:textId="77777777" w:rsidR="008D3496" w:rsidRDefault="008D3496" w:rsidP="005A4B4D">
      <w:pPr>
        <w:spacing w:after="0" w:line="240" w:lineRule="auto"/>
        <w:jc w:val="both"/>
        <w:rPr>
          <w:b/>
          <w:i/>
        </w:rPr>
      </w:pPr>
    </w:p>
    <w:p w14:paraId="1B669C1E" w14:textId="2623FED1" w:rsidR="008D3496" w:rsidRDefault="008D3496" w:rsidP="005A4B4D">
      <w:pPr>
        <w:spacing w:after="0" w:line="240" w:lineRule="auto"/>
        <w:jc w:val="both"/>
        <w:rPr>
          <w:b/>
          <w:i/>
        </w:rPr>
      </w:pPr>
      <w:r>
        <w:rPr>
          <w:b/>
          <w:i/>
        </w:rPr>
        <w:t>July 2015</w:t>
      </w:r>
    </w:p>
    <w:p w14:paraId="4A7FDBE7" w14:textId="77777777" w:rsidR="008D3496" w:rsidRDefault="008D3496" w:rsidP="005A4B4D">
      <w:pPr>
        <w:spacing w:after="0" w:line="240" w:lineRule="auto"/>
        <w:jc w:val="both"/>
        <w:rPr>
          <w:b/>
          <w:i/>
        </w:rPr>
      </w:pPr>
    </w:p>
    <w:p w14:paraId="4371EA1F" w14:textId="26B392DB" w:rsidR="006B2B5C" w:rsidRPr="001A7DCD" w:rsidRDefault="006B2B5C" w:rsidP="005A4B4D">
      <w:pPr>
        <w:spacing w:after="0" w:line="240" w:lineRule="auto"/>
        <w:jc w:val="both"/>
        <w:rPr>
          <w:b/>
          <w:i/>
        </w:rPr>
      </w:pPr>
      <w:r w:rsidRPr="001A7DCD">
        <w:rPr>
          <w:b/>
          <w:i/>
        </w:rPr>
        <w:t>For further information contact:</w:t>
      </w:r>
    </w:p>
    <w:p w14:paraId="477676AD" w14:textId="23505916" w:rsidR="006B2B5C" w:rsidRPr="001A7DCD" w:rsidRDefault="006B2B5C" w:rsidP="005A4B4D">
      <w:pPr>
        <w:spacing w:after="0" w:line="240" w:lineRule="auto"/>
        <w:jc w:val="both"/>
        <w:rPr>
          <w:b/>
          <w:i/>
        </w:rPr>
      </w:pPr>
      <w:r w:rsidRPr="001A7DCD">
        <w:rPr>
          <w:b/>
          <w:i/>
        </w:rPr>
        <w:t>Liz May</w:t>
      </w:r>
    </w:p>
    <w:p w14:paraId="5C7662C7" w14:textId="42CF1319" w:rsidR="006B2B5C" w:rsidRPr="001A7DCD" w:rsidRDefault="006B2B5C" w:rsidP="005A4B4D">
      <w:pPr>
        <w:spacing w:after="0" w:line="240" w:lineRule="auto"/>
        <w:jc w:val="both"/>
        <w:rPr>
          <w:b/>
          <w:i/>
        </w:rPr>
      </w:pPr>
      <w:r w:rsidRPr="001A7DCD">
        <w:rPr>
          <w:b/>
          <w:i/>
        </w:rPr>
        <w:t>Head of Policy &amp; Advocacy</w:t>
      </w:r>
    </w:p>
    <w:p w14:paraId="35EC3C38" w14:textId="6BB477C3" w:rsidR="006B2B5C" w:rsidRDefault="006B2B5C" w:rsidP="005A4B4D">
      <w:pPr>
        <w:spacing w:after="0" w:line="240" w:lineRule="auto"/>
        <w:jc w:val="both"/>
        <w:rPr>
          <w:b/>
          <w:i/>
        </w:rPr>
      </w:pPr>
      <w:proofErr w:type="spellStart"/>
      <w:r w:rsidRPr="001A7DCD">
        <w:rPr>
          <w:b/>
          <w:i/>
        </w:rPr>
        <w:t>Traidcraft</w:t>
      </w:r>
      <w:proofErr w:type="spellEnd"/>
    </w:p>
    <w:p w14:paraId="2EDB7F47" w14:textId="06B9FF83" w:rsidR="00E94776" w:rsidRDefault="00E94776" w:rsidP="005A4B4D">
      <w:pPr>
        <w:spacing w:after="0" w:line="240" w:lineRule="auto"/>
        <w:jc w:val="both"/>
        <w:rPr>
          <w:b/>
          <w:i/>
        </w:rPr>
      </w:pPr>
      <w:r>
        <w:rPr>
          <w:b/>
          <w:i/>
        </w:rPr>
        <w:t>2.12 The Foundry</w:t>
      </w:r>
    </w:p>
    <w:p w14:paraId="35AE9C96" w14:textId="1B8203D1" w:rsidR="00E94776" w:rsidRDefault="00E94776" w:rsidP="005A4B4D">
      <w:pPr>
        <w:spacing w:after="0" w:line="240" w:lineRule="auto"/>
        <w:jc w:val="both"/>
        <w:rPr>
          <w:b/>
          <w:i/>
        </w:rPr>
      </w:pPr>
      <w:r>
        <w:rPr>
          <w:b/>
          <w:i/>
        </w:rPr>
        <w:t>17 Oval Way</w:t>
      </w:r>
    </w:p>
    <w:p w14:paraId="288BEFFA" w14:textId="58878608" w:rsidR="00E94776" w:rsidRDefault="00E94776" w:rsidP="005A4B4D">
      <w:pPr>
        <w:spacing w:after="0" w:line="240" w:lineRule="auto"/>
        <w:jc w:val="both"/>
        <w:rPr>
          <w:b/>
          <w:i/>
        </w:rPr>
      </w:pPr>
      <w:r>
        <w:rPr>
          <w:b/>
          <w:i/>
        </w:rPr>
        <w:t>London</w:t>
      </w:r>
    </w:p>
    <w:p w14:paraId="65D93307" w14:textId="77777777" w:rsidR="00E94776" w:rsidRPr="001A7DCD" w:rsidRDefault="00E94776" w:rsidP="005A4B4D">
      <w:pPr>
        <w:spacing w:after="0" w:line="240" w:lineRule="auto"/>
        <w:jc w:val="both"/>
        <w:rPr>
          <w:b/>
          <w:i/>
        </w:rPr>
      </w:pPr>
    </w:p>
    <w:p w14:paraId="1D1C8F5C" w14:textId="5298A50E" w:rsidR="006B2B5C" w:rsidRPr="001A7DCD" w:rsidRDefault="006B2B5C" w:rsidP="005A4B4D">
      <w:pPr>
        <w:spacing w:after="0" w:line="240" w:lineRule="auto"/>
        <w:jc w:val="both"/>
        <w:rPr>
          <w:b/>
          <w:i/>
        </w:rPr>
      </w:pPr>
      <w:r w:rsidRPr="001A7DCD">
        <w:rPr>
          <w:b/>
          <w:i/>
        </w:rPr>
        <w:t>020 3752 5719</w:t>
      </w:r>
    </w:p>
    <w:p w14:paraId="05636EA7" w14:textId="37FE7D4B" w:rsidR="006B2B5C" w:rsidRPr="001A7DCD" w:rsidRDefault="006B2B5C" w:rsidP="005A4B4D">
      <w:pPr>
        <w:spacing w:after="0" w:line="240" w:lineRule="auto"/>
        <w:jc w:val="both"/>
        <w:rPr>
          <w:b/>
          <w:i/>
        </w:rPr>
      </w:pPr>
      <w:r w:rsidRPr="001A7DCD">
        <w:rPr>
          <w:b/>
          <w:i/>
        </w:rPr>
        <w:t>Liz.may@traidcraft.org</w:t>
      </w:r>
    </w:p>
    <w:p w14:paraId="394E7B46" w14:textId="77777777" w:rsidR="00936159" w:rsidRPr="001A7DCD" w:rsidRDefault="00936159" w:rsidP="00CD493C">
      <w:pPr>
        <w:jc w:val="both"/>
      </w:pPr>
    </w:p>
    <w:p w14:paraId="12DBFF9A" w14:textId="77777777" w:rsidR="00936159" w:rsidRPr="001A7DCD" w:rsidRDefault="00936159" w:rsidP="00CD493C">
      <w:pPr>
        <w:jc w:val="both"/>
      </w:pPr>
    </w:p>
    <w:p w14:paraId="1CE98240" w14:textId="77777777" w:rsidR="00936159" w:rsidRPr="001A7DCD" w:rsidRDefault="00936159" w:rsidP="00CD493C">
      <w:pPr>
        <w:jc w:val="both"/>
      </w:pPr>
    </w:p>
    <w:p w14:paraId="453699C8" w14:textId="77777777" w:rsidR="00936159" w:rsidRPr="001A7DCD" w:rsidRDefault="00936159" w:rsidP="00CD493C">
      <w:pPr>
        <w:jc w:val="both"/>
      </w:pPr>
    </w:p>
    <w:p w14:paraId="5AB660E6" w14:textId="77777777" w:rsidR="00947406" w:rsidRPr="001A7DCD" w:rsidRDefault="00947406" w:rsidP="00CD493C">
      <w:pPr>
        <w:jc w:val="both"/>
        <w:rPr>
          <w:b/>
          <w:i/>
        </w:rPr>
      </w:pPr>
    </w:p>
    <w:p w14:paraId="21B05031" w14:textId="77777777" w:rsidR="00947406" w:rsidRPr="001A7DCD" w:rsidRDefault="00947406" w:rsidP="00CD493C">
      <w:pPr>
        <w:jc w:val="both"/>
        <w:rPr>
          <w:b/>
          <w:i/>
        </w:rPr>
      </w:pPr>
    </w:p>
    <w:sectPr w:rsidR="00947406" w:rsidRPr="001A7DCD" w:rsidSect="001A7DCD">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5F54" w14:textId="77777777" w:rsidR="005C7BCD" w:rsidRDefault="005C7BCD" w:rsidP="00706691">
      <w:pPr>
        <w:spacing w:after="0" w:line="240" w:lineRule="auto"/>
      </w:pPr>
      <w:r>
        <w:separator/>
      </w:r>
    </w:p>
  </w:endnote>
  <w:endnote w:type="continuationSeparator" w:id="0">
    <w:p w14:paraId="2A0067B4" w14:textId="77777777" w:rsidR="005C7BCD" w:rsidRDefault="005C7BCD" w:rsidP="0070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9EBD" w14:textId="77777777" w:rsidR="005C7BCD" w:rsidRDefault="005C7BCD" w:rsidP="00706691">
      <w:pPr>
        <w:spacing w:after="0" w:line="240" w:lineRule="auto"/>
      </w:pPr>
      <w:r>
        <w:separator/>
      </w:r>
    </w:p>
  </w:footnote>
  <w:footnote w:type="continuationSeparator" w:id="0">
    <w:p w14:paraId="0D3C2E63" w14:textId="77777777" w:rsidR="005C7BCD" w:rsidRDefault="005C7BCD" w:rsidP="00706691">
      <w:pPr>
        <w:spacing w:after="0" w:line="240" w:lineRule="auto"/>
      </w:pPr>
      <w:r>
        <w:continuationSeparator/>
      </w:r>
    </w:p>
  </w:footnote>
  <w:footnote w:id="1">
    <w:p w14:paraId="1042B775" w14:textId="3FBF2600" w:rsidR="00F351D8" w:rsidRPr="00417B88" w:rsidRDefault="00F351D8" w:rsidP="00F351D8">
      <w:pPr>
        <w:pStyle w:val="FootnoteText"/>
        <w:rPr>
          <w:rFonts w:asciiTheme="minorHAnsi" w:hAnsiTheme="minorHAnsi"/>
          <w:sz w:val="18"/>
          <w:szCs w:val="18"/>
        </w:rPr>
      </w:pPr>
      <w:r w:rsidRPr="00417B88">
        <w:rPr>
          <w:rStyle w:val="FootnoteReference"/>
          <w:rFonts w:asciiTheme="minorHAnsi" w:hAnsiTheme="minorHAnsi"/>
          <w:sz w:val="18"/>
          <w:szCs w:val="18"/>
        </w:rPr>
        <w:footnoteRef/>
      </w:r>
      <w:r>
        <w:rPr>
          <w:rFonts w:asciiTheme="minorHAnsi" w:hAnsiTheme="minorHAnsi"/>
          <w:sz w:val="18"/>
          <w:szCs w:val="18"/>
        </w:rPr>
        <w:t xml:space="preserve"> </w:t>
      </w:r>
      <w:proofErr w:type="spellStart"/>
      <w:r>
        <w:rPr>
          <w:rFonts w:asciiTheme="minorHAnsi" w:hAnsiTheme="minorHAnsi"/>
          <w:sz w:val="18"/>
          <w:szCs w:val="18"/>
        </w:rPr>
        <w:t>Traidcraft</w:t>
      </w:r>
      <w:proofErr w:type="spellEnd"/>
      <w:r>
        <w:rPr>
          <w:rFonts w:asciiTheme="minorHAnsi" w:hAnsiTheme="minorHAnsi"/>
          <w:sz w:val="18"/>
          <w:szCs w:val="18"/>
        </w:rPr>
        <w:t xml:space="preserve"> is a UK fair trade company, sourcing products from around 70 producer groups in nearly 30 countries. We use our direct trading experience to inform our campaigns for corporate accountability and trade justice. </w:t>
      </w:r>
      <w:r w:rsidR="00F80703">
        <w:rPr>
          <w:rFonts w:asciiTheme="minorHAnsi" w:hAnsiTheme="minorHAnsi"/>
          <w:sz w:val="18"/>
          <w:szCs w:val="18"/>
        </w:rPr>
        <w:t>On 2</w:t>
      </w:r>
      <w:r w:rsidR="00F80703" w:rsidRPr="00F80703">
        <w:rPr>
          <w:rFonts w:asciiTheme="minorHAnsi" w:hAnsiTheme="minorHAnsi"/>
          <w:sz w:val="18"/>
          <w:szCs w:val="18"/>
          <w:vertAlign w:val="superscript"/>
        </w:rPr>
        <w:t>nd</w:t>
      </w:r>
      <w:r w:rsidR="00F80703">
        <w:rPr>
          <w:rFonts w:asciiTheme="minorHAnsi" w:hAnsiTheme="minorHAnsi"/>
          <w:sz w:val="18"/>
          <w:szCs w:val="18"/>
        </w:rPr>
        <w:t xml:space="preserve"> July 2015</w:t>
      </w:r>
      <w:r>
        <w:rPr>
          <w:rFonts w:asciiTheme="minorHAnsi" w:hAnsiTheme="minorHAnsi"/>
          <w:sz w:val="18"/>
          <w:szCs w:val="18"/>
        </w:rPr>
        <w:t xml:space="preserve"> a delegation of </w:t>
      </w:r>
      <w:proofErr w:type="spellStart"/>
      <w:r>
        <w:rPr>
          <w:rFonts w:asciiTheme="minorHAnsi" w:hAnsiTheme="minorHAnsi"/>
          <w:sz w:val="18"/>
          <w:szCs w:val="18"/>
        </w:rPr>
        <w:t>Traidcraft</w:t>
      </w:r>
      <w:proofErr w:type="spellEnd"/>
      <w:r>
        <w:rPr>
          <w:rFonts w:asciiTheme="minorHAnsi" w:hAnsiTheme="minorHAnsi"/>
          <w:sz w:val="18"/>
          <w:szCs w:val="18"/>
        </w:rPr>
        <w:t xml:space="preserve"> supporters visited the Foreign Office, the Department of Business, Innovation and Skills and the Ministry of Justice asking that access to justice be put at the heart of the revised </w:t>
      </w:r>
      <w:r w:rsidR="00F80703">
        <w:rPr>
          <w:rFonts w:asciiTheme="minorHAnsi" w:hAnsiTheme="minorHAnsi"/>
          <w:sz w:val="18"/>
          <w:szCs w:val="18"/>
        </w:rPr>
        <w:t>National Action P</w:t>
      </w:r>
      <w:r>
        <w:rPr>
          <w:rFonts w:asciiTheme="minorHAnsi" w:hAnsiTheme="minorHAnsi"/>
          <w:sz w:val="18"/>
          <w:szCs w:val="18"/>
        </w:rPr>
        <w:t>lan.</w:t>
      </w:r>
    </w:p>
  </w:footnote>
  <w:footnote w:id="2">
    <w:p w14:paraId="02890801" w14:textId="7FBD7A95" w:rsidR="00854564" w:rsidRPr="00417B88" w:rsidRDefault="00854564" w:rsidP="00854564">
      <w:pPr>
        <w:pStyle w:val="FootnoteText"/>
        <w:rPr>
          <w:rFonts w:asciiTheme="minorHAnsi" w:hAnsiTheme="minorHAnsi"/>
          <w:sz w:val="18"/>
          <w:szCs w:val="18"/>
        </w:rPr>
      </w:pPr>
      <w:r w:rsidRPr="00417B88">
        <w:rPr>
          <w:rStyle w:val="FootnoteReference"/>
          <w:rFonts w:asciiTheme="minorHAnsi" w:hAnsiTheme="minorHAnsi"/>
          <w:sz w:val="18"/>
          <w:szCs w:val="18"/>
        </w:rPr>
        <w:footnoteRef/>
      </w:r>
      <w:r w:rsidR="00E20047">
        <w:rPr>
          <w:rFonts w:asciiTheme="minorHAnsi" w:hAnsiTheme="minorHAnsi"/>
          <w:sz w:val="18"/>
          <w:szCs w:val="18"/>
        </w:rPr>
        <w:t xml:space="preserve"> Business and Human Rights Resource Centre Briefing, “Is the UK living up to its business and human rights commitments?”, April 2015</w:t>
      </w:r>
    </w:p>
  </w:footnote>
  <w:footnote w:id="3">
    <w:p w14:paraId="7B147F1D" w14:textId="77777777" w:rsidR="007E622C" w:rsidRPr="003851B9" w:rsidRDefault="007E622C">
      <w:pPr>
        <w:pStyle w:val="FootnoteText"/>
        <w:rPr>
          <w:rFonts w:asciiTheme="minorHAnsi" w:hAnsiTheme="minorHAnsi"/>
          <w:sz w:val="18"/>
          <w:szCs w:val="18"/>
        </w:rPr>
      </w:pPr>
      <w:r w:rsidRPr="003851B9">
        <w:rPr>
          <w:rStyle w:val="FootnoteReference"/>
          <w:rFonts w:asciiTheme="minorHAnsi" w:hAnsiTheme="minorHAnsi"/>
          <w:sz w:val="18"/>
          <w:szCs w:val="18"/>
        </w:rPr>
        <w:footnoteRef/>
      </w:r>
      <w:r w:rsidRPr="003851B9">
        <w:rPr>
          <w:rFonts w:asciiTheme="minorHAnsi" w:hAnsiTheme="minorHAnsi"/>
          <w:sz w:val="18"/>
          <w:szCs w:val="18"/>
        </w:rPr>
        <w:t xml:space="preserve"> </w:t>
      </w:r>
      <w:r w:rsidR="00377FA8" w:rsidRPr="003851B9">
        <w:rPr>
          <w:rFonts w:asciiTheme="minorHAnsi" w:hAnsiTheme="minorHAnsi"/>
          <w:sz w:val="18"/>
          <w:szCs w:val="18"/>
        </w:rPr>
        <w:t xml:space="preserve">Rachel Chambers &amp; Alex Batesmith “Options for criminal prosecution of UK companies for human rights abuses committed outside England and Wales” May 2015. Available from </w:t>
      </w:r>
      <w:proofErr w:type="spellStart"/>
      <w:r w:rsidR="00377FA8" w:rsidRPr="003851B9">
        <w:rPr>
          <w:rFonts w:asciiTheme="minorHAnsi" w:hAnsiTheme="minorHAnsi"/>
          <w:sz w:val="18"/>
          <w:szCs w:val="18"/>
        </w:rPr>
        <w:t>Traidcraft</w:t>
      </w:r>
      <w:proofErr w:type="spellEnd"/>
      <w:r w:rsidR="00377FA8" w:rsidRPr="003851B9">
        <w:rPr>
          <w:rFonts w:asciiTheme="minorHAnsi" w:hAnsiTheme="minorHAnsi"/>
          <w:sz w:val="18"/>
          <w:szCs w:val="18"/>
        </w:rPr>
        <w:t xml:space="preserve">. </w:t>
      </w:r>
      <w:r w:rsidRPr="003851B9">
        <w:rPr>
          <w:rFonts w:asciiTheme="minorHAnsi" w:hAnsiTheme="minorHAnsi"/>
          <w:sz w:val="18"/>
          <w:szCs w:val="18"/>
        </w:rPr>
        <w:t xml:space="preserve">Challenges </w:t>
      </w:r>
      <w:r w:rsidR="00377FA8" w:rsidRPr="003851B9">
        <w:rPr>
          <w:rFonts w:asciiTheme="minorHAnsi" w:hAnsiTheme="minorHAnsi"/>
          <w:sz w:val="18"/>
          <w:szCs w:val="18"/>
        </w:rPr>
        <w:t xml:space="preserve">identified </w:t>
      </w:r>
      <w:r w:rsidRPr="003851B9">
        <w:rPr>
          <w:rFonts w:asciiTheme="minorHAnsi" w:hAnsiTheme="minorHAnsi"/>
          <w:sz w:val="18"/>
          <w:szCs w:val="18"/>
        </w:rPr>
        <w:t xml:space="preserve">include the type of corporate liability and level of intent required for a prosecution, the extra-territorial dimension, definitions of human rights crimes and the link to compensation for the victim. </w:t>
      </w:r>
    </w:p>
  </w:footnote>
  <w:footnote w:id="4">
    <w:p w14:paraId="5C5D85B4" w14:textId="77777777" w:rsidR="007F132E" w:rsidRPr="003851B9" w:rsidRDefault="007F132E" w:rsidP="001440E4">
      <w:pPr>
        <w:pStyle w:val="FootnoteText"/>
        <w:jc w:val="both"/>
        <w:rPr>
          <w:rFonts w:asciiTheme="minorHAnsi" w:hAnsiTheme="minorHAnsi"/>
          <w:sz w:val="18"/>
          <w:szCs w:val="18"/>
        </w:rPr>
      </w:pPr>
      <w:r w:rsidRPr="003851B9">
        <w:rPr>
          <w:rStyle w:val="FootnoteReference"/>
          <w:rFonts w:asciiTheme="minorHAnsi" w:hAnsiTheme="minorHAnsi"/>
          <w:sz w:val="18"/>
          <w:szCs w:val="18"/>
        </w:rPr>
        <w:footnoteRef/>
      </w:r>
      <w:r w:rsidRPr="003851B9">
        <w:rPr>
          <w:rFonts w:asciiTheme="minorHAnsi" w:hAnsiTheme="minorHAnsi"/>
          <w:sz w:val="18"/>
          <w:szCs w:val="18"/>
        </w:rPr>
        <w:t xml:space="preserve"> See the UK </w:t>
      </w:r>
      <w:proofErr w:type="spellStart"/>
      <w:r w:rsidRPr="003851B9">
        <w:rPr>
          <w:rFonts w:asciiTheme="minorHAnsi" w:hAnsiTheme="minorHAnsi"/>
          <w:sz w:val="18"/>
          <w:szCs w:val="18"/>
        </w:rPr>
        <w:t>Anti Corruption</w:t>
      </w:r>
      <w:proofErr w:type="spellEnd"/>
      <w:r w:rsidRPr="003851B9">
        <w:rPr>
          <w:rFonts w:asciiTheme="minorHAnsi" w:hAnsiTheme="minorHAnsi"/>
          <w:sz w:val="18"/>
          <w:szCs w:val="18"/>
        </w:rPr>
        <w:t xml:space="preserve"> Plan, December 2014, Action 36, </w:t>
      </w:r>
      <w:r w:rsidRPr="003851B9">
        <w:rPr>
          <w:rFonts w:asciiTheme="minorHAnsi" w:hAnsiTheme="minorHAnsi"/>
          <w:i/>
          <w:sz w:val="18"/>
          <w:szCs w:val="18"/>
        </w:rPr>
        <w:t>‘</w:t>
      </w:r>
      <w:r w:rsidRPr="003851B9">
        <w:rPr>
          <w:rFonts w:asciiTheme="minorHAnsi" w:hAnsiTheme="minorHAnsi"/>
          <w:sz w:val="18"/>
          <w:szCs w:val="18"/>
        </w:rPr>
        <w:t>The Ministry of Justice will examine the case for a new offence of a corporate failure to prevent economic crime and the rules on establishing corporate criminal liability more widely (by June 2015)</w:t>
      </w:r>
      <w:r w:rsidRPr="003851B9">
        <w:rPr>
          <w:rFonts w:asciiTheme="minorHAnsi" w:hAnsiTheme="minorHAnsi"/>
          <w:i/>
          <w:sz w:val="18"/>
          <w:szCs w:val="18"/>
        </w:rPr>
        <w:t>’</w:t>
      </w:r>
      <w:r w:rsidRPr="003851B9">
        <w:rPr>
          <w:rFonts w:asciiTheme="minorHAnsi" w:hAnsiTheme="minorHAnsi"/>
          <w:sz w:val="18"/>
          <w:szCs w:val="18"/>
        </w:rPr>
        <w:t xml:space="preserve">. </w:t>
      </w:r>
    </w:p>
    <w:p w14:paraId="0ADF2223" w14:textId="77777777" w:rsidR="007F132E" w:rsidRPr="00C21514" w:rsidRDefault="007F132E" w:rsidP="001440E4">
      <w:pPr>
        <w:pStyle w:val="FootnoteText"/>
        <w:jc w:val="both"/>
        <w:rPr>
          <w:rFonts w:asciiTheme="minorHAnsi" w:hAnsiTheme="minorHAnsi"/>
          <w:sz w:val="18"/>
          <w:szCs w:val="18"/>
        </w:rPr>
      </w:pPr>
    </w:p>
  </w:footnote>
  <w:footnote w:id="5">
    <w:p w14:paraId="2D2D40BA" w14:textId="6BEA9110" w:rsidR="007F132E" w:rsidRPr="002110BA" w:rsidRDefault="007F132E" w:rsidP="000F2375">
      <w:pPr>
        <w:pStyle w:val="FootnoteText"/>
        <w:rPr>
          <w:rFonts w:asciiTheme="minorHAnsi" w:hAnsiTheme="minorHAnsi"/>
          <w:sz w:val="18"/>
          <w:szCs w:val="18"/>
        </w:rPr>
      </w:pPr>
      <w:r w:rsidRPr="002110BA">
        <w:rPr>
          <w:rStyle w:val="FootnoteReference"/>
          <w:rFonts w:asciiTheme="minorHAnsi" w:hAnsiTheme="minorHAnsi"/>
          <w:sz w:val="18"/>
          <w:szCs w:val="18"/>
        </w:rPr>
        <w:footnoteRef/>
      </w:r>
      <w:r w:rsidR="000F2375" w:rsidRPr="002110BA">
        <w:rPr>
          <w:rFonts w:asciiTheme="minorHAnsi" w:hAnsiTheme="minorHAnsi"/>
          <w:sz w:val="18"/>
          <w:szCs w:val="18"/>
        </w:rPr>
        <w:t xml:space="preserve">For a full explanation of the current system see “Improving Access to Justice </w:t>
      </w:r>
      <w:proofErr w:type="gramStart"/>
      <w:r w:rsidR="000F2375" w:rsidRPr="002110BA">
        <w:rPr>
          <w:rFonts w:asciiTheme="minorHAnsi" w:hAnsiTheme="minorHAnsi"/>
          <w:sz w:val="18"/>
          <w:szCs w:val="18"/>
        </w:rPr>
        <w:t>Through</w:t>
      </w:r>
      <w:proofErr w:type="gramEnd"/>
      <w:r w:rsidR="000F2375" w:rsidRPr="002110BA">
        <w:rPr>
          <w:rFonts w:asciiTheme="minorHAnsi" w:hAnsiTheme="minorHAnsi"/>
          <w:sz w:val="18"/>
          <w:szCs w:val="18"/>
        </w:rPr>
        <w:t xml:space="preserve"> Collective Actions”, Civil Justice Council, 2008. </w:t>
      </w:r>
      <w:hyperlink r:id="rId1" w:history="1">
        <w:r w:rsidR="000F2375" w:rsidRPr="002110BA">
          <w:rPr>
            <w:rStyle w:val="Hyperlink"/>
            <w:rFonts w:asciiTheme="minorHAnsi" w:hAnsiTheme="minorHAnsi"/>
            <w:sz w:val="18"/>
            <w:szCs w:val="18"/>
          </w:rPr>
          <w:t>http://www.ucl.ac.uk/laws/judicial-institute/files/Improving_Access_to_Justice_through_Collective_Actions_-_final_report.pdf</w:t>
        </w:r>
      </w:hyperlink>
      <w:r w:rsidR="000F2375" w:rsidRPr="002110BA">
        <w:rPr>
          <w:rFonts w:asciiTheme="minorHAnsi" w:hAnsiTheme="minorHAnsi"/>
          <w:sz w:val="18"/>
          <w:szCs w:val="18"/>
        </w:rPr>
        <w:t xml:space="preserve"> </w:t>
      </w:r>
      <w:r w:rsidRPr="002110BA">
        <w:rPr>
          <w:rFonts w:asciiTheme="minorHAnsi" w:hAnsiTheme="minorHAnsi"/>
          <w:sz w:val="18"/>
          <w:szCs w:val="18"/>
        </w:rPr>
        <w:t xml:space="preserve"> “Access to justice is, despite the present procedural mechanisms, still disproportionately weighted against claimants whether they are groups of consumers, small businesses, employees, or victims of mass torts. This has resulted in few claims being brought, and significantly, demonstrates that a number of meritorious claims simply </w:t>
      </w:r>
      <w:r w:rsidR="00B83FE4">
        <w:rPr>
          <w:rFonts w:asciiTheme="minorHAnsi" w:hAnsiTheme="minorHAnsi"/>
          <w:sz w:val="18"/>
          <w:szCs w:val="18"/>
        </w:rPr>
        <w:t>have not seen the light of day.</w:t>
      </w:r>
      <w:r w:rsidRPr="002110BA">
        <w:rPr>
          <w:rFonts w:asciiTheme="minorHAnsi" w:hAnsi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08C"/>
    <w:multiLevelType w:val="hybridMultilevel"/>
    <w:tmpl w:val="EF20326A"/>
    <w:lvl w:ilvl="0" w:tplc="AF04D8D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F3A15"/>
    <w:multiLevelType w:val="hybridMultilevel"/>
    <w:tmpl w:val="EEA0129E"/>
    <w:lvl w:ilvl="0" w:tplc="C3E0F036">
      <w:start w:val="2"/>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E3D20"/>
    <w:multiLevelType w:val="hybridMultilevel"/>
    <w:tmpl w:val="83A2465C"/>
    <w:lvl w:ilvl="0" w:tplc="9B7203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01F4"/>
    <w:multiLevelType w:val="hybridMultilevel"/>
    <w:tmpl w:val="4720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61D1A"/>
    <w:multiLevelType w:val="hybridMultilevel"/>
    <w:tmpl w:val="42E0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D508A"/>
    <w:multiLevelType w:val="hybridMultilevel"/>
    <w:tmpl w:val="F5020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177B24"/>
    <w:multiLevelType w:val="hybridMultilevel"/>
    <w:tmpl w:val="DA8C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4FA9"/>
    <w:multiLevelType w:val="hybridMultilevel"/>
    <w:tmpl w:val="B248EC5C"/>
    <w:lvl w:ilvl="0" w:tplc="6BA89544">
      <w:start w:val="3"/>
      <w:numFmt w:val="bullet"/>
      <w:lvlText w:val="-"/>
      <w:lvlJc w:val="left"/>
      <w:pPr>
        <w:ind w:left="777" w:hanging="360"/>
      </w:pPr>
      <w:rPr>
        <w:rFonts w:ascii="Calibri" w:eastAsiaTheme="minorHAnsi" w:hAnsi="Calibri" w:cstheme="minorBid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6594E80"/>
    <w:multiLevelType w:val="hybridMultilevel"/>
    <w:tmpl w:val="4B1E4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B654F"/>
    <w:multiLevelType w:val="multilevel"/>
    <w:tmpl w:val="47E80C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48314F"/>
    <w:multiLevelType w:val="hybridMultilevel"/>
    <w:tmpl w:val="59A43A4A"/>
    <w:lvl w:ilvl="0" w:tplc="C9FC62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8485E"/>
    <w:multiLevelType w:val="hybridMultilevel"/>
    <w:tmpl w:val="1C08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E7932"/>
    <w:multiLevelType w:val="hybridMultilevel"/>
    <w:tmpl w:val="69E8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D061D"/>
    <w:multiLevelType w:val="hybridMultilevel"/>
    <w:tmpl w:val="B23C2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A4AA4"/>
    <w:multiLevelType w:val="hybridMultilevel"/>
    <w:tmpl w:val="602A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00DB2"/>
    <w:multiLevelType w:val="hybridMultilevel"/>
    <w:tmpl w:val="0F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52EAE"/>
    <w:multiLevelType w:val="hybridMultilevel"/>
    <w:tmpl w:val="2964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F40EC"/>
    <w:multiLevelType w:val="hybridMultilevel"/>
    <w:tmpl w:val="B6FA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173C5"/>
    <w:multiLevelType w:val="hybridMultilevel"/>
    <w:tmpl w:val="40B6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151E5"/>
    <w:multiLevelType w:val="hybridMultilevel"/>
    <w:tmpl w:val="C658C846"/>
    <w:lvl w:ilvl="0" w:tplc="6BA8954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20F1F"/>
    <w:multiLevelType w:val="hybridMultilevel"/>
    <w:tmpl w:val="A548612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571A5112"/>
    <w:multiLevelType w:val="hybridMultilevel"/>
    <w:tmpl w:val="AB7A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131C4"/>
    <w:multiLevelType w:val="hybridMultilevel"/>
    <w:tmpl w:val="DA163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A2974"/>
    <w:multiLevelType w:val="hybridMultilevel"/>
    <w:tmpl w:val="6A2E0294"/>
    <w:lvl w:ilvl="0" w:tplc="BA2259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50C63"/>
    <w:multiLevelType w:val="hybridMultilevel"/>
    <w:tmpl w:val="DD08370A"/>
    <w:lvl w:ilvl="0" w:tplc="E09ED13E">
      <w:numFmt w:val="bullet"/>
      <w:lvlText w:val="-"/>
      <w:lvlJc w:val="left"/>
      <w:pPr>
        <w:ind w:left="284" w:hanging="227"/>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11EC4"/>
    <w:multiLevelType w:val="hybridMultilevel"/>
    <w:tmpl w:val="10BC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10A77"/>
    <w:multiLevelType w:val="hybridMultilevel"/>
    <w:tmpl w:val="37D8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F1EB0"/>
    <w:multiLevelType w:val="hybridMultilevel"/>
    <w:tmpl w:val="FED6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62B47"/>
    <w:multiLevelType w:val="hybridMultilevel"/>
    <w:tmpl w:val="DE4EF0B0"/>
    <w:lvl w:ilvl="0" w:tplc="C3E0F036">
      <w:start w:val="2"/>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F0A6A"/>
    <w:multiLevelType w:val="hybridMultilevel"/>
    <w:tmpl w:val="6C7A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87506"/>
    <w:multiLevelType w:val="hybridMultilevel"/>
    <w:tmpl w:val="7756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56D16"/>
    <w:multiLevelType w:val="hybridMultilevel"/>
    <w:tmpl w:val="7B66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57D4E"/>
    <w:multiLevelType w:val="hybridMultilevel"/>
    <w:tmpl w:val="E076BF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76044FF8"/>
    <w:multiLevelType w:val="hybridMultilevel"/>
    <w:tmpl w:val="3124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
  </w:num>
  <w:num w:numId="4">
    <w:abstractNumId w:val="28"/>
  </w:num>
  <w:num w:numId="5">
    <w:abstractNumId w:val="8"/>
  </w:num>
  <w:num w:numId="6">
    <w:abstractNumId w:val="9"/>
  </w:num>
  <w:num w:numId="7">
    <w:abstractNumId w:val="5"/>
  </w:num>
  <w:num w:numId="8">
    <w:abstractNumId w:val="22"/>
  </w:num>
  <w:num w:numId="9">
    <w:abstractNumId w:val="24"/>
  </w:num>
  <w:num w:numId="10">
    <w:abstractNumId w:val="25"/>
  </w:num>
  <w:num w:numId="11">
    <w:abstractNumId w:val="13"/>
  </w:num>
  <w:num w:numId="12">
    <w:abstractNumId w:val="19"/>
  </w:num>
  <w:num w:numId="13">
    <w:abstractNumId w:val="7"/>
  </w:num>
  <w:num w:numId="14">
    <w:abstractNumId w:val="32"/>
  </w:num>
  <w:num w:numId="15">
    <w:abstractNumId w:val="10"/>
  </w:num>
  <w:num w:numId="16">
    <w:abstractNumId w:val="18"/>
  </w:num>
  <w:num w:numId="17">
    <w:abstractNumId w:val="4"/>
  </w:num>
  <w:num w:numId="18">
    <w:abstractNumId w:val="17"/>
  </w:num>
  <w:num w:numId="19">
    <w:abstractNumId w:val="11"/>
  </w:num>
  <w:num w:numId="20">
    <w:abstractNumId w:val="14"/>
  </w:num>
  <w:num w:numId="21">
    <w:abstractNumId w:val="3"/>
  </w:num>
  <w:num w:numId="22">
    <w:abstractNumId w:val="15"/>
  </w:num>
  <w:num w:numId="23">
    <w:abstractNumId w:val="12"/>
  </w:num>
  <w:num w:numId="24">
    <w:abstractNumId w:val="21"/>
  </w:num>
  <w:num w:numId="25">
    <w:abstractNumId w:val="29"/>
  </w:num>
  <w:num w:numId="26">
    <w:abstractNumId w:val="26"/>
  </w:num>
  <w:num w:numId="27">
    <w:abstractNumId w:val="27"/>
  </w:num>
  <w:num w:numId="28">
    <w:abstractNumId w:val="16"/>
  </w:num>
  <w:num w:numId="29">
    <w:abstractNumId w:val="6"/>
  </w:num>
  <w:num w:numId="30">
    <w:abstractNumId w:val="30"/>
  </w:num>
  <w:num w:numId="31">
    <w:abstractNumId w:val="33"/>
  </w:num>
  <w:num w:numId="32">
    <w:abstractNumId w:val="0"/>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91"/>
    <w:rsid w:val="000049AE"/>
    <w:rsid w:val="00006F40"/>
    <w:rsid w:val="00006FFA"/>
    <w:rsid w:val="00021E2B"/>
    <w:rsid w:val="000334AB"/>
    <w:rsid w:val="00052CB5"/>
    <w:rsid w:val="00061A0C"/>
    <w:rsid w:val="00065796"/>
    <w:rsid w:val="0007777C"/>
    <w:rsid w:val="00087936"/>
    <w:rsid w:val="0009545F"/>
    <w:rsid w:val="000A04D5"/>
    <w:rsid w:val="000B5129"/>
    <w:rsid w:val="000B531A"/>
    <w:rsid w:val="000C5A34"/>
    <w:rsid w:val="000D0B96"/>
    <w:rsid w:val="000D0BC5"/>
    <w:rsid w:val="000D33B7"/>
    <w:rsid w:val="000D5471"/>
    <w:rsid w:val="000F06D1"/>
    <w:rsid w:val="000F2375"/>
    <w:rsid w:val="000F511E"/>
    <w:rsid w:val="00103993"/>
    <w:rsid w:val="00112EFB"/>
    <w:rsid w:val="00130035"/>
    <w:rsid w:val="001440E4"/>
    <w:rsid w:val="001768E2"/>
    <w:rsid w:val="00190747"/>
    <w:rsid w:val="00193416"/>
    <w:rsid w:val="001A1F87"/>
    <w:rsid w:val="001A7DCD"/>
    <w:rsid w:val="001C6DE8"/>
    <w:rsid w:val="001D09F0"/>
    <w:rsid w:val="001E3363"/>
    <w:rsid w:val="001F75DA"/>
    <w:rsid w:val="002110BA"/>
    <w:rsid w:val="00212ADB"/>
    <w:rsid w:val="0021309A"/>
    <w:rsid w:val="00222774"/>
    <w:rsid w:val="00233768"/>
    <w:rsid w:val="00234438"/>
    <w:rsid w:val="00247295"/>
    <w:rsid w:val="00250DFD"/>
    <w:rsid w:val="00266C0D"/>
    <w:rsid w:val="00297C49"/>
    <w:rsid w:val="002A38C9"/>
    <w:rsid w:val="002A633D"/>
    <w:rsid w:val="002A6E35"/>
    <w:rsid w:val="002A7555"/>
    <w:rsid w:val="002B281C"/>
    <w:rsid w:val="002B2E79"/>
    <w:rsid w:val="002B5C5C"/>
    <w:rsid w:val="002C5C97"/>
    <w:rsid w:val="002D4A37"/>
    <w:rsid w:val="002D7C8C"/>
    <w:rsid w:val="002F7EC5"/>
    <w:rsid w:val="00300E47"/>
    <w:rsid w:val="00304889"/>
    <w:rsid w:val="003112D6"/>
    <w:rsid w:val="00326745"/>
    <w:rsid w:val="00326BE9"/>
    <w:rsid w:val="00330A5C"/>
    <w:rsid w:val="00332E7B"/>
    <w:rsid w:val="00341507"/>
    <w:rsid w:val="00341CC2"/>
    <w:rsid w:val="003518CF"/>
    <w:rsid w:val="00375597"/>
    <w:rsid w:val="00377FA8"/>
    <w:rsid w:val="003851B9"/>
    <w:rsid w:val="00390396"/>
    <w:rsid w:val="00395B0C"/>
    <w:rsid w:val="00397B81"/>
    <w:rsid w:val="003B0156"/>
    <w:rsid w:val="003B3F70"/>
    <w:rsid w:val="003C33EF"/>
    <w:rsid w:val="003D289D"/>
    <w:rsid w:val="003D2B93"/>
    <w:rsid w:val="003E1DA8"/>
    <w:rsid w:val="003E4B90"/>
    <w:rsid w:val="004026EB"/>
    <w:rsid w:val="00412359"/>
    <w:rsid w:val="00417B88"/>
    <w:rsid w:val="0042183E"/>
    <w:rsid w:val="00427510"/>
    <w:rsid w:val="0044574D"/>
    <w:rsid w:val="004526F8"/>
    <w:rsid w:val="0047486C"/>
    <w:rsid w:val="004754C9"/>
    <w:rsid w:val="004A3DC8"/>
    <w:rsid w:val="004E255E"/>
    <w:rsid w:val="004F1DA3"/>
    <w:rsid w:val="005043EE"/>
    <w:rsid w:val="00525B9F"/>
    <w:rsid w:val="00527987"/>
    <w:rsid w:val="005438AE"/>
    <w:rsid w:val="00556401"/>
    <w:rsid w:val="005704C8"/>
    <w:rsid w:val="00572B71"/>
    <w:rsid w:val="005A3FDB"/>
    <w:rsid w:val="005A4B4D"/>
    <w:rsid w:val="005B4028"/>
    <w:rsid w:val="005B4B5D"/>
    <w:rsid w:val="005C0A97"/>
    <w:rsid w:val="005C7BCD"/>
    <w:rsid w:val="005D5247"/>
    <w:rsid w:val="005D5F26"/>
    <w:rsid w:val="005E06CD"/>
    <w:rsid w:val="005F3654"/>
    <w:rsid w:val="005F37A9"/>
    <w:rsid w:val="005F3B3B"/>
    <w:rsid w:val="00601AD0"/>
    <w:rsid w:val="00602A8C"/>
    <w:rsid w:val="0061020A"/>
    <w:rsid w:val="00617524"/>
    <w:rsid w:val="00621564"/>
    <w:rsid w:val="00622A5E"/>
    <w:rsid w:val="006238D5"/>
    <w:rsid w:val="0062568F"/>
    <w:rsid w:val="006316D4"/>
    <w:rsid w:val="006423D2"/>
    <w:rsid w:val="0064637B"/>
    <w:rsid w:val="00655EA3"/>
    <w:rsid w:val="00671579"/>
    <w:rsid w:val="00685EFC"/>
    <w:rsid w:val="006A0D94"/>
    <w:rsid w:val="006B2B5C"/>
    <w:rsid w:val="006B3254"/>
    <w:rsid w:val="006C0892"/>
    <w:rsid w:val="006D626D"/>
    <w:rsid w:val="006F0463"/>
    <w:rsid w:val="00701D7B"/>
    <w:rsid w:val="00706691"/>
    <w:rsid w:val="00717385"/>
    <w:rsid w:val="00727A60"/>
    <w:rsid w:val="00746C45"/>
    <w:rsid w:val="00756F1B"/>
    <w:rsid w:val="007652C7"/>
    <w:rsid w:val="00765DB5"/>
    <w:rsid w:val="0078103E"/>
    <w:rsid w:val="0078641D"/>
    <w:rsid w:val="007C5139"/>
    <w:rsid w:val="007D0742"/>
    <w:rsid w:val="007E622C"/>
    <w:rsid w:val="007F132E"/>
    <w:rsid w:val="007F6EFC"/>
    <w:rsid w:val="00806CF8"/>
    <w:rsid w:val="00810C30"/>
    <w:rsid w:val="00813E20"/>
    <w:rsid w:val="00816216"/>
    <w:rsid w:val="00824C1A"/>
    <w:rsid w:val="00825290"/>
    <w:rsid w:val="0083531B"/>
    <w:rsid w:val="00837671"/>
    <w:rsid w:val="00842782"/>
    <w:rsid w:val="008469EC"/>
    <w:rsid w:val="008509D1"/>
    <w:rsid w:val="00854564"/>
    <w:rsid w:val="00862C2F"/>
    <w:rsid w:val="008752B7"/>
    <w:rsid w:val="00890DAE"/>
    <w:rsid w:val="008A641F"/>
    <w:rsid w:val="008C163F"/>
    <w:rsid w:val="008C18B8"/>
    <w:rsid w:val="008C4774"/>
    <w:rsid w:val="008D1857"/>
    <w:rsid w:val="008D1EBB"/>
    <w:rsid w:val="008D2C0E"/>
    <w:rsid w:val="008D3496"/>
    <w:rsid w:val="008D6EB0"/>
    <w:rsid w:val="008E1410"/>
    <w:rsid w:val="008F3D27"/>
    <w:rsid w:val="00903E96"/>
    <w:rsid w:val="00904CD6"/>
    <w:rsid w:val="00914A25"/>
    <w:rsid w:val="00926547"/>
    <w:rsid w:val="009323B4"/>
    <w:rsid w:val="00936159"/>
    <w:rsid w:val="0094623D"/>
    <w:rsid w:val="00947406"/>
    <w:rsid w:val="00960E10"/>
    <w:rsid w:val="00962809"/>
    <w:rsid w:val="009654C6"/>
    <w:rsid w:val="00985DBE"/>
    <w:rsid w:val="00990493"/>
    <w:rsid w:val="009A067E"/>
    <w:rsid w:val="009B2B67"/>
    <w:rsid w:val="009C13CE"/>
    <w:rsid w:val="009E2116"/>
    <w:rsid w:val="00A14492"/>
    <w:rsid w:val="00A20D12"/>
    <w:rsid w:val="00A26178"/>
    <w:rsid w:val="00A404FA"/>
    <w:rsid w:val="00A40C6B"/>
    <w:rsid w:val="00A529C9"/>
    <w:rsid w:val="00A62999"/>
    <w:rsid w:val="00AA5031"/>
    <w:rsid w:val="00AB2F23"/>
    <w:rsid w:val="00AB71E5"/>
    <w:rsid w:val="00AB7C15"/>
    <w:rsid w:val="00AD1025"/>
    <w:rsid w:val="00AD15F2"/>
    <w:rsid w:val="00AD3C60"/>
    <w:rsid w:val="00AD5A26"/>
    <w:rsid w:val="00AE12CD"/>
    <w:rsid w:val="00AF627F"/>
    <w:rsid w:val="00B14568"/>
    <w:rsid w:val="00B2137F"/>
    <w:rsid w:val="00B27A23"/>
    <w:rsid w:val="00B30742"/>
    <w:rsid w:val="00B341CC"/>
    <w:rsid w:val="00B3616C"/>
    <w:rsid w:val="00B47924"/>
    <w:rsid w:val="00B6767A"/>
    <w:rsid w:val="00B67B92"/>
    <w:rsid w:val="00B83FE4"/>
    <w:rsid w:val="00B855B3"/>
    <w:rsid w:val="00BA6E38"/>
    <w:rsid w:val="00BC5836"/>
    <w:rsid w:val="00BC723D"/>
    <w:rsid w:val="00BD0DAE"/>
    <w:rsid w:val="00BD19D4"/>
    <w:rsid w:val="00BD3034"/>
    <w:rsid w:val="00BE02A1"/>
    <w:rsid w:val="00BE1FFD"/>
    <w:rsid w:val="00BF1DA1"/>
    <w:rsid w:val="00BF5248"/>
    <w:rsid w:val="00C11160"/>
    <w:rsid w:val="00C21514"/>
    <w:rsid w:val="00C228C2"/>
    <w:rsid w:val="00C36EE0"/>
    <w:rsid w:val="00C40BD5"/>
    <w:rsid w:val="00C4158E"/>
    <w:rsid w:val="00C60567"/>
    <w:rsid w:val="00C70699"/>
    <w:rsid w:val="00C8081D"/>
    <w:rsid w:val="00C92B7D"/>
    <w:rsid w:val="00CA2D4C"/>
    <w:rsid w:val="00CC6F3E"/>
    <w:rsid w:val="00CD493C"/>
    <w:rsid w:val="00CD5BC0"/>
    <w:rsid w:val="00CD6062"/>
    <w:rsid w:val="00CE69A7"/>
    <w:rsid w:val="00D13AF1"/>
    <w:rsid w:val="00D228B6"/>
    <w:rsid w:val="00D35F30"/>
    <w:rsid w:val="00D42B4E"/>
    <w:rsid w:val="00D50354"/>
    <w:rsid w:val="00D51BF4"/>
    <w:rsid w:val="00D537FA"/>
    <w:rsid w:val="00D5443D"/>
    <w:rsid w:val="00D62190"/>
    <w:rsid w:val="00D64DAD"/>
    <w:rsid w:val="00D75E19"/>
    <w:rsid w:val="00D85A0A"/>
    <w:rsid w:val="00D85E24"/>
    <w:rsid w:val="00D86F45"/>
    <w:rsid w:val="00D87AE5"/>
    <w:rsid w:val="00D9584D"/>
    <w:rsid w:val="00D95C3E"/>
    <w:rsid w:val="00DA2272"/>
    <w:rsid w:val="00DC0010"/>
    <w:rsid w:val="00DC5FD4"/>
    <w:rsid w:val="00DE6A22"/>
    <w:rsid w:val="00E050D8"/>
    <w:rsid w:val="00E12D0D"/>
    <w:rsid w:val="00E17695"/>
    <w:rsid w:val="00E20047"/>
    <w:rsid w:val="00E40772"/>
    <w:rsid w:val="00E41934"/>
    <w:rsid w:val="00E41BDC"/>
    <w:rsid w:val="00E42245"/>
    <w:rsid w:val="00E44968"/>
    <w:rsid w:val="00E52E9C"/>
    <w:rsid w:val="00E60EE6"/>
    <w:rsid w:val="00E642B4"/>
    <w:rsid w:val="00E700DB"/>
    <w:rsid w:val="00E71CEC"/>
    <w:rsid w:val="00E7567A"/>
    <w:rsid w:val="00E94776"/>
    <w:rsid w:val="00EA38F7"/>
    <w:rsid w:val="00EA5F99"/>
    <w:rsid w:val="00EB4977"/>
    <w:rsid w:val="00EE59F3"/>
    <w:rsid w:val="00EE6A29"/>
    <w:rsid w:val="00F1128B"/>
    <w:rsid w:val="00F15891"/>
    <w:rsid w:val="00F167DC"/>
    <w:rsid w:val="00F22E6A"/>
    <w:rsid w:val="00F311AE"/>
    <w:rsid w:val="00F31FC0"/>
    <w:rsid w:val="00F32A53"/>
    <w:rsid w:val="00F351D8"/>
    <w:rsid w:val="00F766CB"/>
    <w:rsid w:val="00F80703"/>
    <w:rsid w:val="00F91A30"/>
    <w:rsid w:val="00FA669B"/>
    <w:rsid w:val="00FD185C"/>
    <w:rsid w:val="00FF5C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F7DAE"/>
  <w15:docId w15:val="{27547764-9904-4F2F-A2BA-7BF50245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6691"/>
    <w:pPr>
      <w:spacing w:after="0" w:line="240" w:lineRule="auto"/>
    </w:pPr>
    <w:rPr>
      <w:rFonts w:ascii="Helvetica Neue" w:eastAsiaTheme="minorEastAsia" w:hAnsi="Helvetica Neue"/>
      <w:sz w:val="24"/>
      <w:szCs w:val="24"/>
    </w:rPr>
  </w:style>
  <w:style w:type="character" w:customStyle="1" w:styleId="FootnoteTextChar">
    <w:name w:val="Footnote Text Char"/>
    <w:basedOn w:val="DefaultParagraphFont"/>
    <w:link w:val="FootnoteText"/>
    <w:uiPriority w:val="99"/>
    <w:rsid w:val="00706691"/>
    <w:rPr>
      <w:rFonts w:ascii="Helvetica Neue" w:eastAsiaTheme="minorEastAsia" w:hAnsi="Helvetica Neue"/>
      <w:sz w:val="24"/>
      <w:szCs w:val="24"/>
    </w:rPr>
  </w:style>
  <w:style w:type="character" w:styleId="FootnoteReference">
    <w:name w:val="footnote reference"/>
    <w:basedOn w:val="DefaultParagraphFont"/>
    <w:uiPriority w:val="99"/>
    <w:unhideWhenUsed/>
    <w:rsid w:val="00706691"/>
    <w:rPr>
      <w:vertAlign w:val="superscript"/>
    </w:rPr>
  </w:style>
  <w:style w:type="paragraph" w:styleId="ListParagraph">
    <w:name w:val="List Paragraph"/>
    <w:basedOn w:val="Normal"/>
    <w:uiPriority w:val="99"/>
    <w:qFormat/>
    <w:rsid w:val="00706691"/>
    <w:pPr>
      <w:ind w:left="720"/>
      <w:contextualSpacing/>
    </w:pPr>
  </w:style>
  <w:style w:type="character" w:styleId="Hyperlink">
    <w:name w:val="Hyperlink"/>
    <w:basedOn w:val="DefaultParagraphFont"/>
    <w:uiPriority w:val="99"/>
    <w:unhideWhenUsed/>
    <w:rsid w:val="00962809"/>
    <w:rPr>
      <w:color w:val="0563C1" w:themeColor="hyperlink"/>
      <w:u w:val="single"/>
    </w:rPr>
  </w:style>
  <w:style w:type="paragraph" w:styleId="TOC2">
    <w:name w:val="toc 2"/>
    <w:basedOn w:val="Normal"/>
    <w:next w:val="Normal"/>
    <w:autoRedefine/>
    <w:uiPriority w:val="39"/>
    <w:semiHidden/>
    <w:unhideWhenUsed/>
    <w:rsid w:val="00862C2F"/>
    <w:pPr>
      <w:spacing w:after="100"/>
      <w:ind w:left="220"/>
    </w:pPr>
  </w:style>
  <w:style w:type="table" w:styleId="MediumGrid3-Accent3">
    <w:name w:val="Medium Grid 3 Accent 3"/>
    <w:basedOn w:val="TableNormal"/>
    <w:uiPriority w:val="69"/>
    <w:rsid w:val="00D228B6"/>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NormalWeb">
    <w:name w:val="Normal (Web)"/>
    <w:basedOn w:val="Normal"/>
    <w:uiPriority w:val="99"/>
    <w:rsid w:val="00601AD0"/>
    <w:pPr>
      <w:spacing w:beforeLines="1" w:afterLines="1" w:line="240" w:lineRule="auto"/>
    </w:pPr>
    <w:rPr>
      <w:rFonts w:ascii="Times" w:hAnsi="Times" w:cs="Times New Roman"/>
      <w:sz w:val="20"/>
      <w:szCs w:val="20"/>
    </w:rPr>
  </w:style>
  <w:style w:type="table" w:styleId="LightShading-Accent4">
    <w:name w:val="Light Shading Accent 4"/>
    <w:basedOn w:val="TableNormal"/>
    <w:uiPriority w:val="60"/>
    <w:rsid w:val="004F1DA3"/>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BalloonText">
    <w:name w:val="Balloon Text"/>
    <w:basedOn w:val="Normal"/>
    <w:link w:val="BalloonTextChar"/>
    <w:uiPriority w:val="99"/>
    <w:semiHidden/>
    <w:unhideWhenUsed/>
    <w:rsid w:val="00BD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9D4"/>
    <w:rPr>
      <w:rFonts w:ascii="Segoe UI" w:hAnsi="Segoe UI" w:cs="Segoe UI"/>
      <w:sz w:val="18"/>
      <w:szCs w:val="18"/>
    </w:rPr>
  </w:style>
  <w:style w:type="character" w:styleId="CommentReference">
    <w:name w:val="annotation reference"/>
    <w:basedOn w:val="DefaultParagraphFont"/>
    <w:uiPriority w:val="99"/>
    <w:semiHidden/>
    <w:unhideWhenUsed/>
    <w:rsid w:val="000334AB"/>
    <w:rPr>
      <w:sz w:val="16"/>
      <w:szCs w:val="16"/>
    </w:rPr>
  </w:style>
  <w:style w:type="paragraph" w:styleId="CommentText">
    <w:name w:val="annotation text"/>
    <w:basedOn w:val="Normal"/>
    <w:link w:val="CommentTextChar"/>
    <w:uiPriority w:val="99"/>
    <w:semiHidden/>
    <w:unhideWhenUsed/>
    <w:rsid w:val="000334AB"/>
    <w:pPr>
      <w:spacing w:line="240" w:lineRule="auto"/>
    </w:pPr>
    <w:rPr>
      <w:sz w:val="20"/>
      <w:szCs w:val="20"/>
    </w:rPr>
  </w:style>
  <w:style w:type="character" w:customStyle="1" w:styleId="CommentTextChar">
    <w:name w:val="Comment Text Char"/>
    <w:basedOn w:val="DefaultParagraphFont"/>
    <w:link w:val="CommentText"/>
    <w:uiPriority w:val="99"/>
    <w:semiHidden/>
    <w:rsid w:val="000334AB"/>
    <w:rPr>
      <w:sz w:val="20"/>
      <w:szCs w:val="20"/>
    </w:rPr>
  </w:style>
  <w:style w:type="paragraph" w:styleId="CommentSubject">
    <w:name w:val="annotation subject"/>
    <w:basedOn w:val="CommentText"/>
    <w:next w:val="CommentText"/>
    <w:link w:val="CommentSubjectChar"/>
    <w:uiPriority w:val="99"/>
    <w:semiHidden/>
    <w:unhideWhenUsed/>
    <w:rsid w:val="000334AB"/>
    <w:rPr>
      <w:b/>
      <w:bCs/>
    </w:rPr>
  </w:style>
  <w:style w:type="character" w:customStyle="1" w:styleId="CommentSubjectChar">
    <w:name w:val="Comment Subject Char"/>
    <w:basedOn w:val="CommentTextChar"/>
    <w:link w:val="CommentSubject"/>
    <w:uiPriority w:val="99"/>
    <w:semiHidden/>
    <w:rsid w:val="000334AB"/>
    <w:rPr>
      <w:b/>
      <w:bCs/>
      <w:sz w:val="20"/>
      <w:szCs w:val="20"/>
    </w:rPr>
  </w:style>
  <w:style w:type="paragraph" w:customStyle="1" w:styleId="Default">
    <w:name w:val="Default"/>
    <w:rsid w:val="00D9584D"/>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1A7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DCD"/>
  </w:style>
  <w:style w:type="paragraph" w:styleId="Footer">
    <w:name w:val="footer"/>
    <w:basedOn w:val="Normal"/>
    <w:link w:val="FooterChar"/>
    <w:uiPriority w:val="99"/>
    <w:unhideWhenUsed/>
    <w:rsid w:val="001A7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730">
      <w:bodyDiv w:val="1"/>
      <w:marLeft w:val="0"/>
      <w:marRight w:val="0"/>
      <w:marTop w:val="0"/>
      <w:marBottom w:val="0"/>
      <w:divBdr>
        <w:top w:val="none" w:sz="0" w:space="0" w:color="auto"/>
        <w:left w:val="none" w:sz="0" w:space="0" w:color="auto"/>
        <w:bottom w:val="none" w:sz="0" w:space="0" w:color="auto"/>
        <w:right w:val="none" w:sz="0" w:space="0" w:color="auto"/>
      </w:divBdr>
    </w:div>
    <w:div w:id="2004773783">
      <w:bodyDiv w:val="1"/>
      <w:marLeft w:val="0"/>
      <w:marRight w:val="0"/>
      <w:marTop w:val="0"/>
      <w:marBottom w:val="0"/>
      <w:divBdr>
        <w:top w:val="none" w:sz="0" w:space="0" w:color="auto"/>
        <w:left w:val="none" w:sz="0" w:space="0" w:color="auto"/>
        <w:bottom w:val="none" w:sz="0" w:space="0" w:color="auto"/>
        <w:right w:val="none" w:sz="0" w:space="0" w:color="auto"/>
      </w:divBdr>
      <w:divsChild>
        <w:div w:id="1354455516">
          <w:marLeft w:val="0"/>
          <w:marRight w:val="0"/>
          <w:marTop w:val="0"/>
          <w:marBottom w:val="0"/>
          <w:divBdr>
            <w:top w:val="none" w:sz="0" w:space="0" w:color="auto"/>
            <w:left w:val="none" w:sz="0" w:space="0" w:color="auto"/>
            <w:bottom w:val="none" w:sz="0" w:space="0" w:color="auto"/>
            <w:right w:val="none" w:sz="0" w:space="0" w:color="auto"/>
          </w:divBdr>
          <w:divsChild>
            <w:div w:id="624235013">
              <w:marLeft w:val="0"/>
              <w:marRight w:val="0"/>
              <w:marTop w:val="0"/>
              <w:marBottom w:val="0"/>
              <w:divBdr>
                <w:top w:val="none" w:sz="0" w:space="0" w:color="auto"/>
                <w:left w:val="none" w:sz="0" w:space="0" w:color="auto"/>
                <w:bottom w:val="none" w:sz="0" w:space="0" w:color="auto"/>
                <w:right w:val="none" w:sz="0" w:space="0" w:color="auto"/>
              </w:divBdr>
              <w:divsChild>
                <w:div w:id="9700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cl.ac.uk/laws/judicial-institute/files/Improving_Access_to_Justice_through_Collective_Actions_-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6D8B-7B06-423D-B5F8-7C9F554F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May</dc:creator>
  <cp:keywords/>
  <dc:description/>
  <cp:lastModifiedBy>Eniko Horvath</cp:lastModifiedBy>
  <cp:revision>2</cp:revision>
  <cp:lastPrinted>2015-07-30T11:08:00Z</cp:lastPrinted>
  <dcterms:created xsi:type="dcterms:W3CDTF">2015-07-31T11:17:00Z</dcterms:created>
  <dcterms:modified xsi:type="dcterms:W3CDTF">2015-07-31T11:17:00Z</dcterms:modified>
</cp:coreProperties>
</file>