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36" w:rsidRDefault="007F48C1" w:rsidP="00DD5136">
      <w:pPr>
        <w:pBdr>
          <w:bottom w:val="single" w:sz="12" w:space="1" w:color="auto"/>
        </w:pBdr>
        <w:spacing w:after="120"/>
        <w:jc w:val="center"/>
        <w:rPr>
          <w:b/>
        </w:rPr>
      </w:pPr>
      <w:r w:rsidRPr="007F48C1">
        <w:rPr>
          <w:b/>
        </w:rPr>
        <w:t>Q&amp;A from the Leigh Day / CORE Training Event on Access to Information</w:t>
      </w:r>
    </w:p>
    <w:p w:rsidR="00DD5136" w:rsidRDefault="007F48C1" w:rsidP="00DD5136">
      <w:pPr>
        <w:pStyle w:val="ListParagraph"/>
        <w:numPr>
          <w:ilvl w:val="0"/>
          <w:numId w:val="1"/>
        </w:numPr>
        <w:spacing w:before="240" w:after="120"/>
        <w:ind w:left="425" w:hanging="357"/>
        <w:contextualSpacing w:val="0"/>
        <w:rPr>
          <w:b/>
        </w:rPr>
      </w:pPr>
      <w:bookmarkStart w:id="0" w:name="_GoBack"/>
      <w:bookmarkEnd w:id="0"/>
      <w:r>
        <w:rPr>
          <w:b/>
        </w:rPr>
        <w:t>INTRODUCTION</w:t>
      </w:r>
    </w:p>
    <w:p w:rsidR="00DD5136" w:rsidRDefault="00E47F8E" w:rsidP="00DD5136">
      <w:pPr>
        <w:spacing w:after="120"/>
      </w:pPr>
      <w:r>
        <w:t>T</w:t>
      </w:r>
      <w:r w:rsidR="007F48C1" w:rsidRPr="007F48C1">
        <w:t xml:space="preserve">he </w:t>
      </w:r>
      <w:r w:rsidR="007F48C1">
        <w:t xml:space="preserve">idea of the training session </w:t>
      </w:r>
      <w:r>
        <w:t xml:space="preserve">arose </w:t>
      </w:r>
      <w:r w:rsidR="00934D6D">
        <w:t>during the CORE</w:t>
      </w:r>
      <w:r w:rsidR="007F48C1">
        <w:t xml:space="preserve"> member’s meeting in March where there had been a number of requests regarding access to information. </w:t>
      </w:r>
    </w:p>
    <w:p w:rsidR="00DD5136" w:rsidRDefault="00E47F8E" w:rsidP="00DD5136">
      <w:pPr>
        <w:spacing w:after="120"/>
      </w:pPr>
      <w:r>
        <w:t>B</w:t>
      </w:r>
      <w:r w:rsidR="00A010D3">
        <w:t xml:space="preserve">arriers to accessing documents </w:t>
      </w:r>
      <w:r w:rsidR="00B252EA">
        <w:t>have</w:t>
      </w:r>
      <w:r w:rsidR="00934D6D">
        <w:t xml:space="preserve"> a direct impact on a</w:t>
      </w:r>
      <w:r w:rsidR="00A010D3">
        <w:t xml:space="preserve">ccess to justice and </w:t>
      </w:r>
      <w:r w:rsidR="0086438D">
        <w:t xml:space="preserve">it is hoped that the </w:t>
      </w:r>
      <w:r>
        <w:t xml:space="preserve">training session </w:t>
      </w:r>
      <w:r w:rsidR="0086438D">
        <w:t>will t</w:t>
      </w:r>
      <w:r>
        <w:t xml:space="preserve">herefore </w:t>
      </w:r>
      <w:r w:rsidR="0086438D">
        <w:t>b</w:t>
      </w:r>
      <w:r>
        <w:t xml:space="preserve">e </w:t>
      </w:r>
      <w:r w:rsidR="00A010D3">
        <w:t xml:space="preserve">useful for the policy and advocacy work of attendees. </w:t>
      </w:r>
    </w:p>
    <w:p w:rsidR="00DD5136" w:rsidRDefault="00662AEB" w:rsidP="00DD5136">
      <w:pPr>
        <w:pStyle w:val="ListParagraph"/>
        <w:numPr>
          <w:ilvl w:val="0"/>
          <w:numId w:val="1"/>
        </w:numPr>
        <w:spacing w:before="240" w:after="120"/>
        <w:ind w:left="425" w:hanging="357"/>
        <w:contextualSpacing w:val="0"/>
        <w:rPr>
          <w:b/>
        </w:rPr>
      </w:pPr>
      <w:r>
        <w:rPr>
          <w:b/>
        </w:rPr>
        <w:t>CASE-</w:t>
      </w:r>
      <w:r w:rsidRPr="00662AEB">
        <w:rPr>
          <w:b/>
        </w:rPr>
        <w:t>SPECIFIC QUESTIONS</w:t>
      </w:r>
    </w:p>
    <w:p w:rsidR="00DD5136" w:rsidRDefault="00245853" w:rsidP="00DD5136">
      <w:pPr>
        <w:pStyle w:val="ListParagraph"/>
        <w:numPr>
          <w:ilvl w:val="0"/>
          <w:numId w:val="4"/>
        </w:numPr>
        <w:spacing w:after="120"/>
        <w:rPr>
          <w:b/>
          <w:i/>
        </w:rPr>
      </w:pPr>
      <w:r w:rsidRPr="00DD5136">
        <w:rPr>
          <w:b/>
          <w:i/>
        </w:rPr>
        <w:t>What are the implications of the</w:t>
      </w:r>
      <w:r w:rsidR="00D30D05" w:rsidRPr="00DD5136">
        <w:rPr>
          <w:b/>
          <w:i/>
        </w:rPr>
        <w:t xml:space="preserve"> case of Steinmetz and others v Global Witness for </w:t>
      </w:r>
      <w:r w:rsidR="00934D6D" w:rsidRPr="00DD5136">
        <w:rPr>
          <w:b/>
          <w:i/>
        </w:rPr>
        <w:t xml:space="preserve">other </w:t>
      </w:r>
      <w:r w:rsidR="00D30D05" w:rsidRPr="00DD5136">
        <w:rPr>
          <w:b/>
          <w:i/>
        </w:rPr>
        <w:t xml:space="preserve">NGOs </w:t>
      </w:r>
      <w:r w:rsidR="00934D6D" w:rsidRPr="00DD5136">
        <w:rPr>
          <w:b/>
          <w:i/>
        </w:rPr>
        <w:t xml:space="preserve">who are </w:t>
      </w:r>
      <w:r w:rsidR="00D30D05" w:rsidRPr="00DD5136">
        <w:rPr>
          <w:b/>
          <w:i/>
        </w:rPr>
        <w:t xml:space="preserve">subject to requests under the </w:t>
      </w:r>
      <w:r w:rsidRPr="00DD5136">
        <w:rPr>
          <w:b/>
          <w:i/>
        </w:rPr>
        <w:t xml:space="preserve">Data Protection Act 1998 (“DPA”)? Can an NGO </w:t>
      </w:r>
      <w:r w:rsidR="00D30D05" w:rsidRPr="00DD5136">
        <w:rPr>
          <w:b/>
          <w:i/>
        </w:rPr>
        <w:t xml:space="preserve">be required </w:t>
      </w:r>
      <w:r w:rsidR="00934D6D" w:rsidRPr="00DD5136">
        <w:rPr>
          <w:b/>
          <w:i/>
        </w:rPr>
        <w:t xml:space="preserve">under the DPA </w:t>
      </w:r>
      <w:r w:rsidR="00D30D05" w:rsidRPr="00DD5136">
        <w:rPr>
          <w:b/>
          <w:i/>
        </w:rPr>
        <w:t>to disclose data held about in</w:t>
      </w:r>
      <w:r w:rsidR="00CF3F89" w:rsidRPr="00DD5136">
        <w:rPr>
          <w:b/>
          <w:i/>
        </w:rPr>
        <w:t>dividuals from mining companies?</w:t>
      </w:r>
    </w:p>
    <w:p w:rsidR="00DD5136" w:rsidRDefault="009E279A" w:rsidP="00DD5136">
      <w:pPr>
        <w:spacing w:after="120"/>
        <w:ind w:left="720"/>
      </w:pPr>
      <w:r w:rsidRPr="0086438D">
        <w:rPr>
          <w:b/>
        </w:rPr>
        <w:t>Answer</w:t>
      </w:r>
      <w:r w:rsidR="0086438D">
        <w:t xml:space="preserve">: </w:t>
      </w:r>
      <w:r w:rsidR="00662AEB" w:rsidRPr="00662AEB">
        <w:t xml:space="preserve">NGOs </w:t>
      </w:r>
      <w:r w:rsidR="00245853">
        <w:t>can be</w:t>
      </w:r>
      <w:r>
        <w:t xml:space="preserve"> </w:t>
      </w:r>
      <w:r w:rsidR="00934D6D">
        <w:t>classified as</w:t>
      </w:r>
      <w:r w:rsidR="00662AEB" w:rsidRPr="00662AEB">
        <w:t xml:space="preserve"> </w:t>
      </w:r>
      <w:r>
        <w:t>“</w:t>
      </w:r>
      <w:r w:rsidR="00662AEB" w:rsidRPr="00662AEB">
        <w:t>data controllers</w:t>
      </w:r>
      <w:r>
        <w:t>”</w:t>
      </w:r>
      <w:r w:rsidR="00662AEB" w:rsidRPr="00662AEB">
        <w:t xml:space="preserve"> </w:t>
      </w:r>
      <w:r w:rsidR="00CF3F89">
        <w:t xml:space="preserve">under the DPA and they </w:t>
      </w:r>
      <w:r w:rsidR="00662AEB" w:rsidRPr="00662AEB">
        <w:t xml:space="preserve">therefore need to rely on an exemption in order to </w:t>
      </w:r>
      <w:r w:rsidR="00245853">
        <w:t xml:space="preserve">withhold </w:t>
      </w:r>
      <w:r w:rsidR="00934D6D">
        <w:t xml:space="preserve">personal data. </w:t>
      </w:r>
      <w:r w:rsidR="00245853">
        <w:t xml:space="preserve">The </w:t>
      </w:r>
      <w:r w:rsidR="00245853" w:rsidRPr="00245853">
        <w:t xml:space="preserve">special-purposes exemption for journalism in section 32 of the DPA </w:t>
      </w:r>
      <w:r w:rsidR="00245853">
        <w:t>is likely to be the most relevant.</w:t>
      </w:r>
    </w:p>
    <w:p w:rsidR="00DD5136" w:rsidRDefault="00D30D05" w:rsidP="00DD5136">
      <w:pPr>
        <w:spacing w:after="120"/>
        <w:ind w:left="720"/>
      </w:pPr>
      <w:r>
        <w:t xml:space="preserve">This is a helpful </w:t>
      </w:r>
      <w:hyperlink r:id="rId7" w:history="1">
        <w:r w:rsidRPr="00D30D05">
          <w:rPr>
            <w:rStyle w:val="Hyperlink"/>
          </w:rPr>
          <w:t>blog post</w:t>
        </w:r>
      </w:hyperlink>
      <w:r w:rsidR="00861F24">
        <w:t xml:space="preserve"> regarding the case of</w:t>
      </w:r>
      <w:r>
        <w:t xml:space="preserve"> </w:t>
      </w:r>
      <w:r w:rsidRPr="00D30D05">
        <w:rPr>
          <w:i/>
        </w:rPr>
        <w:t>Steinmetz and others v Global Witness</w:t>
      </w:r>
      <w:r>
        <w:t xml:space="preserve">. In summary, </w:t>
      </w:r>
      <w:r w:rsidR="00934D6D">
        <w:t>Ben</w:t>
      </w:r>
      <w:r w:rsidR="001A0C9F">
        <w:t>n</w:t>
      </w:r>
      <w:r w:rsidR="00934D6D">
        <w:t>y Steinmetz and three oth</w:t>
      </w:r>
      <w:r w:rsidR="00861F24">
        <w:t>ers requested access to personal</w:t>
      </w:r>
      <w:r w:rsidR="00934D6D">
        <w:t xml:space="preserve"> data held by </w:t>
      </w:r>
      <w:r>
        <w:t xml:space="preserve">Global Witness </w:t>
      </w:r>
      <w:r w:rsidR="00861F24">
        <w:t xml:space="preserve">due to </w:t>
      </w:r>
      <w:r w:rsidR="00934D6D">
        <w:t xml:space="preserve">its report into allegations of bribery and corruption by </w:t>
      </w:r>
      <w:r>
        <w:t xml:space="preserve">BSG Resources Ltd at Simandou iron ore mine in Guinea, West Africa. </w:t>
      </w:r>
    </w:p>
    <w:p w:rsidR="00DD5136" w:rsidRDefault="00D30D05" w:rsidP="00DD5136">
      <w:pPr>
        <w:spacing w:after="120"/>
        <w:ind w:left="720"/>
      </w:pPr>
      <w:r>
        <w:t>Global Witness refused to disclose the data</w:t>
      </w:r>
      <w:r w:rsidR="00861F24">
        <w:t xml:space="preserve"> and t</w:t>
      </w:r>
      <w:r w:rsidR="00934D6D">
        <w:t xml:space="preserve">he </w:t>
      </w:r>
      <w:r>
        <w:t xml:space="preserve">ICO </w:t>
      </w:r>
      <w:r w:rsidR="00934D6D">
        <w:t xml:space="preserve">was requested to </w:t>
      </w:r>
      <w:r>
        <w:t xml:space="preserve">determine whether Global Witness was </w:t>
      </w:r>
      <w:r w:rsidR="00934D6D">
        <w:t>in breach of the DPA</w:t>
      </w:r>
      <w:r>
        <w:t>.</w:t>
      </w:r>
    </w:p>
    <w:p w:rsidR="00DD5136" w:rsidRDefault="00D30D05" w:rsidP="00DD5136">
      <w:pPr>
        <w:spacing w:after="120"/>
        <w:ind w:left="720"/>
      </w:pPr>
      <w:r>
        <w:t xml:space="preserve">In March of this year, the ICO sent a </w:t>
      </w:r>
      <w:hyperlink r:id="rId8" w:history="1">
        <w:r w:rsidRPr="00D30D05">
          <w:rPr>
            <w:rStyle w:val="Hyperlink"/>
          </w:rPr>
          <w:t>letter</w:t>
        </w:r>
      </w:hyperlink>
      <w:r>
        <w:t xml:space="preserve"> to Global Witness which found that they could rely on the </w:t>
      </w:r>
      <w:r w:rsidRPr="00D30D05">
        <w:t>special-purposes exemption for journalism in s</w:t>
      </w:r>
      <w:r w:rsidR="00934D6D">
        <w:t xml:space="preserve">ection </w:t>
      </w:r>
      <w:r w:rsidRPr="00D30D05">
        <w:t xml:space="preserve">32 of the </w:t>
      </w:r>
      <w:r>
        <w:t>DPA</w:t>
      </w:r>
      <w:r w:rsidRPr="00D30D05">
        <w:t>, to wi</w:t>
      </w:r>
      <w:r w:rsidR="00934D6D">
        <w:t>thhold personal data</w:t>
      </w:r>
      <w:r w:rsidRPr="00D30D05">
        <w:t>.</w:t>
      </w:r>
    </w:p>
    <w:p w:rsidR="00DD5136" w:rsidRDefault="00934D6D" w:rsidP="00DD5136">
      <w:pPr>
        <w:spacing w:after="120"/>
        <w:ind w:left="720"/>
      </w:pPr>
      <w:r>
        <w:t xml:space="preserve">In order to rely on the </w:t>
      </w:r>
      <w:r w:rsidR="00D30D05">
        <w:t xml:space="preserve">exception, Global Witness was required to demonstrate that: </w:t>
      </w:r>
    </w:p>
    <w:p w:rsidR="00861F24" w:rsidRDefault="00D30D05" w:rsidP="00DD5136">
      <w:pPr>
        <w:pStyle w:val="ListParagraph"/>
        <w:numPr>
          <w:ilvl w:val="0"/>
          <w:numId w:val="3"/>
        </w:numPr>
        <w:spacing w:after="120"/>
        <w:ind w:left="1440"/>
      </w:pPr>
      <w:r>
        <w:t>the personal data was being processed only for journalism, art or literature;</w:t>
      </w:r>
    </w:p>
    <w:p w:rsidR="00861F24" w:rsidRDefault="00D30D05" w:rsidP="00DD5136">
      <w:pPr>
        <w:pStyle w:val="ListParagraph"/>
        <w:numPr>
          <w:ilvl w:val="0"/>
          <w:numId w:val="3"/>
        </w:numPr>
        <w:spacing w:after="120"/>
        <w:ind w:left="1440"/>
      </w:pPr>
      <w:r>
        <w:t xml:space="preserve"> the processing took place with a view to publication of some material; </w:t>
      </w:r>
    </w:p>
    <w:p w:rsidR="00861F24" w:rsidRDefault="00D30D05" w:rsidP="00DD5136">
      <w:pPr>
        <w:pStyle w:val="ListParagraph"/>
        <w:numPr>
          <w:ilvl w:val="0"/>
          <w:numId w:val="3"/>
        </w:numPr>
        <w:spacing w:after="120"/>
        <w:ind w:left="1440"/>
      </w:pPr>
      <w:r>
        <w:t xml:space="preserve">Global Witness had a reasonable belief that publication was in the public interest; and </w:t>
      </w:r>
    </w:p>
    <w:p w:rsidR="00DD5136" w:rsidRDefault="00D30D05" w:rsidP="00DD5136">
      <w:pPr>
        <w:pStyle w:val="ListParagraph"/>
        <w:numPr>
          <w:ilvl w:val="0"/>
          <w:numId w:val="3"/>
        </w:numPr>
        <w:spacing w:after="120"/>
        <w:ind w:left="1440"/>
      </w:pPr>
      <w:r>
        <w:t>such belief extended to access being incompatible with journalism.</w:t>
      </w:r>
    </w:p>
    <w:p w:rsidR="00DD5136" w:rsidRDefault="00D30D05" w:rsidP="00DD5136">
      <w:pPr>
        <w:spacing w:after="120"/>
        <w:ind w:left="720"/>
      </w:pPr>
      <w:r>
        <w:lastRenderedPageBreak/>
        <w:t xml:space="preserve">The ICO found that Global Witness had met all </w:t>
      </w:r>
      <w:r w:rsidR="00861F24">
        <w:t xml:space="preserve">four of the above elements and this is </w:t>
      </w:r>
      <w:r w:rsidR="00934D6D">
        <w:t>likely to be a very helpful precedent for other NGOs</w:t>
      </w:r>
      <w:r w:rsidR="00861F24">
        <w:t xml:space="preserve"> seeking to rely on the exemption in section 32</w:t>
      </w:r>
      <w:r w:rsidR="00934D6D">
        <w:t xml:space="preserve">. </w:t>
      </w:r>
    </w:p>
    <w:p w:rsidR="00DD5136" w:rsidRDefault="00662AEB" w:rsidP="00DD5136">
      <w:pPr>
        <w:spacing w:after="120"/>
        <w:ind w:left="720"/>
      </w:pPr>
      <w:r>
        <w:t xml:space="preserve">See </w:t>
      </w:r>
      <w:r w:rsidR="00934D6D">
        <w:t xml:space="preserve">also </w:t>
      </w:r>
      <w:r>
        <w:t xml:space="preserve">the ICO’s </w:t>
      </w:r>
      <w:r w:rsidR="00D30D05">
        <w:t>recent ‘</w:t>
      </w:r>
      <w:hyperlink r:id="rId9" w:history="1">
        <w:r w:rsidR="00D30D05" w:rsidRPr="00662AEB">
          <w:rPr>
            <w:rStyle w:val="Hyperlink"/>
          </w:rPr>
          <w:t xml:space="preserve">Data Protection and journalism: </w:t>
        </w:r>
        <w:r w:rsidRPr="00662AEB">
          <w:rPr>
            <w:rStyle w:val="Hyperlink"/>
          </w:rPr>
          <w:t>a guide for the media’</w:t>
        </w:r>
      </w:hyperlink>
      <w:r>
        <w:t xml:space="preserve"> guidance. </w:t>
      </w:r>
    </w:p>
    <w:p w:rsidR="00DD5136" w:rsidRDefault="00245853" w:rsidP="00DD5136">
      <w:pPr>
        <w:pStyle w:val="ListParagraph"/>
        <w:numPr>
          <w:ilvl w:val="0"/>
          <w:numId w:val="4"/>
        </w:numPr>
        <w:spacing w:after="120"/>
        <w:rPr>
          <w:i/>
        </w:rPr>
      </w:pPr>
      <w:r w:rsidRPr="00245853">
        <w:rPr>
          <w:b/>
          <w:i/>
        </w:rPr>
        <w:t>Is it possible to obtain notes f</w:t>
      </w:r>
      <w:r>
        <w:rPr>
          <w:b/>
          <w:i/>
        </w:rPr>
        <w:t>rom a case management conference (“C</w:t>
      </w:r>
      <w:r w:rsidRPr="00245853">
        <w:rPr>
          <w:b/>
          <w:i/>
        </w:rPr>
        <w:t>MC</w:t>
      </w:r>
      <w:r>
        <w:rPr>
          <w:b/>
          <w:i/>
        </w:rPr>
        <w:t>”)</w:t>
      </w:r>
      <w:r w:rsidRPr="00245853">
        <w:rPr>
          <w:b/>
          <w:i/>
        </w:rPr>
        <w:t xml:space="preserve">? </w:t>
      </w:r>
    </w:p>
    <w:p w:rsidR="00DD5136" w:rsidRDefault="009E279A" w:rsidP="00DD5136">
      <w:pPr>
        <w:spacing w:after="120"/>
        <w:ind w:left="720"/>
      </w:pPr>
      <w:r w:rsidRPr="0086438D">
        <w:rPr>
          <w:b/>
        </w:rPr>
        <w:t>Answer</w:t>
      </w:r>
      <w:r w:rsidR="0086438D">
        <w:t xml:space="preserve">: </w:t>
      </w:r>
      <w:r w:rsidR="00245853" w:rsidRPr="00245853">
        <w:t xml:space="preserve">If you know </w:t>
      </w:r>
      <w:r w:rsidR="004210D8" w:rsidRPr="00245853">
        <w:t>the</w:t>
      </w:r>
      <w:r w:rsidR="004210D8">
        <w:t xml:space="preserve"> case number </w:t>
      </w:r>
      <w:r w:rsidR="00DD5136">
        <w:t xml:space="preserve">(which may be on the existing notes) </w:t>
      </w:r>
      <w:r w:rsidR="004210D8">
        <w:t xml:space="preserve">then </w:t>
      </w:r>
      <w:r w:rsidR="00934D6D">
        <w:t xml:space="preserve">it will be possible to </w:t>
      </w:r>
      <w:r w:rsidR="00245853">
        <w:t xml:space="preserve">make an application to obtain </w:t>
      </w:r>
      <w:r w:rsidR="004210D8">
        <w:t xml:space="preserve">documents </w:t>
      </w:r>
      <w:r w:rsidR="00934D6D">
        <w:t xml:space="preserve">which are held </w:t>
      </w:r>
      <w:r w:rsidR="004210D8">
        <w:t xml:space="preserve">on the court file relating to the </w:t>
      </w:r>
      <w:r w:rsidR="00DD5136">
        <w:t>case</w:t>
      </w:r>
      <w:r w:rsidR="004210D8">
        <w:t xml:space="preserve">. </w:t>
      </w:r>
      <w:r w:rsidR="00DD5136">
        <w:t>I</w:t>
      </w:r>
      <w:r w:rsidR="004210D8">
        <w:t xml:space="preserve">f </w:t>
      </w:r>
      <w:r w:rsidR="00245853">
        <w:t>you know the d</w:t>
      </w:r>
      <w:r w:rsidR="004210D8">
        <w:t xml:space="preserve">ate </w:t>
      </w:r>
      <w:r w:rsidR="00934D6D">
        <w:t xml:space="preserve">on which the CMC took place then it may be </w:t>
      </w:r>
      <w:r w:rsidR="00DD3DD4">
        <w:t>possible</w:t>
      </w:r>
      <w:r w:rsidR="00934D6D">
        <w:t xml:space="preserve"> to obtain a transcript (for a fee) from the RCJ’s r</w:t>
      </w:r>
      <w:r w:rsidR="00934D6D" w:rsidRPr="00934D6D">
        <w:t>ecord</w:t>
      </w:r>
      <w:r w:rsidR="00934D6D">
        <w:t>ing and transcript unit.</w:t>
      </w:r>
    </w:p>
    <w:p w:rsidR="00153D9D" w:rsidRDefault="00153D9D">
      <w:pPr>
        <w:jc w:val="left"/>
        <w:rPr>
          <w:b/>
        </w:rPr>
      </w:pPr>
      <w:r>
        <w:rPr>
          <w:b/>
        </w:rPr>
        <w:br w:type="page"/>
      </w:r>
    </w:p>
    <w:p w:rsidR="00DD5136" w:rsidRDefault="007F48C1" w:rsidP="00DD5136">
      <w:pPr>
        <w:pStyle w:val="ListParagraph"/>
        <w:keepNext/>
        <w:numPr>
          <w:ilvl w:val="0"/>
          <w:numId w:val="1"/>
        </w:numPr>
        <w:spacing w:after="120"/>
        <w:ind w:left="714" w:hanging="357"/>
      </w:pPr>
      <w:r w:rsidRPr="00E10F3C">
        <w:rPr>
          <w:b/>
        </w:rPr>
        <w:lastRenderedPageBreak/>
        <w:t xml:space="preserve">LITIGATION PROCESS 101 </w:t>
      </w:r>
    </w:p>
    <w:p w:rsidR="00DD5136" w:rsidRDefault="00DD5136" w:rsidP="00DD5136">
      <w:pPr>
        <w:pStyle w:val="ListParagraph"/>
        <w:spacing w:after="120"/>
        <w:rPr>
          <w:b/>
          <w:i/>
        </w:rPr>
      </w:pPr>
    </w:p>
    <w:p w:rsidR="00DD5136" w:rsidRDefault="00093248" w:rsidP="00DD5136">
      <w:pPr>
        <w:pStyle w:val="ListParagraph"/>
        <w:numPr>
          <w:ilvl w:val="0"/>
          <w:numId w:val="7"/>
        </w:numPr>
        <w:spacing w:after="120"/>
        <w:rPr>
          <w:b/>
          <w:i/>
        </w:rPr>
      </w:pPr>
      <w:r w:rsidRPr="006158C7">
        <w:rPr>
          <w:b/>
          <w:i/>
        </w:rPr>
        <w:t>What are t</w:t>
      </w:r>
      <w:r w:rsidR="001721AB" w:rsidRPr="006158C7">
        <w:rPr>
          <w:b/>
          <w:i/>
        </w:rPr>
        <w:t xml:space="preserve">he difference between the High Court and the </w:t>
      </w:r>
      <w:r w:rsidRPr="006158C7">
        <w:rPr>
          <w:b/>
          <w:i/>
        </w:rPr>
        <w:t>Lower Courts?</w:t>
      </w:r>
    </w:p>
    <w:p w:rsidR="00DD5136" w:rsidRDefault="009E279A" w:rsidP="00DD5136">
      <w:pPr>
        <w:spacing w:after="120"/>
        <w:ind w:left="720"/>
      </w:pPr>
      <w:r w:rsidRPr="009E279A">
        <w:rPr>
          <w:b/>
        </w:rPr>
        <w:t>Answer</w:t>
      </w:r>
      <w:r>
        <w:rPr>
          <w:b/>
        </w:rPr>
        <w:t xml:space="preserve">: </w:t>
      </w:r>
      <w:r w:rsidR="00093248">
        <w:t xml:space="preserve">Please see </w:t>
      </w:r>
      <w:hyperlink r:id="rId10" w:history="1">
        <w:r w:rsidR="00093248" w:rsidRPr="00093248">
          <w:rPr>
            <w:rStyle w:val="Hyperlink"/>
          </w:rPr>
          <w:t>here</w:t>
        </w:r>
      </w:hyperlink>
      <w:r w:rsidR="00093248">
        <w:t xml:space="preserve"> for a helpful explanation of the UK court system.</w:t>
      </w:r>
      <w:r w:rsidR="00DD5136">
        <w:rPr>
          <w:rStyle w:val="FootnoteReference"/>
        </w:rPr>
        <w:footnoteReference w:id="1"/>
      </w:r>
      <w:r w:rsidR="00093248">
        <w:t xml:space="preserve"> </w:t>
      </w:r>
    </w:p>
    <w:p w:rsidR="00DD5136" w:rsidRDefault="00662AEB" w:rsidP="00DD5136">
      <w:pPr>
        <w:pStyle w:val="ListParagraph"/>
        <w:numPr>
          <w:ilvl w:val="0"/>
          <w:numId w:val="7"/>
        </w:numPr>
        <w:spacing w:after="120"/>
        <w:rPr>
          <w:b/>
          <w:i/>
        </w:rPr>
      </w:pPr>
      <w:r w:rsidRPr="006158C7">
        <w:rPr>
          <w:b/>
          <w:i/>
        </w:rPr>
        <w:t xml:space="preserve">Can academics </w:t>
      </w:r>
      <w:r w:rsidR="001721AB" w:rsidRPr="006158C7">
        <w:rPr>
          <w:b/>
          <w:i/>
        </w:rPr>
        <w:t>obtain</w:t>
      </w:r>
      <w:r w:rsidR="00093248" w:rsidRPr="006158C7">
        <w:rPr>
          <w:b/>
          <w:i/>
        </w:rPr>
        <w:t xml:space="preserve"> greater </w:t>
      </w:r>
      <w:r w:rsidRPr="006158C7">
        <w:rPr>
          <w:b/>
          <w:i/>
        </w:rPr>
        <w:t xml:space="preserve">access to </w:t>
      </w:r>
      <w:r w:rsidR="00093248" w:rsidRPr="006158C7">
        <w:rPr>
          <w:b/>
          <w:i/>
        </w:rPr>
        <w:t xml:space="preserve">court </w:t>
      </w:r>
      <w:r w:rsidRPr="006158C7">
        <w:rPr>
          <w:b/>
          <w:i/>
        </w:rPr>
        <w:t>documents?</w:t>
      </w:r>
    </w:p>
    <w:p w:rsidR="00DD5136" w:rsidRDefault="009E279A" w:rsidP="00DD5136">
      <w:pPr>
        <w:spacing w:after="120"/>
        <w:ind w:left="720"/>
        <w:rPr>
          <w:b/>
          <w:i/>
        </w:rPr>
      </w:pPr>
      <w:r w:rsidRPr="009E279A">
        <w:rPr>
          <w:b/>
        </w:rPr>
        <w:t>Answer</w:t>
      </w:r>
      <w:r>
        <w:t xml:space="preserve">: Yes, if specific permissions are obtained. </w:t>
      </w:r>
      <w:r w:rsidR="00662AEB">
        <w:t xml:space="preserve">Please see </w:t>
      </w:r>
      <w:hyperlink r:id="rId11" w:history="1">
        <w:r w:rsidR="00662AEB" w:rsidRPr="00662AEB">
          <w:rPr>
            <w:rStyle w:val="Hyperlink"/>
          </w:rPr>
          <w:t>here</w:t>
        </w:r>
      </w:hyperlink>
      <w:r w:rsidR="00662AEB">
        <w:t xml:space="preserve"> for further information regarding academic access to privileged documents and the special </w:t>
      </w:r>
      <w:r>
        <w:t>permissions which are required.</w:t>
      </w:r>
      <w:r w:rsidR="006F4C51">
        <w:rPr>
          <w:rStyle w:val="FootnoteReference"/>
        </w:rPr>
        <w:footnoteReference w:id="2"/>
      </w:r>
    </w:p>
    <w:p w:rsidR="00DD5136" w:rsidRPr="00153D9D" w:rsidRDefault="00DD5136" w:rsidP="00DD5136">
      <w:pPr>
        <w:spacing w:after="120"/>
        <w:ind w:firstLine="360"/>
        <w:rPr>
          <w:b/>
          <w:u w:val="single"/>
        </w:rPr>
      </w:pPr>
      <w:r w:rsidRPr="00153D9D">
        <w:rPr>
          <w:b/>
          <w:u w:val="single"/>
        </w:rPr>
        <w:t>P</w:t>
      </w:r>
      <w:r w:rsidR="009E279A" w:rsidRPr="00153D9D">
        <w:rPr>
          <w:b/>
          <w:u w:val="single"/>
        </w:rPr>
        <w:t>re-action disclosure</w:t>
      </w:r>
    </w:p>
    <w:p w:rsidR="00DD5136" w:rsidRDefault="006158C7" w:rsidP="00DD5136">
      <w:pPr>
        <w:spacing w:after="120"/>
        <w:ind w:left="360"/>
      </w:pPr>
      <w:r>
        <w:t>I</w:t>
      </w:r>
      <w:r w:rsidR="001A0C9F" w:rsidRPr="001A0C9F">
        <w:t>n pre-action disclosure it is important to be careful about the documents you request as you may be overloaded by d</w:t>
      </w:r>
      <w:r w:rsidR="001721AB">
        <w:t xml:space="preserve">ocuments from the Defendants. This can also be used by Defendants as </w:t>
      </w:r>
      <w:r w:rsidR="001A0C9F" w:rsidRPr="001A0C9F">
        <w:t>a tactic.</w:t>
      </w:r>
    </w:p>
    <w:p w:rsidR="00DD5136" w:rsidRDefault="00D018F2" w:rsidP="00DD5136">
      <w:pPr>
        <w:pStyle w:val="ListParagraph"/>
        <w:numPr>
          <w:ilvl w:val="0"/>
          <w:numId w:val="8"/>
        </w:numPr>
        <w:spacing w:after="120"/>
        <w:rPr>
          <w:b/>
          <w:i/>
        </w:rPr>
      </w:pPr>
      <w:r w:rsidRPr="006158C7">
        <w:rPr>
          <w:b/>
          <w:i/>
        </w:rPr>
        <w:t>Will there be a judge nominated at the pre-action stage?</w:t>
      </w:r>
    </w:p>
    <w:p w:rsidR="00DD5136" w:rsidRDefault="009E279A" w:rsidP="00DD5136">
      <w:pPr>
        <w:spacing w:after="120"/>
        <w:ind w:left="720"/>
      </w:pPr>
      <w:r w:rsidRPr="009E279A">
        <w:rPr>
          <w:b/>
        </w:rPr>
        <w:t>Answer</w:t>
      </w:r>
      <w:r>
        <w:t xml:space="preserve">: </w:t>
      </w:r>
      <w:r w:rsidR="00D018F2">
        <w:t xml:space="preserve">There will not be a judge assigned to the case but when you make an application e.g. for pre-action disclosure, the Court will nominate a judge or master to hear the application. </w:t>
      </w:r>
    </w:p>
    <w:p w:rsidR="00DD5136" w:rsidRDefault="00D018F2" w:rsidP="00DD5136">
      <w:pPr>
        <w:pStyle w:val="ListParagraph"/>
        <w:numPr>
          <w:ilvl w:val="0"/>
          <w:numId w:val="8"/>
        </w:numPr>
        <w:spacing w:after="120"/>
        <w:rPr>
          <w:b/>
          <w:i/>
        </w:rPr>
      </w:pPr>
      <w:r w:rsidRPr="006158C7">
        <w:rPr>
          <w:b/>
          <w:i/>
        </w:rPr>
        <w:t xml:space="preserve">In the context of the pre-action protocol </w:t>
      </w:r>
      <w:r w:rsidR="009E279A" w:rsidRPr="006158C7">
        <w:rPr>
          <w:b/>
          <w:i/>
        </w:rPr>
        <w:t xml:space="preserve">providing </w:t>
      </w:r>
      <w:r w:rsidRPr="006158C7">
        <w:rPr>
          <w:b/>
          <w:i/>
        </w:rPr>
        <w:t xml:space="preserve">six months </w:t>
      </w:r>
      <w:r w:rsidR="009E279A" w:rsidRPr="006158C7">
        <w:rPr>
          <w:b/>
          <w:i/>
        </w:rPr>
        <w:t>for pre-action corresp</w:t>
      </w:r>
      <w:r w:rsidR="001721AB" w:rsidRPr="006158C7">
        <w:rPr>
          <w:b/>
          <w:i/>
        </w:rPr>
        <w:t xml:space="preserve">ondence in </w:t>
      </w:r>
      <w:r w:rsidR="00C23EB1" w:rsidRPr="006158C7">
        <w:rPr>
          <w:b/>
          <w:i/>
        </w:rPr>
        <w:t>“</w:t>
      </w:r>
      <w:r w:rsidR="001721AB" w:rsidRPr="006158C7">
        <w:rPr>
          <w:b/>
          <w:i/>
        </w:rPr>
        <w:t>international claims</w:t>
      </w:r>
      <w:r w:rsidR="00C23EB1" w:rsidRPr="006158C7">
        <w:rPr>
          <w:b/>
          <w:i/>
        </w:rPr>
        <w:t>”</w:t>
      </w:r>
      <w:r w:rsidR="001721AB" w:rsidRPr="006158C7">
        <w:rPr>
          <w:b/>
          <w:i/>
        </w:rPr>
        <w:t>,</w:t>
      </w:r>
      <w:r w:rsidRPr="006158C7">
        <w:rPr>
          <w:b/>
          <w:i/>
        </w:rPr>
        <w:t xml:space="preserve"> what is the definition of an international claim?</w:t>
      </w:r>
    </w:p>
    <w:p w:rsidR="00DD5136" w:rsidRDefault="009E279A" w:rsidP="00DD5136">
      <w:pPr>
        <w:spacing w:after="120"/>
        <w:ind w:left="720"/>
      </w:pPr>
      <w:r w:rsidRPr="009E279A">
        <w:rPr>
          <w:b/>
        </w:rPr>
        <w:t>Answer</w:t>
      </w:r>
      <w:r>
        <w:t xml:space="preserve">: </w:t>
      </w:r>
      <w:r w:rsidR="006F4C51">
        <w:t xml:space="preserve">The period will extend to 6 months where a </w:t>
      </w:r>
      <w:r w:rsidR="00C23EB1">
        <w:t>D</w:t>
      </w:r>
      <w:r w:rsidR="00D018F2">
        <w:t xml:space="preserve">efendant(s) </w:t>
      </w:r>
      <w:r w:rsidR="006F4C51">
        <w:t xml:space="preserve">is </w:t>
      </w:r>
      <w:r w:rsidR="00D018F2">
        <w:t xml:space="preserve">out of </w:t>
      </w:r>
      <w:r w:rsidR="006F4C51">
        <w:t xml:space="preserve">the </w:t>
      </w:r>
      <w:r w:rsidR="00D018F2">
        <w:t>juris</w:t>
      </w:r>
      <w:r>
        <w:t>dic</w:t>
      </w:r>
      <w:r w:rsidR="001721AB">
        <w:t>tion</w:t>
      </w:r>
      <w:r w:rsidR="006F4C51">
        <w:t xml:space="preserve"> and if the facts giving rise to the action occurred overseas</w:t>
      </w:r>
      <w:r w:rsidR="00D018F2">
        <w:t>.</w:t>
      </w:r>
    </w:p>
    <w:p w:rsidR="00DD5136" w:rsidRPr="00153D9D" w:rsidRDefault="00DD5136" w:rsidP="00DD5136">
      <w:pPr>
        <w:spacing w:after="120"/>
        <w:ind w:firstLine="360"/>
        <w:rPr>
          <w:b/>
          <w:u w:val="single"/>
        </w:rPr>
      </w:pPr>
      <w:r w:rsidRPr="00153D9D">
        <w:rPr>
          <w:b/>
          <w:u w:val="single"/>
        </w:rPr>
        <w:t>S</w:t>
      </w:r>
      <w:r w:rsidR="001A0C9F" w:rsidRPr="00153D9D">
        <w:rPr>
          <w:b/>
          <w:u w:val="single"/>
        </w:rPr>
        <w:t xml:space="preserve">pecific and </w:t>
      </w:r>
      <w:r w:rsidR="0039356A" w:rsidRPr="00153D9D">
        <w:rPr>
          <w:b/>
          <w:u w:val="single"/>
        </w:rPr>
        <w:t>s</w:t>
      </w:r>
      <w:r w:rsidR="009E279A" w:rsidRPr="00153D9D">
        <w:rPr>
          <w:b/>
          <w:u w:val="single"/>
        </w:rPr>
        <w:t>tandard disclosure</w:t>
      </w:r>
    </w:p>
    <w:p w:rsidR="006F4C51" w:rsidRDefault="006F4C51" w:rsidP="00153D9D">
      <w:pPr>
        <w:spacing w:after="120"/>
        <w:ind w:left="426" w:hanging="66"/>
        <w:rPr>
          <w:b/>
        </w:rPr>
      </w:pPr>
      <w:r>
        <w:t>EG of specific disclosure - in a case involving Anglo American, Leigh Day successfully made a specific disclosure application regarding board minutes and internal policies on how decisions were made. The Court ordered the documents be disclosed without the redactions the Defendant initially tried to apply.</w:t>
      </w:r>
    </w:p>
    <w:p w:rsidR="00DD5136" w:rsidRDefault="00D018F2" w:rsidP="006F4C51">
      <w:pPr>
        <w:pStyle w:val="ListParagraph"/>
        <w:numPr>
          <w:ilvl w:val="0"/>
          <w:numId w:val="13"/>
        </w:numPr>
        <w:spacing w:after="120"/>
        <w:rPr>
          <w:b/>
          <w:i/>
        </w:rPr>
      </w:pPr>
      <w:r w:rsidRPr="006158C7">
        <w:rPr>
          <w:b/>
          <w:i/>
        </w:rPr>
        <w:t>In the disclosure process, do you need to make requests for documents all at once?</w:t>
      </w:r>
    </w:p>
    <w:p w:rsidR="00DD5136" w:rsidRDefault="009E279A" w:rsidP="00DD5136">
      <w:pPr>
        <w:spacing w:after="120"/>
        <w:ind w:left="720"/>
      </w:pPr>
      <w:r w:rsidRPr="009E279A">
        <w:rPr>
          <w:b/>
        </w:rPr>
        <w:t>Answer</w:t>
      </w:r>
      <w:r w:rsidR="00D018F2">
        <w:t xml:space="preserve">: </w:t>
      </w:r>
      <w:r>
        <w:t>Parties have ongoing obligations in respect of d</w:t>
      </w:r>
      <w:r w:rsidR="00D018F2">
        <w:t>isclosure</w:t>
      </w:r>
      <w:r>
        <w:t xml:space="preserve">. </w:t>
      </w:r>
      <w:r w:rsidR="00D018F2">
        <w:t xml:space="preserve">If a document has been disclosed which refers to another document which has not been </w:t>
      </w:r>
      <w:r w:rsidR="00D018F2">
        <w:lastRenderedPageBreak/>
        <w:t>disclosed you can ask the other side to disc</w:t>
      </w:r>
      <w:r>
        <w:t xml:space="preserve">lose the document and, if they refuse, </w:t>
      </w:r>
      <w:r w:rsidR="00D018F2">
        <w:t>make an application to the Court.</w:t>
      </w:r>
      <w:r w:rsidR="001A0C9F">
        <w:t xml:space="preserve"> </w:t>
      </w:r>
    </w:p>
    <w:p w:rsidR="00DD5136" w:rsidRDefault="0039356A" w:rsidP="006F4C51">
      <w:pPr>
        <w:pStyle w:val="ListParagraph"/>
        <w:numPr>
          <w:ilvl w:val="0"/>
          <w:numId w:val="13"/>
        </w:numPr>
        <w:spacing w:after="120"/>
        <w:rPr>
          <w:b/>
          <w:i/>
        </w:rPr>
      </w:pPr>
      <w:r w:rsidRPr="006158C7">
        <w:rPr>
          <w:b/>
          <w:i/>
        </w:rPr>
        <w:t>Can you request that disclosure be provided in a particular format?</w:t>
      </w:r>
    </w:p>
    <w:p w:rsidR="00DD5136" w:rsidRDefault="0039356A" w:rsidP="00DD5136">
      <w:pPr>
        <w:spacing w:after="120"/>
        <w:ind w:left="720"/>
      </w:pPr>
      <w:r w:rsidRPr="0039356A">
        <w:rPr>
          <w:b/>
        </w:rPr>
        <w:t>Answer</w:t>
      </w:r>
      <w:r>
        <w:t>: There is currently a practice</w:t>
      </w:r>
      <w:r w:rsidR="00C23EB1">
        <w:t xml:space="preserve"> of moving </w:t>
      </w:r>
      <w:r>
        <w:t xml:space="preserve">towards electronic disclosure and there is a specific practice direction (PD 31B) which deals with this. NB. The requirement to disclose electronic documents also includes meta-data. </w:t>
      </w:r>
    </w:p>
    <w:p w:rsidR="00DD5136" w:rsidRDefault="0039356A" w:rsidP="006F4C51">
      <w:pPr>
        <w:pStyle w:val="ListParagraph"/>
        <w:numPr>
          <w:ilvl w:val="0"/>
          <w:numId w:val="13"/>
        </w:numPr>
        <w:spacing w:after="120"/>
        <w:rPr>
          <w:b/>
          <w:i/>
        </w:rPr>
      </w:pPr>
      <w:r w:rsidRPr="006158C7">
        <w:rPr>
          <w:b/>
          <w:i/>
        </w:rPr>
        <w:t>How often do companies seek to rely on commercial sensitivity to prevent disclosure of documents?</w:t>
      </w:r>
    </w:p>
    <w:p w:rsidR="0039356A" w:rsidRDefault="0039356A" w:rsidP="00DD5136">
      <w:pPr>
        <w:spacing w:after="120"/>
        <w:ind w:left="720"/>
      </w:pPr>
      <w:r w:rsidRPr="0039356A">
        <w:rPr>
          <w:b/>
        </w:rPr>
        <w:t>Answer</w:t>
      </w:r>
      <w:r>
        <w:t xml:space="preserve">: During the disclosure process commercial sensitivity </w:t>
      </w:r>
      <w:r w:rsidR="006F4C51">
        <w:t xml:space="preserve">is not a reason not to disclose </w:t>
      </w:r>
      <w:r>
        <w:t xml:space="preserve">unless it is also irrelevant to the case. The Court may, however, make orders regarding commercially sensitive documents </w:t>
      </w:r>
      <w:r w:rsidR="006F4C51">
        <w:t xml:space="preserve">limiting the way they are reviewed or the way they are referred to </w:t>
      </w:r>
      <w:r>
        <w:t xml:space="preserve">e.g. that they </w:t>
      </w:r>
      <w:r w:rsidR="002C3BA0">
        <w:t xml:space="preserve">will </w:t>
      </w:r>
      <w:r>
        <w:t xml:space="preserve">only be disclosed to legal representatives, or will be referred to as </w:t>
      </w:r>
      <w:r w:rsidR="00C23EB1">
        <w:t>“</w:t>
      </w:r>
      <w:r>
        <w:t>X-document</w:t>
      </w:r>
      <w:r w:rsidR="00C23EB1">
        <w:t>”</w:t>
      </w:r>
      <w:r>
        <w:t xml:space="preserve"> for the purpose of the proceedings.</w:t>
      </w:r>
    </w:p>
    <w:p w:rsidR="00DD5136" w:rsidRDefault="0039356A" w:rsidP="006F4C51">
      <w:pPr>
        <w:pStyle w:val="ListParagraph"/>
        <w:numPr>
          <w:ilvl w:val="0"/>
          <w:numId w:val="13"/>
        </w:numPr>
        <w:spacing w:after="120"/>
        <w:rPr>
          <w:b/>
          <w:i/>
        </w:rPr>
      </w:pPr>
      <w:r w:rsidRPr="006158C7">
        <w:rPr>
          <w:b/>
          <w:i/>
        </w:rPr>
        <w:t>Is disclosure only between the parties or can you also access documents from non-parties?</w:t>
      </w:r>
    </w:p>
    <w:p w:rsidR="00DD5136" w:rsidRDefault="0039356A" w:rsidP="00DD5136">
      <w:pPr>
        <w:spacing w:after="120"/>
        <w:ind w:left="720"/>
      </w:pPr>
      <w:r w:rsidRPr="0039356A">
        <w:rPr>
          <w:b/>
        </w:rPr>
        <w:t>Answer</w:t>
      </w:r>
      <w:r>
        <w:t>: If one of the parties makes refe</w:t>
      </w:r>
      <w:r w:rsidR="002C3BA0">
        <w:t>rence to a third party document</w:t>
      </w:r>
      <w:r>
        <w:t xml:space="preserve"> e.g.</w:t>
      </w:r>
      <w:r w:rsidR="002C3BA0">
        <w:t xml:space="preserve"> a</w:t>
      </w:r>
      <w:r>
        <w:t xml:space="preserve"> human rights assessment which is relevant to the case then </w:t>
      </w:r>
      <w:r w:rsidR="00C23EB1">
        <w:t xml:space="preserve">you can make an application for non-party disclosure </w:t>
      </w:r>
      <w:r w:rsidR="00C71C2E" w:rsidRPr="00C71C2E">
        <w:t>under CPR 31.17.</w:t>
      </w:r>
      <w:r w:rsidR="00153D9D">
        <w:t xml:space="preserve"> </w:t>
      </w:r>
    </w:p>
    <w:p w:rsidR="00DD5136" w:rsidRDefault="0039356A" w:rsidP="006F4C51">
      <w:pPr>
        <w:pStyle w:val="ListParagraph"/>
        <w:numPr>
          <w:ilvl w:val="0"/>
          <w:numId w:val="13"/>
        </w:numPr>
        <w:spacing w:after="120"/>
        <w:rPr>
          <w:b/>
          <w:i/>
        </w:rPr>
      </w:pPr>
      <w:r w:rsidRPr="006158C7">
        <w:rPr>
          <w:b/>
          <w:i/>
        </w:rPr>
        <w:t>Is it common for companies to purposefully withhold documents</w:t>
      </w:r>
      <w:r w:rsidR="00C71C2E" w:rsidRPr="006158C7">
        <w:rPr>
          <w:b/>
          <w:i/>
        </w:rPr>
        <w:t xml:space="preserve"> during disclosure</w:t>
      </w:r>
      <w:r w:rsidRPr="006158C7">
        <w:rPr>
          <w:b/>
          <w:i/>
        </w:rPr>
        <w:t>?</w:t>
      </w:r>
    </w:p>
    <w:p w:rsidR="00DD5136" w:rsidRDefault="00C71C2E" w:rsidP="00DD5136">
      <w:pPr>
        <w:spacing w:after="120"/>
        <w:ind w:left="720"/>
      </w:pPr>
      <w:r w:rsidRPr="00C71C2E">
        <w:rPr>
          <w:b/>
        </w:rPr>
        <w:t>Answer</w:t>
      </w:r>
      <w:r w:rsidR="0039356A">
        <w:t xml:space="preserve">: </w:t>
      </w:r>
      <w:r>
        <w:t>It does happen e.g. i</w:t>
      </w:r>
      <w:r w:rsidR="0039356A">
        <w:t xml:space="preserve">n </w:t>
      </w:r>
      <w:r w:rsidR="00153D9D">
        <w:t>one</w:t>
      </w:r>
      <w:r w:rsidR="0039356A">
        <w:t xml:space="preserve"> case, </w:t>
      </w:r>
      <w:r>
        <w:t xml:space="preserve">the Defendant </w:t>
      </w:r>
      <w:r w:rsidR="0039356A">
        <w:t xml:space="preserve">only </w:t>
      </w:r>
      <w:r>
        <w:t>disclosed three documents from its s</w:t>
      </w:r>
      <w:r w:rsidR="0039356A">
        <w:t xml:space="preserve">ubsidiary. However, </w:t>
      </w:r>
      <w:r>
        <w:t>the C</w:t>
      </w:r>
      <w:r w:rsidR="0039356A">
        <w:t xml:space="preserve">ourt </w:t>
      </w:r>
      <w:r>
        <w:t>is likely to look at this very unfavourably. Parties</w:t>
      </w:r>
      <w:r w:rsidR="0039356A">
        <w:t xml:space="preserve"> can be held in contempt of court and solicitors also have </w:t>
      </w:r>
      <w:r>
        <w:t>a duty to inform their client of their di</w:t>
      </w:r>
      <w:r w:rsidR="0039356A">
        <w:t xml:space="preserve">sclosure obligations. </w:t>
      </w:r>
    </w:p>
    <w:p w:rsidR="00153D9D" w:rsidRDefault="00153D9D">
      <w:pPr>
        <w:jc w:val="left"/>
        <w:rPr>
          <w:b/>
        </w:rPr>
      </w:pPr>
      <w:r>
        <w:rPr>
          <w:b/>
        </w:rPr>
        <w:br w:type="page"/>
      </w:r>
    </w:p>
    <w:p w:rsidR="00DD5136" w:rsidRDefault="007F48C1" w:rsidP="00DD5136">
      <w:pPr>
        <w:pStyle w:val="ListParagraph"/>
        <w:numPr>
          <w:ilvl w:val="0"/>
          <w:numId w:val="1"/>
        </w:numPr>
        <w:spacing w:before="240" w:after="120"/>
        <w:ind w:left="425" w:hanging="357"/>
        <w:contextualSpacing w:val="0"/>
        <w:rPr>
          <w:b/>
        </w:rPr>
      </w:pPr>
      <w:r w:rsidRPr="009E279A">
        <w:rPr>
          <w:b/>
        </w:rPr>
        <w:lastRenderedPageBreak/>
        <w:t>HOW, WHAT, WHEN? AND WHAT CAN YOU DO WITH THE DOCUMENTS OBTAINED</w:t>
      </w:r>
      <w:r w:rsidR="00E10F3C">
        <w:rPr>
          <w:b/>
        </w:rPr>
        <w:t xml:space="preserve"> </w:t>
      </w:r>
    </w:p>
    <w:p w:rsidR="00DD5136" w:rsidRDefault="00E016A4" w:rsidP="00DD5136">
      <w:pPr>
        <w:spacing w:after="120"/>
        <w:ind w:left="425"/>
      </w:pPr>
      <w:r>
        <w:t xml:space="preserve">In relation to access to documents by non-parties, </w:t>
      </w:r>
      <w:r w:rsidR="009E279A">
        <w:t>there is a distinction between:</w:t>
      </w:r>
    </w:p>
    <w:p w:rsidR="00E016A4" w:rsidRDefault="00E016A4" w:rsidP="00DD5136">
      <w:pPr>
        <w:pStyle w:val="ListParagraph"/>
        <w:numPr>
          <w:ilvl w:val="0"/>
          <w:numId w:val="2"/>
        </w:numPr>
        <w:spacing w:after="120"/>
        <w:ind w:left="1505"/>
      </w:pPr>
      <w:r>
        <w:t>Statements of case, public judgments or orders: For which permission is not required in order to obtain access (CP 5.4C(1));</w:t>
      </w:r>
    </w:p>
    <w:p w:rsidR="00E016A4" w:rsidRDefault="00E016A4" w:rsidP="00DD5136">
      <w:pPr>
        <w:pStyle w:val="ListParagraph"/>
        <w:numPr>
          <w:ilvl w:val="0"/>
          <w:numId w:val="2"/>
        </w:numPr>
        <w:spacing w:after="120"/>
        <w:ind w:left="1505"/>
      </w:pPr>
      <w:r>
        <w:t>any other documents filed at court: For which permission is required (CPR 5.4C(2)); and</w:t>
      </w:r>
    </w:p>
    <w:p w:rsidR="00DD5136" w:rsidRDefault="009E279A" w:rsidP="00DD5136">
      <w:pPr>
        <w:pStyle w:val="ListParagraph"/>
        <w:numPr>
          <w:ilvl w:val="0"/>
          <w:numId w:val="2"/>
        </w:numPr>
        <w:spacing w:after="120"/>
        <w:ind w:left="1505"/>
      </w:pPr>
      <w:r>
        <w:t>documents which have been read in open court</w:t>
      </w:r>
      <w:r w:rsidR="00E016A4">
        <w:t xml:space="preserve">: For which anyone with a legitimate interest should be given access. </w:t>
      </w:r>
    </w:p>
    <w:p w:rsidR="00DD5136" w:rsidRPr="00153D9D" w:rsidRDefault="006F4C51" w:rsidP="00153D9D">
      <w:pPr>
        <w:spacing w:after="120"/>
        <w:ind w:firstLine="360"/>
        <w:rPr>
          <w:b/>
          <w:u w:val="single"/>
        </w:rPr>
      </w:pPr>
      <w:r w:rsidRPr="00153D9D">
        <w:rPr>
          <w:b/>
          <w:u w:val="single"/>
        </w:rPr>
        <w:t>S</w:t>
      </w:r>
      <w:r w:rsidR="00E016A4" w:rsidRPr="00153D9D">
        <w:rPr>
          <w:b/>
          <w:u w:val="single"/>
        </w:rPr>
        <w:t>tatements of case, public judgments and orders</w:t>
      </w:r>
    </w:p>
    <w:p w:rsidR="00DD5136" w:rsidRDefault="006158C7" w:rsidP="00153D9D">
      <w:pPr>
        <w:spacing w:after="120"/>
        <w:ind w:left="425"/>
        <w:rPr>
          <w:b/>
        </w:rPr>
      </w:pPr>
      <w:r>
        <w:t>I</w:t>
      </w:r>
      <w:r w:rsidR="001A0C9F" w:rsidRPr="001A0C9F">
        <w:t xml:space="preserve">t is not usually possible to obtain the enclosures to statements of case but sometimes non-parties get lucky e.g. </w:t>
      </w:r>
      <w:r w:rsidR="00153D9D">
        <w:t>one NGO obtained</w:t>
      </w:r>
      <w:r w:rsidR="0086438D">
        <w:t xml:space="preserve"> the statements of case from </w:t>
      </w:r>
      <w:r w:rsidR="00153D9D">
        <w:t xml:space="preserve">one of </w:t>
      </w:r>
      <w:r w:rsidR="0086438D">
        <w:t>Leigh Day’s case</w:t>
      </w:r>
      <w:r w:rsidR="00153D9D">
        <w:t>s</w:t>
      </w:r>
      <w:r w:rsidR="0086438D">
        <w:t xml:space="preserve"> and </w:t>
      </w:r>
      <w:r w:rsidR="00153D9D">
        <w:t xml:space="preserve">the NGO was </w:t>
      </w:r>
      <w:r w:rsidR="0086438D">
        <w:t>given all the annexures by the Court</w:t>
      </w:r>
      <w:r w:rsidR="001A0C9F" w:rsidRPr="001A0C9F">
        <w:t>.</w:t>
      </w:r>
    </w:p>
    <w:p w:rsidR="00DD5136" w:rsidRDefault="006158C7" w:rsidP="006F4C51">
      <w:pPr>
        <w:pStyle w:val="ListParagraph"/>
        <w:numPr>
          <w:ilvl w:val="0"/>
          <w:numId w:val="9"/>
        </w:numPr>
        <w:spacing w:after="120"/>
        <w:rPr>
          <w:b/>
          <w:i/>
        </w:rPr>
      </w:pPr>
      <w:r w:rsidRPr="006158C7">
        <w:rPr>
          <w:b/>
          <w:i/>
        </w:rPr>
        <w:t xml:space="preserve">Is it possible to obtain access to responses to </w:t>
      </w:r>
      <w:r>
        <w:rPr>
          <w:b/>
          <w:i/>
        </w:rPr>
        <w:t>requests for further information (“</w:t>
      </w:r>
      <w:r w:rsidRPr="006158C7">
        <w:rPr>
          <w:b/>
          <w:i/>
        </w:rPr>
        <w:t>RFIs</w:t>
      </w:r>
      <w:r>
        <w:rPr>
          <w:b/>
          <w:i/>
        </w:rPr>
        <w:t>”)</w:t>
      </w:r>
      <w:r w:rsidRPr="006158C7">
        <w:rPr>
          <w:b/>
          <w:i/>
        </w:rPr>
        <w:t xml:space="preserve">? </w:t>
      </w:r>
    </w:p>
    <w:p w:rsidR="00DD5136" w:rsidRDefault="006158C7" w:rsidP="00DD5136">
      <w:pPr>
        <w:spacing w:after="120"/>
        <w:ind w:left="720"/>
      </w:pPr>
      <w:r>
        <w:rPr>
          <w:b/>
        </w:rPr>
        <w:t>Answer</w:t>
      </w:r>
      <w:r w:rsidR="0086438D">
        <w:t xml:space="preserve">: </w:t>
      </w:r>
      <w:r w:rsidR="00153D9D">
        <w:t xml:space="preserve">Ordinarily yes. </w:t>
      </w:r>
      <w:r>
        <w:t xml:space="preserve">It is possible that </w:t>
      </w:r>
      <w:r w:rsidR="0086438D">
        <w:t xml:space="preserve">in </w:t>
      </w:r>
      <w:r w:rsidR="00153D9D">
        <w:t xml:space="preserve">a particular </w:t>
      </w:r>
      <w:r w:rsidR="0086438D">
        <w:t>case</w:t>
      </w:r>
      <w:r w:rsidR="00153D9D">
        <w:t>,</w:t>
      </w:r>
      <w:r w:rsidR="0086438D">
        <w:t xml:space="preserve"> </w:t>
      </w:r>
      <w:r>
        <w:t xml:space="preserve">the parties </w:t>
      </w:r>
      <w:r w:rsidR="00153D9D">
        <w:t xml:space="preserve">may not have filed them </w:t>
      </w:r>
      <w:r>
        <w:t>at Court. In</w:t>
      </w:r>
      <w:r w:rsidR="00EF62F0">
        <w:t xml:space="preserve"> those circumstances</w:t>
      </w:r>
      <w:r>
        <w:t>, you can m</w:t>
      </w:r>
      <w:r w:rsidR="00EF62F0">
        <w:t xml:space="preserve">ake </w:t>
      </w:r>
      <w:r w:rsidR="00E016A4">
        <w:t xml:space="preserve">an application </w:t>
      </w:r>
      <w:r w:rsidR="00EF62F0">
        <w:t>to</w:t>
      </w:r>
      <w:r w:rsidR="00E016A4">
        <w:t xml:space="preserve"> the Court </w:t>
      </w:r>
      <w:r w:rsidR="009E279A">
        <w:t xml:space="preserve">for </w:t>
      </w:r>
      <w:r w:rsidR="00EF62F0">
        <w:t>an order that the relevant</w:t>
      </w:r>
      <w:r w:rsidR="00E016A4">
        <w:t xml:space="preserve"> document </w:t>
      </w:r>
      <w:r w:rsidR="009E279A">
        <w:t>be added to the Court file</w:t>
      </w:r>
      <w:r w:rsidR="00153D9D">
        <w:t xml:space="preserve"> and/or disclosed to the requestor</w:t>
      </w:r>
      <w:r w:rsidR="009E279A">
        <w:t xml:space="preserve">. </w:t>
      </w:r>
    </w:p>
    <w:p w:rsidR="00DD5136" w:rsidRDefault="009E279A" w:rsidP="006F4C51">
      <w:pPr>
        <w:pStyle w:val="ListParagraph"/>
        <w:numPr>
          <w:ilvl w:val="0"/>
          <w:numId w:val="9"/>
        </w:numPr>
        <w:spacing w:after="120"/>
        <w:rPr>
          <w:b/>
          <w:i/>
        </w:rPr>
      </w:pPr>
      <w:r w:rsidRPr="006158C7">
        <w:rPr>
          <w:b/>
          <w:i/>
        </w:rPr>
        <w:t xml:space="preserve">What timeframe do you have to request </w:t>
      </w:r>
      <w:r w:rsidR="0039356A" w:rsidRPr="006158C7">
        <w:rPr>
          <w:b/>
          <w:i/>
        </w:rPr>
        <w:t>statements of case</w:t>
      </w:r>
      <w:r w:rsidRPr="006158C7">
        <w:rPr>
          <w:b/>
          <w:i/>
        </w:rPr>
        <w:t>?</w:t>
      </w:r>
    </w:p>
    <w:p w:rsidR="00DD5136" w:rsidRDefault="0039356A" w:rsidP="00DD5136">
      <w:pPr>
        <w:spacing w:after="120"/>
        <w:ind w:left="720"/>
      </w:pPr>
      <w:r w:rsidRPr="0039356A">
        <w:rPr>
          <w:b/>
        </w:rPr>
        <w:t>Answer</w:t>
      </w:r>
      <w:r w:rsidR="009E279A">
        <w:t xml:space="preserve">: </w:t>
      </w:r>
      <w:r w:rsidR="00E016A4">
        <w:t xml:space="preserve">Statements of case will be available </w:t>
      </w:r>
      <w:r w:rsidR="00EF62F0">
        <w:t xml:space="preserve">as of right </w:t>
      </w:r>
      <w:r w:rsidR="00E016A4">
        <w:t xml:space="preserve">if they were filed after 2 October 2006. </w:t>
      </w:r>
      <w:r w:rsidR="009E279A">
        <w:t>Prior to that</w:t>
      </w:r>
      <w:r w:rsidR="00E016A4">
        <w:t xml:space="preserve"> date,</w:t>
      </w:r>
      <w:r w:rsidR="009E279A">
        <w:t xml:space="preserve"> the rules only </w:t>
      </w:r>
      <w:r w:rsidR="00EF62F0">
        <w:t>provided for disclosure of the Claim F</w:t>
      </w:r>
      <w:r w:rsidR="009E279A">
        <w:t xml:space="preserve">orm. </w:t>
      </w:r>
      <w:r w:rsidR="00EF62F0">
        <w:t>It will therefore be necessary to apply to the Court for access to other statements of case</w:t>
      </w:r>
      <w:r w:rsidR="00C23EB1">
        <w:t xml:space="preserve"> e.g. the Particulars of Claim and Defence</w:t>
      </w:r>
      <w:r w:rsidR="00EF62F0">
        <w:t>.</w:t>
      </w:r>
      <w:r w:rsidR="00153D9D">
        <w:t xml:space="preserve"> </w:t>
      </w:r>
    </w:p>
    <w:p w:rsidR="00153D9D" w:rsidRDefault="00153D9D" w:rsidP="00DD5136">
      <w:pPr>
        <w:spacing w:after="120"/>
        <w:ind w:left="720"/>
      </w:pPr>
      <w:r w:rsidRPr="00153D9D">
        <w:t>NB</w:t>
      </w:r>
      <w:r>
        <w:rPr>
          <w:b/>
        </w:rPr>
        <w:t xml:space="preserve"> </w:t>
      </w:r>
      <w:r>
        <w:t>– the Court may only retain the documents in its file for 6 years. As such, the documents may not be available thereafter.</w:t>
      </w:r>
    </w:p>
    <w:p w:rsidR="00DD5136" w:rsidRDefault="0039356A" w:rsidP="006F4C51">
      <w:pPr>
        <w:pStyle w:val="ListParagraph"/>
        <w:numPr>
          <w:ilvl w:val="0"/>
          <w:numId w:val="9"/>
        </w:numPr>
        <w:spacing w:after="120"/>
        <w:rPr>
          <w:b/>
          <w:i/>
        </w:rPr>
      </w:pPr>
      <w:r w:rsidRPr="006158C7">
        <w:rPr>
          <w:b/>
          <w:i/>
        </w:rPr>
        <w:t xml:space="preserve">Are </w:t>
      </w:r>
      <w:r w:rsidR="00EF62F0" w:rsidRPr="006158C7">
        <w:rPr>
          <w:b/>
          <w:i/>
        </w:rPr>
        <w:t xml:space="preserve">statements of case from </w:t>
      </w:r>
      <w:r w:rsidRPr="006158C7">
        <w:rPr>
          <w:b/>
          <w:i/>
        </w:rPr>
        <w:t>j</w:t>
      </w:r>
      <w:r w:rsidR="009E279A" w:rsidRPr="006158C7">
        <w:rPr>
          <w:b/>
          <w:i/>
        </w:rPr>
        <w:t xml:space="preserve">udicial review </w:t>
      </w:r>
      <w:r w:rsidR="00EF62F0" w:rsidRPr="006158C7">
        <w:rPr>
          <w:b/>
          <w:i/>
        </w:rPr>
        <w:t>proceedings a</w:t>
      </w:r>
      <w:r w:rsidR="009E279A" w:rsidRPr="006158C7">
        <w:rPr>
          <w:b/>
          <w:i/>
        </w:rPr>
        <w:t>lso available?</w:t>
      </w:r>
    </w:p>
    <w:p w:rsidR="00DD5136" w:rsidRDefault="0039356A" w:rsidP="00DD5136">
      <w:pPr>
        <w:spacing w:after="120"/>
        <w:ind w:left="720"/>
      </w:pPr>
      <w:r w:rsidRPr="0039356A">
        <w:rPr>
          <w:b/>
        </w:rPr>
        <w:t>Answer</w:t>
      </w:r>
      <w:r>
        <w:t xml:space="preserve">: Yes, in the </w:t>
      </w:r>
      <w:r w:rsidR="009E279A">
        <w:t xml:space="preserve">case of </w:t>
      </w:r>
      <w:r w:rsidR="009E279A" w:rsidRPr="0039356A">
        <w:rPr>
          <w:i/>
        </w:rPr>
        <w:t>R (Corner House Research) v Direc­tor of the Serious Fraud Office</w:t>
      </w:r>
      <w:r>
        <w:t xml:space="preserve">, the </w:t>
      </w:r>
      <w:r w:rsidR="009E279A">
        <w:t xml:space="preserve">Times, Financial Times and Guardian sought access to a court document during the judicial review of the Serious Fraud Office’s decision to abandon its corruption probe into BAE Systems. The government argued that the October 2006 rules did not apply to judicial reviews. However, the judge found that the defendant’s documents were “defences” and were therefore covered by the rules. </w:t>
      </w:r>
    </w:p>
    <w:p w:rsidR="00DD5136" w:rsidRDefault="0039356A" w:rsidP="006F4C51">
      <w:pPr>
        <w:pStyle w:val="ListParagraph"/>
        <w:numPr>
          <w:ilvl w:val="0"/>
          <w:numId w:val="9"/>
        </w:numPr>
        <w:spacing w:after="120"/>
        <w:rPr>
          <w:b/>
          <w:i/>
        </w:rPr>
      </w:pPr>
      <w:r w:rsidRPr="006158C7">
        <w:rPr>
          <w:b/>
          <w:i/>
        </w:rPr>
        <w:lastRenderedPageBreak/>
        <w:t>Where can we obtain copies of Court judgments?</w:t>
      </w:r>
    </w:p>
    <w:p w:rsidR="00DD5136" w:rsidRDefault="0039356A" w:rsidP="00DD5136">
      <w:pPr>
        <w:spacing w:after="120"/>
        <w:ind w:left="720"/>
      </w:pPr>
      <w:r w:rsidRPr="0039356A">
        <w:rPr>
          <w:b/>
        </w:rPr>
        <w:t>Answer</w:t>
      </w:r>
      <w:r>
        <w:t xml:space="preserve">: This website </w:t>
      </w:r>
      <w:hyperlink r:id="rId12" w:history="1">
        <w:r w:rsidRPr="003520C6">
          <w:rPr>
            <w:rStyle w:val="Hyperlink"/>
          </w:rPr>
          <w:t>http://www.bailii.org/</w:t>
        </w:r>
      </w:hyperlink>
      <w:r>
        <w:t xml:space="preserve"> provides free access to a large number of UK judgments. </w:t>
      </w:r>
      <w:r w:rsidR="00153D9D">
        <w:t xml:space="preserve">There are similar websites for other jurisdictions., EG </w:t>
      </w:r>
      <w:hyperlink r:id="rId13" w:history="1">
        <w:r w:rsidRPr="003520C6">
          <w:rPr>
            <w:rStyle w:val="Hyperlink"/>
          </w:rPr>
          <w:t>http://www.austlii.edu.au/</w:t>
        </w:r>
      </w:hyperlink>
      <w:r>
        <w:t xml:space="preserve"> for Australian cases and </w:t>
      </w:r>
      <w:hyperlink r:id="rId14" w:history="1">
        <w:r w:rsidRPr="003520C6">
          <w:rPr>
            <w:rStyle w:val="Hyperlink"/>
          </w:rPr>
          <w:t>http://www.commonlii.org/</w:t>
        </w:r>
      </w:hyperlink>
      <w:r>
        <w:t xml:space="preserve"> for commonwealth cases.</w:t>
      </w:r>
    </w:p>
    <w:p w:rsidR="00DD5136" w:rsidRPr="00153D9D" w:rsidRDefault="006F4C51" w:rsidP="00153D9D">
      <w:pPr>
        <w:spacing w:after="120"/>
        <w:ind w:firstLine="360"/>
        <w:rPr>
          <w:b/>
          <w:u w:val="single"/>
        </w:rPr>
      </w:pPr>
      <w:r w:rsidRPr="00153D9D">
        <w:rPr>
          <w:b/>
          <w:u w:val="single"/>
        </w:rPr>
        <w:t>A</w:t>
      </w:r>
      <w:r w:rsidR="009E279A" w:rsidRPr="00153D9D">
        <w:rPr>
          <w:b/>
          <w:u w:val="single"/>
        </w:rPr>
        <w:t xml:space="preserve">ny other documents on </w:t>
      </w:r>
      <w:r w:rsidR="0039356A" w:rsidRPr="00153D9D">
        <w:rPr>
          <w:b/>
          <w:u w:val="single"/>
        </w:rPr>
        <w:t xml:space="preserve">the </w:t>
      </w:r>
      <w:r w:rsidR="009E279A" w:rsidRPr="00153D9D">
        <w:rPr>
          <w:b/>
          <w:u w:val="single"/>
        </w:rPr>
        <w:t>court file</w:t>
      </w:r>
    </w:p>
    <w:p w:rsidR="00DD5136" w:rsidRDefault="009E279A" w:rsidP="006F4C51">
      <w:pPr>
        <w:pStyle w:val="ListParagraph"/>
        <w:numPr>
          <w:ilvl w:val="0"/>
          <w:numId w:val="10"/>
        </w:numPr>
        <w:spacing w:after="120"/>
        <w:rPr>
          <w:b/>
          <w:i/>
        </w:rPr>
      </w:pPr>
      <w:r w:rsidRPr="006158C7">
        <w:rPr>
          <w:b/>
          <w:i/>
        </w:rPr>
        <w:t>Is it possible to ask for all documents on a particular court file?</w:t>
      </w:r>
    </w:p>
    <w:p w:rsidR="00DD5136" w:rsidRDefault="0039356A" w:rsidP="00DD5136">
      <w:pPr>
        <w:spacing w:after="120"/>
        <w:ind w:left="720"/>
      </w:pPr>
      <w:r w:rsidRPr="0039356A">
        <w:rPr>
          <w:b/>
        </w:rPr>
        <w:t>Answer</w:t>
      </w:r>
      <w:r w:rsidR="009E279A">
        <w:t xml:space="preserve">: No, requests have to be </w:t>
      </w:r>
      <w:r>
        <w:t>for specific documents.</w:t>
      </w:r>
      <w:r w:rsidR="009E279A">
        <w:t xml:space="preserve"> </w:t>
      </w:r>
      <w:r>
        <w:t>However, you can make requests for the types of documents which</w:t>
      </w:r>
      <w:r w:rsidR="00EF62F0">
        <w:t xml:space="preserve"> you may </w:t>
      </w:r>
      <w:r w:rsidR="00C23EB1">
        <w:t>expect to be on file.</w:t>
      </w:r>
    </w:p>
    <w:p w:rsidR="00DD5136" w:rsidRDefault="009E279A" w:rsidP="006F4C51">
      <w:pPr>
        <w:pStyle w:val="ListParagraph"/>
        <w:numPr>
          <w:ilvl w:val="0"/>
          <w:numId w:val="10"/>
        </w:numPr>
        <w:spacing w:after="120"/>
        <w:rPr>
          <w:b/>
          <w:i/>
        </w:rPr>
      </w:pPr>
      <w:r w:rsidRPr="006158C7">
        <w:rPr>
          <w:b/>
          <w:i/>
        </w:rPr>
        <w:t>Is it possible to</w:t>
      </w:r>
      <w:r w:rsidR="00C71C2E" w:rsidRPr="006158C7">
        <w:rPr>
          <w:b/>
          <w:i/>
        </w:rPr>
        <w:t xml:space="preserve"> obtain copies of trial bundles?</w:t>
      </w:r>
    </w:p>
    <w:p w:rsidR="00DD5136" w:rsidRDefault="00C71C2E" w:rsidP="00DD5136">
      <w:pPr>
        <w:spacing w:after="120"/>
        <w:ind w:left="720"/>
      </w:pPr>
      <w:r w:rsidRPr="00C71C2E">
        <w:rPr>
          <w:b/>
        </w:rPr>
        <w:t>Answer</w:t>
      </w:r>
      <w:r w:rsidR="009E279A">
        <w:t xml:space="preserve">: No, in the case of </w:t>
      </w:r>
      <w:r w:rsidR="009E279A" w:rsidRPr="00C71C2E">
        <w:rPr>
          <w:i/>
        </w:rPr>
        <w:t xml:space="preserve">CIO Personal Investment </w:t>
      </w:r>
      <w:r w:rsidR="00DD3DD4" w:rsidRPr="00C71C2E">
        <w:rPr>
          <w:i/>
        </w:rPr>
        <w:t>Services</w:t>
      </w:r>
      <w:r w:rsidR="009E279A" w:rsidRPr="00C71C2E">
        <w:rPr>
          <w:i/>
        </w:rPr>
        <w:t xml:space="preserve"> Ltd v Liverpool and London</w:t>
      </w:r>
      <w:r>
        <w:t xml:space="preserve"> </w:t>
      </w:r>
      <w:r w:rsidR="009E279A">
        <w:t xml:space="preserve">the Court said that members of the public were not entitled to be provided with copies of trial </w:t>
      </w:r>
      <w:r>
        <w:t>bundles</w:t>
      </w:r>
      <w:r w:rsidR="009E279A">
        <w:t>.</w:t>
      </w:r>
    </w:p>
    <w:p w:rsidR="00DD5136" w:rsidRDefault="0057760F" w:rsidP="006F4C51">
      <w:pPr>
        <w:pStyle w:val="ListParagraph"/>
        <w:numPr>
          <w:ilvl w:val="0"/>
          <w:numId w:val="10"/>
        </w:numPr>
        <w:spacing w:after="120"/>
        <w:rPr>
          <w:b/>
          <w:i/>
        </w:rPr>
      </w:pPr>
      <w:r w:rsidRPr="006158C7">
        <w:rPr>
          <w:b/>
          <w:i/>
        </w:rPr>
        <w:t xml:space="preserve">Can state-parties raise matters of national security to prevent non-parties obtaining access to documents? </w:t>
      </w:r>
    </w:p>
    <w:p w:rsidR="00DD5136" w:rsidRDefault="0057760F" w:rsidP="00DD5136">
      <w:pPr>
        <w:spacing w:after="120"/>
        <w:ind w:left="720"/>
      </w:pPr>
      <w:r w:rsidRPr="0057760F">
        <w:rPr>
          <w:b/>
        </w:rPr>
        <w:t>Answer</w:t>
      </w:r>
      <w:r>
        <w:t xml:space="preserve">: The Government could make an application to the Court to prevent disclosure to any non-parties if, for example, a </w:t>
      </w:r>
      <w:r w:rsidR="00EF62F0">
        <w:t>document contained</w:t>
      </w:r>
      <w:r>
        <w:t xml:space="preserve"> state secrets. However, there are no general exemptions for national security to disclosure in court proceedings </w:t>
      </w:r>
      <w:r w:rsidR="00EF62F0">
        <w:t xml:space="preserve">in the same way that there </w:t>
      </w:r>
      <w:r>
        <w:t>are under the F</w:t>
      </w:r>
      <w:r w:rsidR="00EF62F0">
        <w:t>reedom of Information Act 2000 (“</w:t>
      </w:r>
      <w:r w:rsidR="00EF62F0" w:rsidRPr="00153D9D">
        <w:t>F</w:t>
      </w:r>
      <w:r w:rsidRPr="00153D9D">
        <w:t>OIA</w:t>
      </w:r>
      <w:r w:rsidR="00EF62F0">
        <w:t>”)</w:t>
      </w:r>
      <w:r>
        <w:t xml:space="preserve"> and DPA.</w:t>
      </w:r>
    </w:p>
    <w:p w:rsidR="00DD5136" w:rsidRDefault="0039356A" w:rsidP="006F4C51">
      <w:pPr>
        <w:pStyle w:val="ListParagraph"/>
        <w:numPr>
          <w:ilvl w:val="0"/>
          <w:numId w:val="10"/>
        </w:numPr>
        <w:spacing w:after="120"/>
        <w:rPr>
          <w:b/>
          <w:i/>
        </w:rPr>
      </w:pPr>
      <w:r w:rsidRPr="006158C7">
        <w:rPr>
          <w:b/>
          <w:i/>
        </w:rPr>
        <w:t>Will there always be a transcript of hearings?</w:t>
      </w:r>
    </w:p>
    <w:p w:rsidR="00DD5136" w:rsidRDefault="00C71C2E" w:rsidP="00DD5136">
      <w:pPr>
        <w:spacing w:after="120"/>
        <w:ind w:left="720"/>
      </w:pPr>
      <w:r w:rsidRPr="0057760F">
        <w:rPr>
          <w:b/>
        </w:rPr>
        <w:t>Answer</w:t>
      </w:r>
      <w:r w:rsidR="0039356A">
        <w:t xml:space="preserve">: </w:t>
      </w:r>
      <w:r>
        <w:t>T</w:t>
      </w:r>
      <w:r w:rsidR="0039356A">
        <w:t>ranscript</w:t>
      </w:r>
      <w:r>
        <w:t>ion</w:t>
      </w:r>
      <w:r w:rsidR="0039356A">
        <w:t xml:space="preserve"> services have been </w:t>
      </w:r>
      <w:r>
        <w:t>privatised</w:t>
      </w:r>
      <w:r w:rsidR="0039356A">
        <w:t xml:space="preserve"> and </w:t>
      </w:r>
      <w:r>
        <w:t>you will usually have to arrange for a t</w:t>
      </w:r>
      <w:r w:rsidR="0039356A">
        <w:t>ranscript to be made. However, the general rule is that hearings shoul</w:t>
      </w:r>
      <w:r>
        <w:t>d be recorded. It will usually be possible to obtain these recordings from the court r</w:t>
      </w:r>
      <w:r w:rsidR="00EF62F0">
        <w:t xml:space="preserve">eporting </w:t>
      </w:r>
      <w:r>
        <w:t xml:space="preserve">and </w:t>
      </w:r>
      <w:r w:rsidR="00EF62F0">
        <w:t>transcribing</w:t>
      </w:r>
      <w:r>
        <w:t xml:space="preserve"> unit and to arrange for a transcript to be produced </w:t>
      </w:r>
      <w:r w:rsidR="0039356A">
        <w:t>(for a fee).</w:t>
      </w:r>
    </w:p>
    <w:p w:rsidR="00DD5136" w:rsidRDefault="009E279A" w:rsidP="006F4C51">
      <w:pPr>
        <w:pStyle w:val="ListParagraph"/>
        <w:numPr>
          <w:ilvl w:val="0"/>
          <w:numId w:val="10"/>
        </w:numPr>
        <w:spacing w:after="120"/>
        <w:rPr>
          <w:b/>
          <w:i/>
        </w:rPr>
      </w:pPr>
      <w:r w:rsidRPr="006158C7">
        <w:rPr>
          <w:b/>
          <w:i/>
        </w:rPr>
        <w:t xml:space="preserve">Can </w:t>
      </w:r>
      <w:r w:rsidR="00C71C2E" w:rsidRPr="006158C7">
        <w:rPr>
          <w:b/>
          <w:i/>
        </w:rPr>
        <w:t>you obtain copies of disclosure lists from the Court file</w:t>
      </w:r>
      <w:r w:rsidRPr="006158C7">
        <w:rPr>
          <w:b/>
          <w:i/>
        </w:rPr>
        <w:t>?</w:t>
      </w:r>
    </w:p>
    <w:p w:rsidR="00DD5136" w:rsidRDefault="00C71C2E" w:rsidP="00DD5136">
      <w:pPr>
        <w:spacing w:after="120"/>
        <w:ind w:left="720"/>
      </w:pPr>
      <w:r w:rsidRPr="00C71C2E">
        <w:rPr>
          <w:b/>
        </w:rPr>
        <w:t>Answer</w:t>
      </w:r>
      <w:r w:rsidR="009E279A">
        <w:t xml:space="preserve">: </w:t>
      </w:r>
      <w:r>
        <w:t xml:space="preserve">Disclosure lists are not usually filed at Court so it will only be possible to obtain a copy of these if they are </w:t>
      </w:r>
      <w:r w:rsidR="009E279A">
        <w:t>referred to in open court</w:t>
      </w:r>
      <w:r>
        <w:t xml:space="preserve"> (see below)</w:t>
      </w:r>
      <w:r w:rsidR="009E279A">
        <w:t xml:space="preserve">. </w:t>
      </w:r>
    </w:p>
    <w:p w:rsidR="00DD5136" w:rsidRDefault="00C71C2E" w:rsidP="006F4C51">
      <w:pPr>
        <w:pStyle w:val="ListParagraph"/>
        <w:numPr>
          <w:ilvl w:val="0"/>
          <w:numId w:val="10"/>
        </w:numPr>
        <w:spacing w:after="120"/>
        <w:rPr>
          <w:b/>
          <w:i/>
        </w:rPr>
      </w:pPr>
      <w:r w:rsidRPr="006158C7">
        <w:rPr>
          <w:b/>
          <w:i/>
        </w:rPr>
        <w:t>Ho</w:t>
      </w:r>
      <w:r w:rsidR="00EF62F0" w:rsidRPr="006158C7">
        <w:rPr>
          <w:b/>
          <w:i/>
        </w:rPr>
        <w:t>w far back in time can you request documents</w:t>
      </w:r>
      <w:r w:rsidRPr="006158C7">
        <w:rPr>
          <w:b/>
          <w:i/>
        </w:rPr>
        <w:t>?</w:t>
      </w:r>
    </w:p>
    <w:p w:rsidR="00DD5136" w:rsidRDefault="00C71C2E" w:rsidP="00DD5136">
      <w:pPr>
        <w:spacing w:after="120"/>
        <w:ind w:left="720"/>
      </w:pPr>
      <w:r w:rsidRPr="00C71C2E">
        <w:rPr>
          <w:b/>
        </w:rPr>
        <w:t>Answer</w:t>
      </w:r>
      <w:r>
        <w:t xml:space="preserve">: There </w:t>
      </w:r>
      <w:r w:rsidR="00EF62F0">
        <w:t xml:space="preserve">is no specific time limit. However, </w:t>
      </w:r>
      <w:r w:rsidR="00C23EB1">
        <w:t>the C</w:t>
      </w:r>
      <w:r>
        <w:t>ourt will be more willing to give a non-part</w:t>
      </w:r>
      <w:r w:rsidR="00EF62F0">
        <w:t>y access to documents which</w:t>
      </w:r>
      <w:r>
        <w:t xml:space="preserve"> relate to ongoing litigation than to </w:t>
      </w:r>
      <w:r>
        <w:lastRenderedPageBreak/>
        <w:t xml:space="preserve">documents relating to historic litigation.  </w:t>
      </w:r>
      <w:r w:rsidR="00153D9D">
        <w:t>Note also that the Court may destroy the file after 6 years.</w:t>
      </w:r>
    </w:p>
    <w:p w:rsidR="00DD5136" w:rsidRDefault="0057760F" w:rsidP="006F4C51">
      <w:pPr>
        <w:pStyle w:val="ListParagraph"/>
        <w:numPr>
          <w:ilvl w:val="0"/>
          <w:numId w:val="10"/>
        </w:numPr>
        <w:spacing w:after="120"/>
        <w:rPr>
          <w:b/>
          <w:i/>
        </w:rPr>
      </w:pPr>
      <w:r w:rsidRPr="006158C7">
        <w:rPr>
          <w:b/>
          <w:i/>
        </w:rPr>
        <w:t>Is it still possible to obtain documents w</w:t>
      </w:r>
      <w:r w:rsidR="00C71C2E" w:rsidRPr="006158C7">
        <w:rPr>
          <w:b/>
          <w:i/>
        </w:rPr>
        <w:t>hen the case has settled?</w:t>
      </w:r>
    </w:p>
    <w:p w:rsidR="00DD5136" w:rsidRDefault="0057760F" w:rsidP="00DD5136">
      <w:pPr>
        <w:spacing w:after="120"/>
        <w:ind w:left="720"/>
      </w:pPr>
      <w:r w:rsidRPr="0057760F">
        <w:rPr>
          <w:b/>
        </w:rPr>
        <w:t>Answer</w:t>
      </w:r>
      <w:r w:rsidR="00C71C2E">
        <w:t xml:space="preserve">: The other side may seek to argue that there is no longer a legitimate interest in obtaining access to documents once a case has settled. However, in the case of </w:t>
      </w:r>
      <w:r w:rsidR="00C71C2E" w:rsidRPr="0039356A">
        <w:rPr>
          <w:i/>
        </w:rPr>
        <w:t>British Arab Commercial Bank v Algosaibi</w:t>
      </w:r>
      <w:r w:rsidR="00C71C2E">
        <w:t xml:space="preserve">, a party was ordered to provide copies of witness statements to a non-party despite the fact that the case had settled and the witnesses were never called to give evidence. </w:t>
      </w:r>
    </w:p>
    <w:p w:rsidR="00DD5136" w:rsidRPr="00153D9D" w:rsidRDefault="006F4C51" w:rsidP="00153D9D">
      <w:pPr>
        <w:spacing w:after="120"/>
        <w:ind w:firstLine="360"/>
        <w:rPr>
          <w:b/>
          <w:u w:val="single"/>
        </w:rPr>
      </w:pPr>
      <w:r w:rsidRPr="00153D9D">
        <w:rPr>
          <w:b/>
          <w:u w:val="single"/>
        </w:rPr>
        <w:t>D</w:t>
      </w:r>
      <w:r w:rsidR="009E279A" w:rsidRPr="00153D9D">
        <w:rPr>
          <w:b/>
          <w:u w:val="single"/>
        </w:rPr>
        <w:t>ocuments read in open court</w:t>
      </w:r>
    </w:p>
    <w:p w:rsidR="00DD5136" w:rsidRDefault="006158C7" w:rsidP="006F4C51">
      <w:pPr>
        <w:spacing w:after="120"/>
        <w:ind w:left="720"/>
      </w:pPr>
      <w:r>
        <w:t>I</w:t>
      </w:r>
      <w:r w:rsidR="009E279A">
        <w:t xml:space="preserve">f </w:t>
      </w:r>
      <w:r w:rsidR="00C71C2E">
        <w:t xml:space="preserve">a </w:t>
      </w:r>
      <w:r w:rsidR="009E279A">
        <w:t xml:space="preserve">document has not been filed but has been read in open court then </w:t>
      </w:r>
      <w:r w:rsidR="0057760F">
        <w:t xml:space="preserve">it should be possible to obtain access to the document, as long as you can show </w:t>
      </w:r>
      <w:r w:rsidR="009E279A">
        <w:t xml:space="preserve">a </w:t>
      </w:r>
      <w:r w:rsidR="00C71C2E">
        <w:t>“</w:t>
      </w:r>
      <w:r w:rsidR="009E279A">
        <w:t>legitimate interest</w:t>
      </w:r>
      <w:r w:rsidR="00C71C2E">
        <w:t>”</w:t>
      </w:r>
      <w:r w:rsidR="0057760F">
        <w:t xml:space="preserve">. </w:t>
      </w:r>
    </w:p>
    <w:p w:rsidR="00DD5136" w:rsidRDefault="00C23EB1" w:rsidP="006F4C51">
      <w:pPr>
        <w:spacing w:after="120"/>
        <w:ind w:left="720"/>
      </w:pPr>
      <w:r>
        <w:t xml:space="preserve">Requests for documents which have been read in open court can be made to the parties themselves or an application can be made to the Court. </w:t>
      </w:r>
    </w:p>
    <w:p w:rsidR="00DD5136" w:rsidRDefault="001A0C9F" w:rsidP="006F4C51">
      <w:pPr>
        <w:spacing w:after="120"/>
        <w:ind w:left="720"/>
      </w:pPr>
      <w:r>
        <w:t>Unless a hearing is held in private (which will only be in very limited circumstances e.g. settlement hearings involving minors), anyone can attend hearings, take notes, obtain transcripts and then obtain copies of the documents referred to.</w:t>
      </w:r>
      <w:r w:rsidR="00C23EB1">
        <w:t xml:space="preserve"> </w:t>
      </w:r>
      <w:r>
        <w:t>If you see a reference (e.g. in the media) to a hearing happening on a particular date but are not able to attend, then you are also likely to have enough information to (a) ask the parties; or (b) apply to t</w:t>
      </w:r>
      <w:r w:rsidR="00C23EB1">
        <w:t>he C</w:t>
      </w:r>
      <w:r>
        <w:t>ourt.</w:t>
      </w:r>
    </w:p>
    <w:p w:rsidR="00DD5136" w:rsidRDefault="00153D9D" w:rsidP="006F4C51">
      <w:pPr>
        <w:spacing w:after="120"/>
        <w:ind w:left="720"/>
      </w:pPr>
      <w:r>
        <w:t xml:space="preserve">Discussion about creating a </w:t>
      </w:r>
      <w:r w:rsidR="0057760F" w:rsidRPr="0057760F">
        <w:t>list of people who would be willing to come dow</w:t>
      </w:r>
      <w:r w:rsidR="00EF62F0">
        <w:t>n to C</w:t>
      </w:r>
      <w:r w:rsidR="0057760F" w:rsidRPr="0057760F">
        <w:t>ourt when there is a</w:t>
      </w:r>
      <w:r w:rsidR="00EF62F0">
        <w:t xml:space="preserve"> </w:t>
      </w:r>
      <w:r w:rsidR="0057760F" w:rsidRPr="0057760F">
        <w:t xml:space="preserve">hearing </w:t>
      </w:r>
      <w:r w:rsidR="00EF62F0">
        <w:t xml:space="preserve">where interesting documents are likely to be referred to </w:t>
      </w:r>
      <w:r w:rsidR="0057760F" w:rsidRPr="0057760F">
        <w:t>in order to take notes.</w:t>
      </w:r>
    </w:p>
    <w:p w:rsidR="00DD5136" w:rsidRDefault="0039356A" w:rsidP="006F4C51">
      <w:pPr>
        <w:pStyle w:val="ListParagraph"/>
        <w:numPr>
          <w:ilvl w:val="0"/>
          <w:numId w:val="11"/>
        </w:numPr>
        <w:spacing w:after="120"/>
        <w:rPr>
          <w:b/>
          <w:i/>
        </w:rPr>
      </w:pPr>
      <w:r w:rsidRPr="006158C7">
        <w:rPr>
          <w:b/>
          <w:i/>
        </w:rPr>
        <w:t>Are there any limits on how you use documents</w:t>
      </w:r>
      <w:r w:rsidR="00C71C2E" w:rsidRPr="006158C7">
        <w:rPr>
          <w:b/>
          <w:i/>
        </w:rPr>
        <w:t xml:space="preserve"> which have been read in open court</w:t>
      </w:r>
      <w:r w:rsidRPr="006158C7">
        <w:rPr>
          <w:b/>
          <w:i/>
        </w:rPr>
        <w:t>?</w:t>
      </w:r>
    </w:p>
    <w:p w:rsidR="00DD5136" w:rsidRDefault="00C71C2E" w:rsidP="00DD5136">
      <w:pPr>
        <w:spacing w:after="120"/>
        <w:ind w:left="720"/>
      </w:pPr>
      <w:r w:rsidRPr="0057760F">
        <w:rPr>
          <w:b/>
        </w:rPr>
        <w:t>Answer</w:t>
      </w:r>
      <w:r>
        <w:t xml:space="preserve">: </w:t>
      </w:r>
      <w:r w:rsidR="0039356A">
        <w:t xml:space="preserve">Once a document is in the public domain, unless the court has ordered otherwise, you can use it </w:t>
      </w:r>
      <w:r w:rsidR="001A0C9F">
        <w:t>as</w:t>
      </w:r>
      <w:r w:rsidR="0039356A">
        <w:t xml:space="preserve"> you like (subject, of course, to the laws of defamation</w:t>
      </w:r>
      <w:r w:rsidR="0057760F">
        <w:t>)</w:t>
      </w:r>
      <w:r w:rsidR="001A0C9F">
        <w:t>.</w:t>
      </w:r>
    </w:p>
    <w:p w:rsidR="00DD5136" w:rsidRDefault="001A0C9F" w:rsidP="00DD5136">
      <w:pPr>
        <w:spacing w:after="120"/>
        <w:ind w:left="720"/>
      </w:pPr>
      <w:r>
        <w:t xml:space="preserve">However, it is important not to criticise the court while proceedings are ongoing or </w:t>
      </w:r>
      <w:r w:rsidR="00431C64">
        <w:t xml:space="preserve">to </w:t>
      </w:r>
      <w:r>
        <w:t xml:space="preserve">publish anything which could be seen as influencing </w:t>
      </w:r>
      <w:r w:rsidR="00153D9D">
        <w:t xml:space="preserve">the administration of justice (esp where there is </w:t>
      </w:r>
      <w:r>
        <w:t>a jury</w:t>
      </w:r>
      <w:r w:rsidR="00153D9D">
        <w:t>)</w:t>
      </w:r>
      <w:r>
        <w:t xml:space="preserve">. Otherwise, you may be found in contempt of court.  </w:t>
      </w:r>
    </w:p>
    <w:p w:rsidR="00DD5136" w:rsidRDefault="0057760F" w:rsidP="00153D9D">
      <w:pPr>
        <w:pStyle w:val="ListParagraph"/>
        <w:keepNext/>
        <w:numPr>
          <w:ilvl w:val="0"/>
          <w:numId w:val="1"/>
        </w:numPr>
        <w:spacing w:before="240" w:after="120"/>
        <w:ind w:left="425" w:hanging="357"/>
        <w:contextualSpacing w:val="0"/>
        <w:rPr>
          <w:b/>
        </w:rPr>
      </w:pPr>
      <w:r w:rsidRPr="0057760F">
        <w:rPr>
          <w:b/>
        </w:rPr>
        <w:lastRenderedPageBreak/>
        <w:t>ACCESSING OTHER DATA AND DOCUMENTS –</w:t>
      </w:r>
      <w:r w:rsidR="00EF62F0">
        <w:rPr>
          <w:b/>
        </w:rPr>
        <w:t xml:space="preserve"> </w:t>
      </w:r>
      <w:r>
        <w:rPr>
          <w:b/>
        </w:rPr>
        <w:t xml:space="preserve">FOIA </w:t>
      </w:r>
      <w:r w:rsidRPr="0057760F">
        <w:rPr>
          <w:b/>
        </w:rPr>
        <w:t>AND DPA</w:t>
      </w:r>
    </w:p>
    <w:p w:rsidR="00DD5136" w:rsidRDefault="00431C64" w:rsidP="006F4C51">
      <w:pPr>
        <w:pStyle w:val="ListParagraph"/>
        <w:numPr>
          <w:ilvl w:val="0"/>
          <w:numId w:val="12"/>
        </w:numPr>
        <w:spacing w:after="120"/>
        <w:rPr>
          <w:b/>
          <w:i/>
        </w:rPr>
      </w:pPr>
      <w:r w:rsidRPr="00431C64">
        <w:rPr>
          <w:b/>
          <w:i/>
        </w:rPr>
        <w:t xml:space="preserve">Are there any limits on the type of information that you can request under the FOIA? </w:t>
      </w:r>
    </w:p>
    <w:p w:rsidR="00DD5136" w:rsidRDefault="00431C64" w:rsidP="00DD5136">
      <w:pPr>
        <w:spacing w:after="120"/>
        <w:ind w:left="720"/>
      </w:pPr>
      <w:r>
        <w:t xml:space="preserve">Under the </w:t>
      </w:r>
      <w:r w:rsidRPr="00431C64">
        <w:t>FOIA</w:t>
      </w:r>
      <w:r>
        <w:t xml:space="preserve"> you can request any information which is held by a public authority. Requests can take the form of a question, rather than a request for specific documents. However, depending on the type of information requested, public authorities may seek to rely on one of the exemptions set out in sections 21-44 of the FOIA e.g. where disclosure would be likely to prejudice the commercial interests of any person. I</w:t>
      </w:r>
      <w:r w:rsidRPr="00431C64">
        <w:t xml:space="preserve">t is </w:t>
      </w:r>
      <w:r>
        <w:t xml:space="preserve">also </w:t>
      </w:r>
      <w:r w:rsidRPr="00431C64">
        <w:t xml:space="preserve">very important to formulate FOIA requests correctly as public authorities </w:t>
      </w:r>
      <w:r>
        <w:t xml:space="preserve">are likely to try to respond as narrowly as possible. </w:t>
      </w:r>
    </w:p>
    <w:p w:rsidR="00DD5136" w:rsidRDefault="00CA0880" w:rsidP="006F4C51">
      <w:pPr>
        <w:pStyle w:val="ListParagraph"/>
        <w:numPr>
          <w:ilvl w:val="0"/>
          <w:numId w:val="12"/>
        </w:numPr>
        <w:spacing w:after="120"/>
        <w:rPr>
          <w:b/>
          <w:i/>
        </w:rPr>
      </w:pPr>
      <w:r w:rsidRPr="00431C64">
        <w:rPr>
          <w:b/>
          <w:i/>
        </w:rPr>
        <w:t xml:space="preserve">Can public </w:t>
      </w:r>
      <w:r w:rsidR="0057760F" w:rsidRPr="00431C64">
        <w:rPr>
          <w:b/>
          <w:i/>
        </w:rPr>
        <w:t>authorities</w:t>
      </w:r>
      <w:r w:rsidRPr="00431C64">
        <w:rPr>
          <w:b/>
          <w:i/>
        </w:rPr>
        <w:t xml:space="preserve"> delay</w:t>
      </w:r>
      <w:r w:rsidR="0057760F" w:rsidRPr="00431C64">
        <w:rPr>
          <w:b/>
          <w:i/>
        </w:rPr>
        <w:t xml:space="preserve"> in providing documents on the basis that they </w:t>
      </w:r>
      <w:r w:rsidRPr="00431C64">
        <w:rPr>
          <w:b/>
          <w:i/>
        </w:rPr>
        <w:t xml:space="preserve">have </w:t>
      </w:r>
      <w:r w:rsidR="0057760F" w:rsidRPr="00431C64">
        <w:rPr>
          <w:b/>
          <w:i/>
        </w:rPr>
        <w:t>not finished reading a document?</w:t>
      </w:r>
    </w:p>
    <w:p w:rsidR="00DD5136" w:rsidRDefault="0057760F" w:rsidP="00DD5136">
      <w:pPr>
        <w:spacing w:after="120"/>
        <w:ind w:left="720"/>
      </w:pPr>
      <w:r w:rsidRPr="0086438D">
        <w:rPr>
          <w:b/>
        </w:rPr>
        <w:t>Answer</w:t>
      </w:r>
      <w:r w:rsidR="0086438D">
        <w:t xml:space="preserve">: </w:t>
      </w:r>
      <w:r w:rsidR="00C23EB1">
        <w:t>U</w:t>
      </w:r>
      <w:r>
        <w:t>nder Regulation 12(4)(d) of the</w:t>
      </w:r>
      <w:r w:rsidR="00CA0880">
        <w:t xml:space="preserve"> </w:t>
      </w:r>
      <w:r w:rsidRPr="0057760F">
        <w:t>Environmental Information Regulations 2004</w:t>
      </w:r>
      <w:r w:rsidR="00C23EB1">
        <w:t>,</w:t>
      </w:r>
      <w:r w:rsidRPr="0057760F">
        <w:t xml:space="preserve"> </w:t>
      </w:r>
      <w:r w:rsidR="00CA0880">
        <w:t>the</w:t>
      </w:r>
      <w:r>
        <w:t xml:space="preserve">re is an </w:t>
      </w:r>
      <w:r w:rsidR="00CA0880">
        <w:t xml:space="preserve">exemption </w:t>
      </w:r>
      <w:r>
        <w:t>f</w:t>
      </w:r>
      <w:r w:rsidR="00CA0880">
        <w:t xml:space="preserve">or </w:t>
      </w:r>
      <w:r>
        <w:t>m</w:t>
      </w:r>
      <w:r w:rsidR="00CA0880" w:rsidRPr="00CA0880">
        <w:t>aterial in the course of completion, unfinished documents and incomplete data</w:t>
      </w:r>
      <w:r w:rsidR="00C23EB1">
        <w:t>.</w:t>
      </w:r>
    </w:p>
    <w:p w:rsidR="00DD5136" w:rsidRDefault="0057760F" w:rsidP="00DD5136">
      <w:pPr>
        <w:spacing w:after="120"/>
        <w:ind w:left="720"/>
      </w:pPr>
      <w:r>
        <w:t xml:space="preserve">We are not aware of any </w:t>
      </w:r>
      <w:r w:rsidR="009C4895">
        <w:t xml:space="preserve">exemptions under the FOIA which would apply if a public authority had </w:t>
      </w:r>
      <w:r>
        <w:t xml:space="preserve">simply </w:t>
      </w:r>
      <w:r w:rsidR="009C4895">
        <w:t xml:space="preserve">not read a </w:t>
      </w:r>
      <w:r>
        <w:t xml:space="preserve">finished </w:t>
      </w:r>
      <w:r w:rsidR="009C4895">
        <w:t>document.</w:t>
      </w:r>
    </w:p>
    <w:p w:rsidR="00CA0880" w:rsidRDefault="0057760F" w:rsidP="00DD5136">
      <w:pPr>
        <w:spacing w:after="120"/>
        <w:ind w:left="720"/>
      </w:pPr>
      <w:r>
        <w:t>Nonetheless, public authorities can requ</w:t>
      </w:r>
      <w:r w:rsidR="009C4895">
        <w:t xml:space="preserve">est further information if </w:t>
      </w:r>
      <w:r>
        <w:t xml:space="preserve">it is </w:t>
      </w:r>
      <w:r w:rsidR="009C4895">
        <w:t xml:space="preserve">required </w:t>
      </w:r>
      <w:r>
        <w:t>t</w:t>
      </w:r>
      <w:r w:rsidR="009C4895">
        <w:t>o identify or locate the</w:t>
      </w:r>
      <w:r w:rsidR="00431C64">
        <w:t xml:space="preserve"> requested information. I</w:t>
      </w:r>
      <w:r>
        <w:t xml:space="preserve">f further information is requested, </w:t>
      </w:r>
      <w:r w:rsidR="009C4895">
        <w:t xml:space="preserve">the 20 working days will commence the day after </w:t>
      </w:r>
      <w:r>
        <w:t xml:space="preserve">the public authority </w:t>
      </w:r>
      <w:r w:rsidR="009C4895">
        <w:t xml:space="preserve">receives the required </w:t>
      </w:r>
      <w:r w:rsidR="00431C64">
        <w:t>clarification</w:t>
      </w:r>
      <w:r w:rsidR="009C4895">
        <w:t>.</w:t>
      </w:r>
    </w:p>
    <w:p w:rsidR="00DD5136" w:rsidRDefault="009C4895" w:rsidP="006F4C51">
      <w:pPr>
        <w:spacing w:after="120"/>
        <w:ind w:left="720"/>
      </w:pPr>
      <w:r>
        <w:t xml:space="preserve"> A public authority can also refuse to comply </w:t>
      </w:r>
      <w:r w:rsidR="0057760F">
        <w:t xml:space="preserve">with a request if in doing so it would exceed the specified limits on fees. </w:t>
      </w:r>
    </w:p>
    <w:p w:rsidR="00DD5136" w:rsidRDefault="009C4895" w:rsidP="006F4C51">
      <w:pPr>
        <w:pStyle w:val="ListParagraph"/>
        <w:numPr>
          <w:ilvl w:val="0"/>
          <w:numId w:val="12"/>
        </w:numPr>
        <w:spacing w:after="120"/>
        <w:rPr>
          <w:b/>
          <w:i/>
        </w:rPr>
      </w:pPr>
      <w:r w:rsidRPr="00431C64">
        <w:rPr>
          <w:b/>
          <w:i/>
        </w:rPr>
        <w:t>What are the current limits on fees?</w:t>
      </w:r>
    </w:p>
    <w:p w:rsidR="00DD5136" w:rsidRDefault="009C4895" w:rsidP="00DD5136">
      <w:pPr>
        <w:spacing w:after="120"/>
        <w:ind w:left="720"/>
      </w:pPr>
      <w:r w:rsidRPr="0057760F">
        <w:rPr>
          <w:b/>
        </w:rPr>
        <w:t>A</w:t>
      </w:r>
      <w:r w:rsidR="0057760F" w:rsidRPr="0057760F">
        <w:rPr>
          <w:b/>
        </w:rPr>
        <w:t>nswer</w:t>
      </w:r>
      <w:r>
        <w:t>: Under</w:t>
      </w:r>
      <w:r w:rsidR="00893811">
        <w:t xml:space="preserve"> section 3 of </w:t>
      </w:r>
      <w:r>
        <w:t xml:space="preserve">the </w:t>
      </w:r>
      <w:r w:rsidRPr="009C4895">
        <w:t>Freedom of Information and Data Protection (Appropriate Limit and Fees) Regulations 2004</w:t>
      </w:r>
      <w:r w:rsidR="0057760F">
        <w:t>,</w:t>
      </w:r>
      <w:r>
        <w:t xml:space="preserve"> the current limit is £600 for </w:t>
      </w:r>
      <w:r w:rsidR="00893811">
        <w:t xml:space="preserve">Central Government, </w:t>
      </w:r>
      <w:r w:rsidR="00DD3DD4">
        <w:t>Parliament</w:t>
      </w:r>
      <w:r w:rsidR="00893811">
        <w:t xml:space="preserve"> and the Armed Forces and £450 for all other public authorities.</w:t>
      </w:r>
    </w:p>
    <w:p w:rsidR="00DD5136" w:rsidRDefault="00CA0880" w:rsidP="006F4C51">
      <w:pPr>
        <w:pStyle w:val="ListParagraph"/>
        <w:numPr>
          <w:ilvl w:val="0"/>
          <w:numId w:val="12"/>
        </w:numPr>
        <w:spacing w:after="120"/>
        <w:rPr>
          <w:b/>
          <w:i/>
        </w:rPr>
      </w:pPr>
      <w:r w:rsidRPr="00431C64">
        <w:rPr>
          <w:b/>
          <w:i/>
        </w:rPr>
        <w:t xml:space="preserve">Can you request information under the FOIA which has been outsourced to </w:t>
      </w:r>
      <w:r w:rsidR="0057760F" w:rsidRPr="00431C64">
        <w:rPr>
          <w:b/>
          <w:i/>
        </w:rPr>
        <w:t>contractors</w:t>
      </w:r>
      <w:r w:rsidRPr="00431C64">
        <w:rPr>
          <w:b/>
          <w:i/>
        </w:rPr>
        <w:t>?</w:t>
      </w:r>
    </w:p>
    <w:p w:rsidR="00CA0880" w:rsidRDefault="0057760F" w:rsidP="00DD5136">
      <w:pPr>
        <w:spacing w:after="120"/>
        <w:ind w:left="720"/>
      </w:pPr>
      <w:r w:rsidRPr="0057760F">
        <w:rPr>
          <w:b/>
        </w:rPr>
        <w:t>Answer</w:t>
      </w:r>
      <w:r w:rsidR="00CA0880">
        <w:t xml:space="preserve">: It is likely to depend </w:t>
      </w:r>
      <w:r>
        <w:t xml:space="preserve">on </w:t>
      </w:r>
      <w:r w:rsidR="00CA0880">
        <w:t xml:space="preserve">whether the information is said to be </w:t>
      </w:r>
      <w:r>
        <w:t>“</w:t>
      </w:r>
      <w:r w:rsidR="00CA0880">
        <w:t>held</w:t>
      </w:r>
      <w:r>
        <w:t>”</w:t>
      </w:r>
      <w:r w:rsidR="00CA0880">
        <w:t xml:space="preserve"> by the public authority and whether a relevant exemption e.g. commercial sensitivity </w:t>
      </w:r>
      <w:r w:rsidR="00CA0880">
        <w:lastRenderedPageBreak/>
        <w:t xml:space="preserve">applies. Please see the </w:t>
      </w:r>
      <w:r>
        <w:t xml:space="preserve">relevant </w:t>
      </w:r>
      <w:r w:rsidR="00CA0880">
        <w:t xml:space="preserve">ICO guidance </w:t>
      </w:r>
      <w:hyperlink r:id="rId15" w:history="1">
        <w:r w:rsidR="00CA0880" w:rsidRPr="00CA0880">
          <w:rPr>
            <w:rStyle w:val="Hyperlink"/>
          </w:rPr>
          <w:t>here</w:t>
        </w:r>
      </w:hyperlink>
      <w:r w:rsidR="00CA0880">
        <w:t>.</w:t>
      </w:r>
      <w:r w:rsidR="00547145">
        <w:rPr>
          <w:rStyle w:val="FootnoteReference"/>
        </w:rPr>
        <w:footnoteReference w:id="3"/>
      </w:r>
      <w:r>
        <w:t xml:space="preserve"> </w:t>
      </w:r>
      <w:r w:rsidR="00431C64">
        <w:t xml:space="preserve">There are currently plans to extend the FOIA to private </w:t>
      </w:r>
      <w:r w:rsidR="00431C64" w:rsidRPr="00431C64">
        <w:t>companies carrying out public contracts</w:t>
      </w:r>
      <w:r w:rsidR="00431C64">
        <w:t xml:space="preserve">. </w:t>
      </w:r>
    </w:p>
    <w:p w:rsidR="00DD5136" w:rsidRDefault="009C4895" w:rsidP="006F4C51">
      <w:pPr>
        <w:pStyle w:val="ListParagraph"/>
        <w:numPr>
          <w:ilvl w:val="0"/>
          <w:numId w:val="12"/>
        </w:numPr>
        <w:spacing w:after="120"/>
        <w:rPr>
          <w:b/>
          <w:i/>
        </w:rPr>
      </w:pPr>
      <w:r w:rsidRPr="00431C64">
        <w:rPr>
          <w:b/>
          <w:i/>
        </w:rPr>
        <w:t>What happens if you request information under the FOIA but it is actually personal data?</w:t>
      </w:r>
    </w:p>
    <w:p w:rsidR="00DD5136" w:rsidRDefault="0057760F" w:rsidP="00DD5136">
      <w:pPr>
        <w:spacing w:after="120"/>
        <w:ind w:left="720"/>
      </w:pPr>
      <w:r w:rsidRPr="0057760F">
        <w:rPr>
          <w:b/>
        </w:rPr>
        <w:t>Answer</w:t>
      </w:r>
      <w:r w:rsidR="009C4895">
        <w:t>: Under section 40(1), if an in</w:t>
      </w:r>
      <w:r>
        <w:t>dividual requests</w:t>
      </w:r>
      <w:r w:rsidR="009C4895">
        <w:t xml:space="preserve"> information about themselves, it will automatically be converted </w:t>
      </w:r>
      <w:r>
        <w:t>in</w:t>
      </w:r>
      <w:r w:rsidR="009C4895">
        <w:t xml:space="preserve">to a </w:t>
      </w:r>
      <w:r>
        <w:t xml:space="preserve">subject access request under the DPA and the </w:t>
      </w:r>
      <w:r w:rsidR="009C4895">
        <w:t>public authority will be required to respond on that basis.</w:t>
      </w:r>
    </w:p>
    <w:p w:rsidR="00DD5136" w:rsidRDefault="00DD5136">
      <w:pPr>
        <w:spacing w:after="120"/>
      </w:pPr>
    </w:p>
    <w:sectPr w:rsidR="00DD5136" w:rsidSect="006F4C51">
      <w:footerReference w:type="default" r:id="rId16"/>
      <w:pgSz w:w="12240" w:h="15840"/>
      <w:pgMar w:top="2268" w:right="1361" w:bottom="2835" w:left="1361" w:header="0"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9D" w:rsidRDefault="00F8109D" w:rsidP="00752823">
      <w:r>
        <w:separator/>
      </w:r>
    </w:p>
  </w:endnote>
  <w:endnote w:type="continuationSeparator" w:id="0">
    <w:p w:rsidR="00F8109D" w:rsidRDefault="00F8109D" w:rsidP="0075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36680"/>
      <w:docPartObj>
        <w:docPartGallery w:val="Page Numbers (Bottom of Page)"/>
        <w:docPartUnique/>
      </w:docPartObj>
    </w:sdtPr>
    <w:sdtEndPr>
      <w:rPr>
        <w:noProof/>
      </w:rPr>
    </w:sdtEndPr>
    <w:sdtContent>
      <w:p w:rsidR="006F4C51" w:rsidRDefault="006F4C51">
        <w:pPr>
          <w:pStyle w:val="Footer"/>
          <w:jc w:val="center"/>
        </w:pPr>
        <w:r>
          <w:fldChar w:fldCharType="begin"/>
        </w:r>
        <w:r>
          <w:instrText xml:space="preserve"> PAGE   \* MERGEFORMAT </w:instrText>
        </w:r>
        <w:r>
          <w:fldChar w:fldCharType="separate"/>
        </w:r>
        <w:r w:rsidR="006E3D11">
          <w:rPr>
            <w:noProof/>
          </w:rPr>
          <w:t>1</w:t>
        </w:r>
        <w:r>
          <w:rPr>
            <w:noProof/>
          </w:rPr>
          <w:fldChar w:fldCharType="end"/>
        </w:r>
      </w:p>
    </w:sdtContent>
  </w:sdt>
  <w:p w:rsidR="006F4C51" w:rsidRDefault="006F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9D" w:rsidRDefault="00F8109D" w:rsidP="00752823">
      <w:r>
        <w:separator/>
      </w:r>
    </w:p>
  </w:footnote>
  <w:footnote w:type="continuationSeparator" w:id="0">
    <w:p w:rsidR="00F8109D" w:rsidRDefault="00F8109D" w:rsidP="00752823">
      <w:r>
        <w:continuationSeparator/>
      </w:r>
    </w:p>
  </w:footnote>
  <w:footnote w:id="1">
    <w:p w:rsidR="00DD5136" w:rsidRDefault="00DD5136">
      <w:pPr>
        <w:pStyle w:val="FootnoteText"/>
      </w:pPr>
      <w:r>
        <w:rPr>
          <w:rStyle w:val="FootnoteReference"/>
        </w:rPr>
        <w:footnoteRef/>
      </w:r>
      <w:r>
        <w:t xml:space="preserve"> </w:t>
      </w:r>
      <w:r w:rsidRPr="00DD5136">
        <w:t>https://www.judiciary.gov.uk/about-the-judiciary/the-justice-system/court-structure/</w:t>
      </w:r>
    </w:p>
  </w:footnote>
  <w:footnote w:id="2">
    <w:p w:rsidR="006F4C51" w:rsidRDefault="006F4C51">
      <w:pPr>
        <w:pStyle w:val="FootnoteText"/>
      </w:pPr>
      <w:r>
        <w:rPr>
          <w:rStyle w:val="FootnoteReference"/>
        </w:rPr>
        <w:footnoteRef/>
      </w:r>
      <w:r>
        <w:t xml:space="preserve"> </w:t>
      </w:r>
      <w:r w:rsidRPr="006F4C51">
        <w:t>https://www.gov.uk/access-to-courts-and-tribunals-for-academic-researchers</w:t>
      </w:r>
    </w:p>
  </w:footnote>
  <w:footnote w:id="3">
    <w:p w:rsidR="00547145" w:rsidRDefault="00547145">
      <w:pPr>
        <w:pStyle w:val="FootnoteText"/>
      </w:pPr>
      <w:r>
        <w:rPr>
          <w:rStyle w:val="FootnoteReference"/>
        </w:rPr>
        <w:footnoteRef/>
      </w:r>
      <w:r>
        <w:t xml:space="preserve"> </w:t>
      </w:r>
      <w:r w:rsidRPr="00547145">
        <w:t>https://ico.org.uk/media/for-organisations/documents/1043530/outsourcing-and-freedom-of-information.pdf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1D21"/>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2396"/>
    <w:multiLevelType w:val="hybridMultilevel"/>
    <w:tmpl w:val="DEE0DEDE"/>
    <w:lvl w:ilvl="0" w:tplc="92207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65685"/>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D752F"/>
    <w:multiLevelType w:val="hybridMultilevel"/>
    <w:tmpl w:val="F4E6D366"/>
    <w:lvl w:ilvl="0" w:tplc="D3064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A2D27"/>
    <w:multiLevelType w:val="hybridMultilevel"/>
    <w:tmpl w:val="FDCA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C1632"/>
    <w:multiLevelType w:val="hybridMultilevel"/>
    <w:tmpl w:val="FC3EA240"/>
    <w:lvl w:ilvl="0" w:tplc="F91A04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75C8D"/>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243D9"/>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919E5"/>
    <w:multiLevelType w:val="hybridMultilevel"/>
    <w:tmpl w:val="B5F4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4208F"/>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97406"/>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F7B8A"/>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64AD2"/>
    <w:multiLevelType w:val="hybridMultilevel"/>
    <w:tmpl w:val="33BE6F20"/>
    <w:lvl w:ilvl="0" w:tplc="9BA0E4F2">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2"/>
  </w:num>
  <w:num w:numId="5">
    <w:abstractNumId w:val="8"/>
  </w:num>
  <w:num w:numId="6">
    <w:abstractNumId w:val="4"/>
  </w:num>
  <w:num w:numId="7">
    <w:abstractNumId w:val="0"/>
  </w:num>
  <w:num w:numId="8">
    <w:abstractNumId w:val="11"/>
  </w:num>
  <w:num w:numId="9">
    <w:abstractNumId w:val="9"/>
  </w:num>
  <w:num w:numId="10">
    <w:abstractNumId w:val="6"/>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74"/>
    <w:rsid w:val="00063D0E"/>
    <w:rsid w:val="00070C1C"/>
    <w:rsid w:val="00085DDC"/>
    <w:rsid w:val="00093248"/>
    <w:rsid w:val="000E3F10"/>
    <w:rsid w:val="000E5C4D"/>
    <w:rsid w:val="00153D9D"/>
    <w:rsid w:val="001721AB"/>
    <w:rsid w:val="00183BED"/>
    <w:rsid w:val="001A0C9F"/>
    <w:rsid w:val="001C6C48"/>
    <w:rsid w:val="00200BFA"/>
    <w:rsid w:val="002423C0"/>
    <w:rsid w:val="00245853"/>
    <w:rsid w:val="002C3BA0"/>
    <w:rsid w:val="00305D66"/>
    <w:rsid w:val="0032225A"/>
    <w:rsid w:val="00360984"/>
    <w:rsid w:val="0039356A"/>
    <w:rsid w:val="003C31D2"/>
    <w:rsid w:val="003E244E"/>
    <w:rsid w:val="004210D8"/>
    <w:rsid w:val="00431C64"/>
    <w:rsid w:val="004771E2"/>
    <w:rsid w:val="00547145"/>
    <w:rsid w:val="00547D61"/>
    <w:rsid w:val="0057760F"/>
    <w:rsid w:val="005B0974"/>
    <w:rsid w:val="005B5162"/>
    <w:rsid w:val="005C2205"/>
    <w:rsid w:val="005F04D7"/>
    <w:rsid w:val="006158C7"/>
    <w:rsid w:val="00662AEB"/>
    <w:rsid w:val="006E3D11"/>
    <w:rsid w:val="006F4C51"/>
    <w:rsid w:val="00713584"/>
    <w:rsid w:val="00747134"/>
    <w:rsid w:val="00752823"/>
    <w:rsid w:val="007845C5"/>
    <w:rsid w:val="007D67BE"/>
    <w:rsid w:val="007E5B74"/>
    <w:rsid w:val="007F48C1"/>
    <w:rsid w:val="00861F24"/>
    <w:rsid w:val="0086438D"/>
    <w:rsid w:val="00893811"/>
    <w:rsid w:val="00897553"/>
    <w:rsid w:val="008F2040"/>
    <w:rsid w:val="00904DF6"/>
    <w:rsid w:val="00934D6D"/>
    <w:rsid w:val="0097343D"/>
    <w:rsid w:val="009C4895"/>
    <w:rsid w:val="009E279A"/>
    <w:rsid w:val="00A010D3"/>
    <w:rsid w:val="00A3657F"/>
    <w:rsid w:val="00A41C6F"/>
    <w:rsid w:val="00A66869"/>
    <w:rsid w:val="00AA1BA5"/>
    <w:rsid w:val="00AA591C"/>
    <w:rsid w:val="00AC41DE"/>
    <w:rsid w:val="00B04DED"/>
    <w:rsid w:val="00B252EA"/>
    <w:rsid w:val="00BF0D66"/>
    <w:rsid w:val="00C23EB1"/>
    <w:rsid w:val="00C71C2E"/>
    <w:rsid w:val="00C7399D"/>
    <w:rsid w:val="00CA0880"/>
    <w:rsid w:val="00CF3F89"/>
    <w:rsid w:val="00D018F2"/>
    <w:rsid w:val="00D30D05"/>
    <w:rsid w:val="00DD3DD4"/>
    <w:rsid w:val="00DD5136"/>
    <w:rsid w:val="00E016A4"/>
    <w:rsid w:val="00E10F3C"/>
    <w:rsid w:val="00E4769B"/>
    <w:rsid w:val="00E47F8E"/>
    <w:rsid w:val="00EF62F0"/>
    <w:rsid w:val="00F51503"/>
    <w:rsid w:val="00F8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B73D7C-A3D5-4318-943B-600CE393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61"/>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XofY">
    <w:name w:val="Page X of Y"/>
    <w:rsid w:val="003E244E"/>
    <w:rPr>
      <w:sz w:val="24"/>
      <w:szCs w:val="24"/>
      <w:lang w:eastAsia="en-US"/>
    </w:rPr>
  </w:style>
  <w:style w:type="paragraph" w:styleId="Header">
    <w:name w:val="header"/>
    <w:basedOn w:val="Normal"/>
    <w:link w:val="HeaderChar"/>
    <w:uiPriority w:val="99"/>
    <w:unhideWhenUsed/>
    <w:rsid w:val="00752823"/>
    <w:pPr>
      <w:tabs>
        <w:tab w:val="center" w:pos="4680"/>
        <w:tab w:val="right" w:pos="9360"/>
      </w:tabs>
    </w:pPr>
  </w:style>
  <w:style w:type="character" w:customStyle="1" w:styleId="HeaderChar">
    <w:name w:val="Header Char"/>
    <w:basedOn w:val="DefaultParagraphFont"/>
    <w:link w:val="Header"/>
    <w:uiPriority w:val="99"/>
    <w:rsid w:val="00752823"/>
    <w:rPr>
      <w:rFonts w:ascii="Arial" w:hAnsi="Arial"/>
      <w:sz w:val="24"/>
      <w:szCs w:val="24"/>
      <w:lang w:eastAsia="en-US"/>
    </w:rPr>
  </w:style>
  <w:style w:type="paragraph" w:styleId="Footer">
    <w:name w:val="footer"/>
    <w:basedOn w:val="Normal"/>
    <w:link w:val="FooterChar"/>
    <w:uiPriority w:val="99"/>
    <w:unhideWhenUsed/>
    <w:rsid w:val="00752823"/>
    <w:pPr>
      <w:tabs>
        <w:tab w:val="center" w:pos="4680"/>
        <w:tab w:val="right" w:pos="9360"/>
      </w:tabs>
    </w:pPr>
  </w:style>
  <w:style w:type="character" w:customStyle="1" w:styleId="FooterChar">
    <w:name w:val="Footer Char"/>
    <w:basedOn w:val="DefaultParagraphFont"/>
    <w:link w:val="Footer"/>
    <w:uiPriority w:val="99"/>
    <w:rsid w:val="00752823"/>
    <w:rPr>
      <w:rFonts w:ascii="Arial" w:hAnsi="Arial"/>
      <w:sz w:val="24"/>
      <w:szCs w:val="24"/>
      <w:lang w:eastAsia="en-US"/>
    </w:rPr>
  </w:style>
  <w:style w:type="paragraph" w:styleId="ListParagraph">
    <w:name w:val="List Paragraph"/>
    <w:basedOn w:val="Normal"/>
    <w:uiPriority w:val="34"/>
    <w:qFormat/>
    <w:rsid w:val="007F48C1"/>
    <w:pPr>
      <w:ind w:left="720"/>
      <w:contextualSpacing/>
    </w:pPr>
  </w:style>
  <w:style w:type="character" w:styleId="Hyperlink">
    <w:name w:val="Hyperlink"/>
    <w:basedOn w:val="DefaultParagraphFont"/>
    <w:uiPriority w:val="99"/>
    <w:unhideWhenUsed/>
    <w:rsid w:val="00A010D3"/>
    <w:rPr>
      <w:color w:val="0000FF" w:themeColor="hyperlink"/>
      <w:u w:val="single"/>
    </w:rPr>
  </w:style>
  <w:style w:type="character" w:styleId="FollowedHyperlink">
    <w:name w:val="FollowedHyperlink"/>
    <w:basedOn w:val="DefaultParagraphFont"/>
    <w:uiPriority w:val="99"/>
    <w:semiHidden/>
    <w:unhideWhenUsed/>
    <w:rsid w:val="00D30D05"/>
    <w:rPr>
      <w:color w:val="800080" w:themeColor="followedHyperlink"/>
      <w:u w:val="single"/>
    </w:rPr>
  </w:style>
  <w:style w:type="paragraph" w:styleId="BalloonText">
    <w:name w:val="Balloon Text"/>
    <w:basedOn w:val="Normal"/>
    <w:link w:val="BalloonTextChar"/>
    <w:uiPriority w:val="99"/>
    <w:semiHidden/>
    <w:unhideWhenUsed/>
    <w:rsid w:val="0086438D"/>
    <w:rPr>
      <w:rFonts w:ascii="Tahoma" w:hAnsi="Tahoma" w:cs="Tahoma"/>
      <w:sz w:val="16"/>
      <w:szCs w:val="16"/>
    </w:rPr>
  </w:style>
  <w:style w:type="character" w:customStyle="1" w:styleId="BalloonTextChar">
    <w:name w:val="Balloon Text Char"/>
    <w:basedOn w:val="DefaultParagraphFont"/>
    <w:link w:val="BalloonText"/>
    <w:uiPriority w:val="99"/>
    <w:semiHidden/>
    <w:rsid w:val="0086438D"/>
    <w:rPr>
      <w:rFonts w:ascii="Tahoma" w:hAnsi="Tahoma" w:cs="Tahoma"/>
      <w:sz w:val="16"/>
      <w:szCs w:val="16"/>
      <w:lang w:eastAsia="en-US"/>
    </w:rPr>
  </w:style>
  <w:style w:type="paragraph" w:styleId="FootnoteText">
    <w:name w:val="footnote text"/>
    <w:basedOn w:val="Normal"/>
    <w:link w:val="FootnoteTextChar"/>
    <w:uiPriority w:val="99"/>
    <w:semiHidden/>
    <w:unhideWhenUsed/>
    <w:rsid w:val="00DD5136"/>
    <w:rPr>
      <w:sz w:val="20"/>
      <w:szCs w:val="20"/>
    </w:rPr>
  </w:style>
  <w:style w:type="character" w:customStyle="1" w:styleId="FootnoteTextChar">
    <w:name w:val="Footnote Text Char"/>
    <w:basedOn w:val="DefaultParagraphFont"/>
    <w:link w:val="FootnoteText"/>
    <w:uiPriority w:val="99"/>
    <w:semiHidden/>
    <w:rsid w:val="00DD5136"/>
    <w:rPr>
      <w:rFonts w:ascii="Arial" w:hAnsi="Arial"/>
      <w:sz w:val="20"/>
      <w:szCs w:val="20"/>
      <w:lang w:eastAsia="en-US"/>
    </w:rPr>
  </w:style>
  <w:style w:type="character" w:styleId="FootnoteReference">
    <w:name w:val="footnote reference"/>
    <w:basedOn w:val="DefaultParagraphFont"/>
    <w:uiPriority w:val="99"/>
    <w:semiHidden/>
    <w:unhideWhenUsed/>
    <w:rsid w:val="00DD5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4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witness.org/sites/default/files/141215%20letter%20from%20ICO%20to%20GW%20(2)%20(1).pdf" TargetMode="External"/><Relationship Id="rId13" Type="http://schemas.openxmlformats.org/officeDocument/2006/relationships/hyperlink" Target="http://www.austlii.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opticonblog.com/2014/02/10/high-court-to-consider-data-protection-act-bid-to-halt-reporting-of-corruption-allegations/" TargetMode="External"/><Relationship Id="rId12" Type="http://schemas.openxmlformats.org/officeDocument/2006/relationships/hyperlink" Target="http://www.baili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access-to-courts-and-tribunals-for-academic-researchers" TargetMode="External"/><Relationship Id="rId5" Type="http://schemas.openxmlformats.org/officeDocument/2006/relationships/footnotes" Target="footnotes.xml"/><Relationship Id="rId15" Type="http://schemas.openxmlformats.org/officeDocument/2006/relationships/hyperlink" Target="https://ico.org.uk/media/for-organisations/documents/1043530/outsourcing-and-freedom-of-information.pdf" TargetMode="External"/><Relationship Id="rId10" Type="http://schemas.openxmlformats.org/officeDocument/2006/relationships/hyperlink" Target="https://www.judiciary.gov.uk/about-the-judiciary/the-justice-system/court-structure/" TargetMode="External"/><Relationship Id="rId4" Type="http://schemas.openxmlformats.org/officeDocument/2006/relationships/webSettings" Target="webSettings.xml"/><Relationship Id="rId9" Type="http://schemas.openxmlformats.org/officeDocument/2006/relationships/hyperlink" Target="https://ico.org.uk/media/for-organisations/documents/1552/data-protection-and-journalism-media-guidance.pdf" TargetMode="External"/><Relationship Id="rId14" Type="http://schemas.openxmlformats.org/officeDocument/2006/relationships/hyperlink" Target="http://www.commo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Aba</dc:creator>
  <cp:lastModifiedBy>Elodie Aba</cp:lastModifiedBy>
  <cp:revision>2</cp:revision>
  <dcterms:created xsi:type="dcterms:W3CDTF">2015-07-21T09:37:00Z</dcterms:created>
  <dcterms:modified xsi:type="dcterms:W3CDTF">2015-07-21T09:37:00Z</dcterms:modified>
</cp:coreProperties>
</file>