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FF6B" w14:textId="77777777" w:rsidR="00822C4F" w:rsidRPr="00437552" w:rsidRDefault="00454289" w:rsidP="00257D95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 w:rsidRPr="00437552">
        <w:rPr>
          <w:rFonts w:ascii="Arial" w:hAnsi="Arial" w:cs="Arial"/>
          <w:sz w:val="20"/>
          <w:szCs w:val="20"/>
          <w:lang w:val="es-ES_tradnl"/>
        </w:rPr>
        <w:t>4 de junio</w:t>
      </w:r>
      <w:r w:rsidR="008501C9" w:rsidRPr="00437552">
        <w:rPr>
          <w:rFonts w:ascii="Arial" w:hAnsi="Arial" w:cs="Arial"/>
          <w:sz w:val="20"/>
          <w:szCs w:val="20"/>
          <w:lang w:val="es-ES_tradnl"/>
        </w:rPr>
        <w:t xml:space="preserve"> 2019</w:t>
      </w:r>
    </w:p>
    <w:p w14:paraId="666D9F2F" w14:textId="77777777" w:rsidR="00FE4BAA" w:rsidRPr="00437552" w:rsidRDefault="00FE4BAA" w:rsidP="00257D95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1680BCE5" w14:textId="77777777" w:rsidR="00454289" w:rsidRPr="00437552" w:rsidRDefault="00454289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Muchas gracias por ofrecernos la oportunidad para ofrecer nuestra postura acerca de estos dos artículos relativos a los parques solares Ticul en el estado de Yucatán. Ambos no son precisos ni reflejan nuestras actividades al respecto. </w:t>
      </w:r>
    </w:p>
    <w:p w14:paraId="63DB6977" w14:textId="77777777" w:rsidR="00FE4BAA" w:rsidRPr="00437552" w:rsidRDefault="00ED0C45" w:rsidP="00437552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437552">
        <w:rPr>
          <w:rFonts w:ascii="Arial" w:hAnsi="Arial" w:cs="Arial"/>
          <w:b/>
          <w:sz w:val="20"/>
          <w:szCs w:val="20"/>
          <w:lang w:val="es-ES_tradnl"/>
        </w:rPr>
        <w:t>Contexto</w:t>
      </w:r>
    </w:p>
    <w:p w14:paraId="7369F6FC" w14:textId="77777777" w:rsidR="00454289" w:rsidRPr="00437552" w:rsidRDefault="00454289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Los parques solares en Ticul proveerán de electricidad a la región de manera confiable, crearán empleos y contribuirán a estimular la inversión económica, a la vez que protegerán el medioambiente y, lo más importante, serán totalmente respetuosos con las culturas locales. Hemos tenido el apoyo de una amplia mayoría de los habitantes locales a través de un profundo proceso de relacionamiento que viene dándose desde hace algunos años. </w:t>
      </w:r>
    </w:p>
    <w:p w14:paraId="43350BF2" w14:textId="77777777" w:rsidR="00ED0C45" w:rsidRPr="00437552" w:rsidRDefault="00454289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Los parques están siendo desarrollados por Vega Solar, una subsidiaria de </w:t>
      </w:r>
      <w:proofErr w:type="spellStart"/>
      <w:r w:rsidRPr="00437552">
        <w:rPr>
          <w:rFonts w:ascii="Arial" w:hAnsi="Arial" w:cs="Arial"/>
          <w:sz w:val="20"/>
          <w:szCs w:val="20"/>
          <w:lang w:val="es-ES_tradnl"/>
        </w:rPr>
        <w:t>SunPower</w:t>
      </w:r>
      <w:proofErr w:type="spellEnd"/>
      <w:r w:rsidRPr="00437552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37552">
        <w:rPr>
          <w:rFonts w:ascii="Arial" w:hAnsi="Arial" w:cs="Arial"/>
          <w:sz w:val="20"/>
          <w:szCs w:val="20"/>
          <w:lang w:val="es-ES_tradnl"/>
        </w:rPr>
        <w:t>Corporation</w:t>
      </w:r>
      <w:proofErr w:type="spellEnd"/>
      <w:r w:rsidRPr="00437552">
        <w:rPr>
          <w:rFonts w:ascii="Arial" w:hAnsi="Arial" w:cs="Arial"/>
          <w:sz w:val="20"/>
          <w:szCs w:val="20"/>
          <w:lang w:val="es-ES_tradnl"/>
        </w:rPr>
        <w:t>. Como resultado de un proceso de licitación internacional es que</w:t>
      </w:r>
      <w:r w:rsidR="00ED0C45" w:rsidRPr="00437552">
        <w:rPr>
          <w:rFonts w:ascii="Arial" w:hAnsi="Arial" w:cs="Arial"/>
          <w:sz w:val="20"/>
          <w:szCs w:val="20"/>
          <w:lang w:val="es-ES_tradnl"/>
        </w:rPr>
        <w:t xml:space="preserve"> se nos adjudicaron, dándonos la oportunidad de construir estos parques. Este trabajo forma parte de una contribución a México rumbo a su transición energética, así como para apoyar las necesidades de electricidad en Yucatán, las cuales, actualmente, no se encuentran debidamente satisfechas.  </w:t>
      </w:r>
    </w:p>
    <w:p w14:paraId="65181A0E" w14:textId="77777777" w:rsidR="00A85EAA" w:rsidRPr="00437552" w:rsidRDefault="00ED0C45" w:rsidP="00437552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437552">
        <w:rPr>
          <w:rFonts w:ascii="Arial" w:hAnsi="Arial" w:cs="Arial"/>
          <w:b/>
          <w:sz w:val="20"/>
          <w:szCs w:val="20"/>
          <w:lang w:val="es-ES_tradnl"/>
        </w:rPr>
        <w:t>Compromisos Sociales</w:t>
      </w:r>
    </w:p>
    <w:p w14:paraId="68AC6E70" w14:textId="77777777" w:rsidR="00257D95" w:rsidRPr="00437552" w:rsidRDefault="00ED0C45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Los parques han sido debidamente diseñados de tal forma que puedan contribuir al progreso y bienestar de la comunidad a través de un plan de gestión social integral. Este plan fue diseñado en conjunto y por los integrantes de las comunidades, y tiene entre sus pilares fundamentales el medioambiente, la comunidad, la seguridad, la saludo y a un conjunto de beneficios sociales compartidos. </w:t>
      </w:r>
    </w:p>
    <w:p w14:paraId="3A15B959" w14:textId="77777777" w:rsidR="00815AA9" w:rsidRPr="00437552" w:rsidRDefault="00ED0C45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Comenzamos un proceso de escucha activa de las comunidades desde el mismo inicio de los proyectos a través de un proceso de inmersión social que duró tres meses. Ello incluyó trabajos en San José </w:t>
      </w:r>
      <w:proofErr w:type="spellStart"/>
      <w:r w:rsidRPr="00437552">
        <w:rPr>
          <w:rFonts w:ascii="Arial" w:hAnsi="Arial" w:cs="Arial"/>
          <w:sz w:val="20"/>
          <w:szCs w:val="20"/>
          <w:lang w:val="es-ES_tradnl"/>
        </w:rPr>
        <w:t>Tipcéh</w:t>
      </w:r>
      <w:proofErr w:type="spellEnd"/>
      <w:r w:rsidRPr="00437552">
        <w:rPr>
          <w:rFonts w:ascii="Arial" w:hAnsi="Arial" w:cs="Arial"/>
          <w:sz w:val="20"/>
          <w:szCs w:val="20"/>
          <w:lang w:val="es-ES_tradnl"/>
        </w:rPr>
        <w:t xml:space="preserve">, Muna y </w:t>
      </w:r>
      <w:proofErr w:type="spellStart"/>
      <w:r w:rsidRPr="00437552">
        <w:rPr>
          <w:rFonts w:ascii="Arial" w:hAnsi="Arial" w:cs="Arial"/>
          <w:sz w:val="20"/>
          <w:szCs w:val="20"/>
          <w:lang w:val="es-ES_tradnl"/>
        </w:rPr>
        <w:t>Sacalum</w:t>
      </w:r>
      <w:proofErr w:type="spellEnd"/>
      <w:r w:rsidRPr="00437552">
        <w:rPr>
          <w:rFonts w:ascii="Arial" w:hAnsi="Arial" w:cs="Arial"/>
          <w:sz w:val="20"/>
          <w:szCs w:val="20"/>
          <w:lang w:val="es-ES_tradnl"/>
        </w:rPr>
        <w:t xml:space="preserve"> con el apoyo de 18 antropólogos de la Universidad Autónoma de Yucatán y de traductores maya. Los proyectos recibieron el visto bueno como parte de su proceso de Consulta Previa Libre e Informada, referente que siempre ha gui</w:t>
      </w:r>
      <w:r w:rsidR="00815AA9" w:rsidRPr="00437552">
        <w:rPr>
          <w:rFonts w:ascii="Arial" w:hAnsi="Arial" w:cs="Arial"/>
          <w:sz w:val="20"/>
          <w:szCs w:val="20"/>
          <w:lang w:val="es-ES_tradnl"/>
        </w:rPr>
        <w:t xml:space="preserve">ado nuestro trabajo a través de la guía de las mejores prácticas nacionales e internacionales, como el convenio 169 de la OIT, los Principios de Ecuador, los Principios de las Naciones Unidas sobre Empresas y Derechos Humanos, o las recomendaciones de la OECD para Empresas Multinacionales. </w:t>
      </w:r>
    </w:p>
    <w:p w14:paraId="6E744C11" w14:textId="77777777" w:rsidR="00A85EAA" w:rsidRPr="00437552" w:rsidRDefault="00815AA9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Nuestra meta ha sido desarrollar beneficios sociales compartidos con las comunidades. Algunos de ellos incluyen apoyos en materia de educación y formación – como becas o material didáctico – la rehabilitación de viviendas, así como la creación de una biblioteca digital, un centro botánico y un comedor comunitario, y la puesta en marcha de programas de apicultura y de turismo sostenible. Hemos provisto, de manera continua, de información actualizada en español y en maya a través de distintos materiales impresos, digitales, e incluso a través de una visita a un parque solar en operación. Adicionalmente, a través de la empresa social </w:t>
      </w:r>
      <w:proofErr w:type="spellStart"/>
      <w:r w:rsidRPr="00437552">
        <w:rPr>
          <w:rFonts w:ascii="Arial" w:hAnsi="Arial" w:cs="Arial"/>
          <w:sz w:val="20"/>
          <w:szCs w:val="20"/>
          <w:lang w:val="es-ES_tradnl"/>
        </w:rPr>
        <w:t>Iluméxico</w:t>
      </w:r>
      <w:proofErr w:type="spellEnd"/>
      <w:r w:rsidRPr="00437552">
        <w:rPr>
          <w:rFonts w:ascii="Arial" w:hAnsi="Arial" w:cs="Arial"/>
          <w:sz w:val="20"/>
          <w:szCs w:val="20"/>
          <w:lang w:val="es-ES_tradnl"/>
        </w:rPr>
        <w:t xml:space="preserve">, hemos provisto de formación adicional acerca de los beneficios y la confiabilidad de la energía solar a través de la instalación de paneles en viviendas, edificios públicos y escuelas en las localidades de San José </w:t>
      </w:r>
      <w:proofErr w:type="spellStart"/>
      <w:r w:rsidRPr="00437552">
        <w:rPr>
          <w:rFonts w:ascii="Arial" w:hAnsi="Arial" w:cs="Arial"/>
          <w:sz w:val="20"/>
          <w:szCs w:val="20"/>
          <w:lang w:val="es-ES_tradnl"/>
        </w:rPr>
        <w:t>Tipcéh</w:t>
      </w:r>
      <w:proofErr w:type="spellEnd"/>
      <w:r w:rsidRPr="00437552">
        <w:rPr>
          <w:rFonts w:ascii="Arial" w:hAnsi="Arial" w:cs="Arial"/>
          <w:sz w:val="20"/>
          <w:szCs w:val="20"/>
          <w:lang w:val="es-ES_tradnl"/>
        </w:rPr>
        <w:t xml:space="preserve"> y Plan </w:t>
      </w:r>
      <w:proofErr w:type="spellStart"/>
      <w:r w:rsidRPr="00437552">
        <w:rPr>
          <w:rFonts w:ascii="Arial" w:hAnsi="Arial" w:cs="Arial"/>
          <w:sz w:val="20"/>
          <w:szCs w:val="20"/>
          <w:lang w:val="es-ES_tradnl"/>
        </w:rPr>
        <w:t>Chac</w:t>
      </w:r>
      <w:proofErr w:type="spellEnd"/>
      <w:r w:rsidRPr="00437552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7E9725FA" w14:textId="77777777" w:rsidR="00FE4BAA" w:rsidRPr="00437552" w:rsidRDefault="00437552" w:rsidP="00437552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Impulso Económico</w:t>
      </w:r>
    </w:p>
    <w:p w14:paraId="0798E721" w14:textId="77777777" w:rsidR="00815AA9" w:rsidRPr="00437552" w:rsidRDefault="00815AA9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Calculamos que se crearán más de 1,200 puestos de trabajo de la mano con estos proyectos, incluyendo 700 para labores de construcción, 30 en materia de fauna y flora, 500 en materia de restauración productiva y 60 relativas a labores de rescate arqueológico. </w:t>
      </w:r>
    </w:p>
    <w:p w14:paraId="0FE7817B" w14:textId="77777777" w:rsidR="00A85EAA" w:rsidRPr="00437552" w:rsidRDefault="00815AA9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Como se mencionó previamente, tendremos beneficios sociales </w:t>
      </w:r>
      <w:r w:rsidR="00437552" w:rsidRPr="00437552">
        <w:rPr>
          <w:rFonts w:ascii="Arial" w:hAnsi="Arial" w:cs="Arial"/>
          <w:sz w:val="20"/>
          <w:szCs w:val="20"/>
          <w:lang w:val="es-ES_tradnl"/>
        </w:rPr>
        <w:t xml:space="preserve">compartidos que incluyen varios programas de desarrollo económico. Por ejemplo, se incluirán programas de entrenamiento para labores de cultivo así como para la crianza de animales de traspatio; cursos para el diseño de ropas locales y talleres para el desarrollo de medicina maya tradicional. También prevemos un impacto económico positivo sobre tiendas, restaurantes y hoteles locales. </w:t>
      </w:r>
    </w:p>
    <w:p w14:paraId="3F5F10C5" w14:textId="77777777" w:rsidR="00437552" w:rsidRPr="00437552" w:rsidRDefault="00437552" w:rsidP="00437552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437552">
        <w:rPr>
          <w:rFonts w:ascii="Arial" w:hAnsi="Arial" w:cs="Arial"/>
          <w:b/>
          <w:sz w:val="20"/>
          <w:szCs w:val="20"/>
          <w:lang w:val="es-ES_tradnl"/>
        </w:rPr>
        <w:t>Responsabilidad Medioambiental</w:t>
      </w:r>
    </w:p>
    <w:p w14:paraId="3D131B2D" w14:textId="77777777" w:rsidR="00437552" w:rsidRPr="00437552" w:rsidRDefault="00437552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Dado nuestro trabajo en el desarrollo de parques solares, nos tomamos muy seriamente nuestro compromiso con el medioambiente. Como parte de esta labor, estamos diseñando un plan pionero en México y Yucatán en materia de restauración productiva. El mismo contribuirá a combatir la deforestación en la Península a través de una variedad de proyectos específicos relacionados con la restauración y fortalecimiento de los suelos, así como la producción de plantas en viveros, de acuerdo a los usos y costumbres de las comunidades. Este plan ha recibido el visto bueno por parte de las autoridades correspondientes y de organizaciones de la sociedad civil. </w:t>
      </w:r>
    </w:p>
    <w:p w14:paraId="21065D60" w14:textId="77777777" w:rsidR="00437552" w:rsidRPr="00437552" w:rsidRDefault="00437552" w:rsidP="00437552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437552">
        <w:rPr>
          <w:rFonts w:ascii="Arial" w:hAnsi="Arial" w:cs="Arial"/>
          <w:b/>
          <w:sz w:val="20"/>
          <w:szCs w:val="20"/>
          <w:lang w:val="es-ES_tradnl"/>
        </w:rPr>
        <w:t>Prioridad principal – Relacionamiento con las comunidades mayas</w:t>
      </w:r>
    </w:p>
    <w:p w14:paraId="0C38DF0E" w14:textId="77777777" w:rsidR="00257D95" w:rsidRPr="00437552" w:rsidRDefault="00437552" w:rsidP="00437552">
      <w:pPr>
        <w:spacing w:after="180" w:line="240" w:lineRule="auto"/>
        <w:rPr>
          <w:rFonts w:ascii="Arial" w:hAnsi="Arial" w:cs="Arial"/>
          <w:sz w:val="20"/>
          <w:szCs w:val="20"/>
          <w:lang w:val="es-ES_tradnl"/>
        </w:rPr>
      </w:pPr>
      <w:r w:rsidRPr="00437552">
        <w:rPr>
          <w:rFonts w:ascii="Arial" w:hAnsi="Arial" w:cs="Arial"/>
          <w:sz w:val="20"/>
          <w:szCs w:val="20"/>
          <w:lang w:val="es-ES_tradnl"/>
        </w:rPr>
        <w:t xml:space="preserve">Nuestra principal prioridad ha sido siempre mantener una relación sólida con las comunidad mayas aledañas a los parques. Tenemos un gran respeto por sus derechos humanos y por promover un entendimiento mutuo en un nivel de igualdad. Construimos y seguiremos construyendo puentes de comunicación y de relacionamiento con autoridades locales y otros públicos, proveyéndoles de información factual y real sobre los parques sus alcances. </w:t>
      </w:r>
    </w:p>
    <w:p w14:paraId="17166175" w14:textId="77777777" w:rsidR="00CF4878" w:rsidRDefault="00257D95" w:rsidP="00266420">
      <w:pPr>
        <w:spacing w:after="0" w:line="240" w:lineRule="auto"/>
        <w:rPr>
          <w:rFonts w:ascii="Arial" w:hAnsi="Arial" w:cs="Arial"/>
          <w:i/>
          <w:sz w:val="20"/>
          <w:szCs w:val="20"/>
          <w:lang w:val="es-ES_tradnl"/>
        </w:rPr>
      </w:pPr>
      <w:r w:rsidRPr="00437552">
        <w:rPr>
          <w:rFonts w:ascii="Arial" w:hAnsi="Arial" w:cs="Arial"/>
          <w:i/>
          <w:sz w:val="20"/>
          <w:szCs w:val="20"/>
          <w:lang w:val="es-ES_tradnl"/>
        </w:rPr>
        <w:t>Adrien Mallet</w:t>
      </w:r>
    </w:p>
    <w:p w14:paraId="77FF3CC4" w14:textId="77777777" w:rsidR="00CF4878" w:rsidRDefault="00266420" w:rsidP="00266420">
      <w:pPr>
        <w:spacing w:after="0" w:line="240" w:lineRule="auto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lastRenderedPageBreak/>
        <w:t xml:space="preserve"> </w:t>
      </w:r>
      <w:r w:rsidR="00257D95" w:rsidRPr="00437552">
        <w:rPr>
          <w:rFonts w:ascii="Arial" w:hAnsi="Arial" w:cs="Arial"/>
          <w:i/>
          <w:sz w:val="20"/>
          <w:szCs w:val="20"/>
          <w:lang w:val="es-ES_tradnl"/>
        </w:rPr>
        <w:t>Director</w:t>
      </w:r>
    </w:p>
    <w:p w14:paraId="7CD1D1E2" w14:textId="2C0E2065" w:rsidR="00437552" w:rsidRPr="00266420" w:rsidRDefault="00257D95" w:rsidP="00266420">
      <w:pPr>
        <w:spacing w:after="0" w:line="240" w:lineRule="auto"/>
        <w:rPr>
          <w:rFonts w:ascii="Arial" w:hAnsi="Arial" w:cs="Arial"/>
          <w:i/>
          <w:sz w:val="20"/>
          <w:szCs w:val="20"/>
          <w:lang w:val="es-ES_tradnl"/>
        </w:rPr>
      </w:pPr>
      <w:proofErr w:type="spellStart"/>
      <w:r w:rsidRPr="00437552">
        <w:rPr>
          <w:rFonts w:ascii="Arial" w:hAnsi="Arial" w:cs="Arial"/>
          <w:i/>
          <w:sz w:val="20"/>
          <w:szCs w:val="20"/>
          <w:lang w:val="es-ES_tradnl"/>
        </w:rPr>
        <w:t>SunPower</w:t>
      </w:r>
      <w:proofErr w:type="spellEnd"/>
      <w:r w:rsidRPr="00437552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Pr="00437552">
        <w:rPr>
          <w:rFonts w:ascii="Arial" w:hAnsi="Arial" w:cs="Arial"/>
          <w:i/>
          <w:sz w:val="20"/>
          <w:szCs w:val="20"/>
          <w:lang w:val="es-ES_tradnl"/>
        </w:rPr>
        <w:t>Mexico</w:t>
      </w:r>
      <w:proofErr w:type="spellEnd"/>
      <w:r w:rsidR="00266420">
        <w:rPr>
          <w:rFonts w:ascii="Arial" w:hAnsi="Arial" w:cs="Arial"/>
          <w:i/>
          <w:sz w:val="20"/>
          <w:szCs w:val="20"/>
          <w:lang w:val="es-ES_tradnl"/>
        </w:rPr>
        <w:t xml:space="preserve">. </w:t>
      </w:r>
    </w:p>
    <w:sectPr w:rsidR="00437552" w:rsidRPr="00266420" w:rsidSect="00850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D0878"/>
    <w:multiLevelType w:val="hybridMultilevel"/>
    <w:tmpl w:val="0EE00A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91223"/>
    <w:multiLevelType w:val="hybridMultilevel"/>
    <w:tmpl w:val="14A2C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2DE7"/>
    <w:multiLevelType w:val="hybridMultilevel"/>
    <w:tmpl w:val="81A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01C00"/>
    <w:multiLevelType w:val="hybridMultilevel"/>
    <w:tmpl w:val="ACD62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D3900"/>
    <w:multiLevelType w:val="hybridMultilevel"/>
    <w:tmpl w:val="EFC86E5E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C9"/>
    <w:rsid w:val="000D1352"/>
    <w:rsid w:val="00202050"/>
    <w:rsid w:val="00257D95"/>
    <w:rsid w:val="00266420"/>
    <w:rsid w:val="0041779C"/>
    <w:rsid w:val="00437552"/>
    <w:rsid w:val="00454289"/>
    <w:rsid w:val="004672BD"/>
    <w:rsid w:val="004C1DBF"/>
    <w:rsid w:val="005E3C0C"/>
    <w:rsid w:val="00815AA9"/>
    <w:rsid w:val="00822C4F"/>
    <w:rsid w:val="008501C9"/>
    <w:rsid w:val="00873362"/>
    <w:rsid w:val="00921C81"/>
    <w:rsid w:val="00A85EAA"/>
    <w:rsid w:val="00BE0686"/>
    <w:rsid w:val="00CE25D1"/>
    <w:rsid w:val="00CF4878"/>
    <w:rsid w:val="00ED0C45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4A79F"/>
  <w15:docId w15:val="{166E2C5E-DB0B-4505-A565-FAF5C705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1C9"/>
    <w:rPr>
      <w:color w:val="0563C1" w:themeColor="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,lp1 Char"/>
    <w:basedOn w:val="DefaultParagraphFont"/>
    <w:link w:val="ListParagraph"/>
    <w:uiPriority w:val="34"/>
    <w:locked/>
    <w:rsid w:val="008501C9"/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lp1,List Paragraph (numbered (a)),List number Paragraph,titulo 4"/>
    <w:basedOn w:val="Normal"/>
    <w:link w:val="ListParagraphChar"/>
    <w:uiPriority w:val="34"/>
    <w:qFormat/>
    <w:rsid w:val="008501C9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Mallet</dc:creator>
  <cp:keywords/>
  <dc:description/>
  <cp:lastModifiedBy>Hudlet Vazquez, Karen</cp:lastModifiedBy>
  <cp:revision>2</cp:revision>
  <cp:lastPrinted>2019-06-04T14:49:00Z</cp:lastPrinted>
  <dcterms:created xsi:type="dcterms:W3CDTF">2019-06-04T19:29:00Z</dcterms:created>
  <dcterms:modified xsi:type="dcterms:W3CDTF">2019-06-04T19:29:00Z</dcterms:modified>
</cp:coreProperties>
</file>