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8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006"/>
        <w:gridCol w:w="2556"/>
        <w:gridCol w:w="2888"/>
      </w:tblGrid>
      <w:tr w:rsidR="00FC40D3" w14:paraId="04DAC9D6" w14:textId="77777777" w:rsidTr="00743666">
        <w:trPr>
          <w:trHeight w:val="992"/>
        </w:trPr>
        <w:tc>
          <w:tcPr>
            <w:tcW w:w="2775" w:type="dxa"/>
            <w:shd w:val="clear" w:color="auto" w:fill="FFFFFF" w:themeFill="background1"/>
            <w:vAlign w:val="center"/>
          </w:tcPr>
          <w:p w14:paraId="73E8A69D" w14:textId="6228F207" w:rsidR="00FC40D3" w:rsidRDefault="004C16E9" w:rsidP="004C16E9">
            <w:pPr>
              <w:jc w:val="center"/>
              <w:rPr>
                <w:rFonts w:ascii="Open Sans" w:hAnsi="Open Sans" w:cs="Open Sans"/>
                <w:sz w:val="20"/>
                <w:szCs w:val="20"/>
              </w:rPr>
            </w:pPr>
            <w:r>
              <w:rPr>
                <w:rFonts w:ascii="Open Sans" w:hAnsi="Open Sans" w:cs="Open Sans"/>
                <w:noProof/>
                <w:sz w:val="20"/>
                <w:szCs w:val="20"/>
                <w:lang w:eastAsia="es-ES"/>
              </w:rPr>
              <w:drawing>
                <wp:inline distT="0" distB="0" distL="0" distR="0" wp14:anchorId="19DF5793" wp14:editId="6C3A62EC">
                  <wp:extent cx="1768415" cy="452415"/>
                  <wp:effectExtent l="0" t="0" r="3810" b="5080"/>
                  <wp:docPr id="3" name="Imagen 3" descr="C:\Users\Acer\Desktop\comercio ju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comercio jus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446" cy="454214"/>
                          </a:xfrm>
                          <a:prstGeom prst="rect">
                            <a:avLst/>
                          </a:prstGeom>
                          <a:noFill/>
                          <a:ln>
                            <a:noFill/>
                          </a:ln>
                        </pic:spPr>
                      </pic:pic>
                    </a:graphicData>
                  </a:graphic>
                </wp:inline>
              </w:drawing>
            </w:r>
          </w:p>
        </w:tc>
        <w:tc>
          <w:tcPr>
            <w:tcW w:w="2539" w:type="dxa"/>
            <w:shd w:val="clear" w:color="auto" w:fill="FFFFFF" w:themeFill="background1"/>
            <w:vAlign w:val="center"/>
          </w:tcPr>
          <w:p w14:paraId="3F4CBBD6" w14:textId="05DB5C10" w:rsidR="00FC40D3" w:rsidRDefault="00FC40D3" w:rsidP="004C16E9">
            <w:pPr>
              <w:jc w:val="center"/>
              <w:rPr>
                <w:rFonts w:ascii="Open Sans" w:hAnsi="Open Sans" w:cs="Open Sans"/>
                <w:sz w:val="20"/>
                <w:szCs w:val="20"/>
              </w:rPr>
            </w:pPr>
            <w:r>
              <w:rPr>
                <w:noProof/>
                <w:lang w:eastAsia="es-ES"/>
              </w:rPr>
              <w:drawing>
                <wp:inline distT="0" distB="0" distL="0" distR="0" wp14:anchorId="4B67904D" wp14:editId="0997832E">
                  <wp:extent cx="1479550" cy="448237"/>
                  <wp:effectExtent l="0" t="0" r="6350" b="9525"/>
                  <wp:docPr id="1" name="Picture 6" descr="../../../../Downloads/Castellano_panel_amarill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s/Castellano_panel_amarillo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256" cy="455116"/>
                          </a:xfrm>
                          <a:prstGeom prst="rect">
                            <a:avLst/>
                          </a:prstGeom>
                          <a:noFill/>
                          <a:ln>
                            <a:noFill/>
                          </a:ln>
                        </pic:spPr>
                      </pic:pic>
                    </a:graphicData>
                  </a:graphic>
                </wp:inline>
              </w:drawing>
            </w:r>
          </w:p>
        </w:tc>
        <w:tc>
          <w:tcPr>
            <w:tcW w:w="3136" w:type="dxa"/>
            <w:shd w:val="clear" w:color="auto" w:fill="FFFFFF" w:themeFill="background1"/>
            <w:vAlign w:val="center"/>
          </w:tcPr>
          <w:p w14:paraId="7DCEE2AC" w14:textId="2B7C1C3E" w:rsidR="00FC40D3" w:rsidRDefault="004C16E9" w:rsidP="004C16E9">
            <w:pPr>
              <w:jc w:val="center"/>
              <w:rPr>
                <w:rFonts w:ascii="Open Sans" w:hAnsi="Open Sans" w:cs="Open Sans"/>
                <w:sz w:val="20"/>
                <w:szCs w:val="20"/>
              </w:rPr>
            </w:pPr>
            <w:r>
              <w:rPr>
                <w:rFonts w:ascii="Open Sans" w:hAnsi="Open Sans" w:cs="Open Sans"/>
                <w:noProof/>
                <w:sz w:val="20"/>
                <w:szCs w:val="20"/>
                <w:lang w:eastAsia="es-ES"/>
              </w:rPr>
              <w:drawing>
                <wp:inline distT="0" distB="0" distL="0" distR="0" wp14:anchorId="5CE2999C" wp14:editId="390BB9F5">
                  <wp:extent cx="1341492" cy="604028"/>
                  <wp:effectExtent l="0" t="0" r="0" b="5715"/>
                  <wp:docPr id="6" name="Imagen 6" descr="C:\Users\Acer\Dropbox\COMUNICACION_LOGOS\LogosORSC_2013_11_22_OK\Logo ORSC cast\logo obrsc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ropbox\COMUNICACION_LOGOS\LogosORSC_2013_11_22_OK\Logo ORSC cast\logo obrsc pequeñ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559" cy="604058"/>
                          </a:xfrm>
                          <a:prstGeom prst="rect">
                            <a:avLst/>
                          </a:prstGeom>
                          <a:noFill/>
                          <a:ln>
                            <a:noFill/>
                          </a:ln>
                        </pic:spPr>
                      </pic:pic>
                    </a:graphicData>
                  </a:graphic>
                </wp:inline>
              </w:drawing>
            </w:r>
          </w:p>
        </w:tc>
      </w:tr>
      <w:tr w:rsidR="00FC40D3" w14:paraId="36649753" w14:textId="77777777" w:rsidTr="00743666">
        <w:trPr>
          <w:trHeight w:val="1545"/>
        </w:trPr>
        <w:tc>
          <w:tcPr>
            <w:tcW w:w="2775" w:type="dxa"/>
            <w:shd w:val="clear" w:color="auto" w:fill="FFFFFF" w:themeFill="background1"/>
            <w:vAlign w:val="center"/>
          </w:tcPr>
          <w:p w14:paraId="587DD934" w14:textId="1DCB9045" w:rsidR="00FC40D3" w:rsidRDefault="004C16E9" w:rsidP="004C16E9">
            <w:pPr>
              <w:jc w:val="center"/>
              <w:rPr>
                <w:rFonts w:ascii="Open Sans" w:hAnsi="Open Sans" w:cs="Open Sans"/>
                <w:sz w:val="20"/>
                <w:szCs w:val="20"/>
              </w:rPr>
            </w:pPr>
            <w:r>
              <w:rPr>
                <w:noProof/>
                <w:lang w:eastAsia="es-ES"/>
              </w:rPr>
              <w:drawing>
                <wp:inline distT="0" distB="0" distL="0" distR="0" wp14:anchorId="256A5766" wp14:editId="7BA79D99">
                  <wp:extent cx="1690778" cy="715993"/>
                  <wp:effectExtent l="0" t="0" r="5080" b="8255"/>
                  <wp:docPr id="5" name="Picture 7" descr="../../../../Downloads/logo%20enlazate%2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wnloads/logo%20enlazate%20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495" cy="729424"/>
                          </a:xfrm>
                          <a:prstGeom prst="rect">
                            <a:avLst/>
                          </a:prstGeom>
                          <a:noFill/>
                          <a:ln>
                            <a:noFill/>
                          </a:ln>
                        </pic:spPr>
                      </pic:pic>
                    </a:graphicData>
                  </a:graphic>
                </wp:inline>
              </w:drawing>
            </w:r>
          </w:p>
        </w:tc>
        <w:tc>
          <w:tcPr>
            <w:tcW w:w="2539" w:type="dxa"/>
            <w:shd w:val="clear" w:color="auto" w:fill="FFFFFF" w:themeFill="background1"/>
            <w:vAlign w:val="center"/>
          </w:tcPr>
          <w:p w14:paraId="6F027E26" w14:textId="6F2DF1E4" w:rsidR="00FC40D3" w:rsidRDefault="0052423D" w:rsidP="004C16E9">
            <w:pPr>
              <w:jc w:val="center"/>
              <w:rPr>
                <w:rFonts w:ascii="Open Sans" w:hAnsi="Open Sans" w:cs="Open Sans"/>
                <w:sz w:val="20"/>
                <w:szCs w:val="20"/>
              </w:rPr>
            </w:pPr>
            <w:r>
              <w:rPr>
                <w:rFonts w:ascii="Open Sans" w:hAnsi="Open Sans" w:cs="Open Sans"/>
                <w:noProof/>
                <w:sz w:val="20"/>
                <w:szCs w:val="20"/>
                <w:lang w:eastAsia="es-ES"/>
              </w:rPr>
              <w:drawing>
                <wp:inline distT="0" distB="0" distL="0" distR="0" wp14:anchorId="50A5AD64" wp14:editId="018D4973">
                  <wp:extent cx="1069675" cy="933734"/>
                  <wp:effectExtent l="0" t="0" r="0" b="0"/>
                  <wp:docPr id="12" name="Imagen 12" descr="C:\Users\observatorio\Downloads\Logo_Cuad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bservatorio\Downloads\Logo_Cuadr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7266" cy="940361"/>
                          </a:xfrm>
                          <a:prstGeom prst="rect">
                            <a:avLst/>
                          </a:prstGeom>
                          <a:noFill/>
                          <a:ln>
                            <a:noFill/>
                          </a:ln>
                        </pic:spPr>
                      </pic:pic>
                    </a:graphicData>
                  </a:graphic>
                </wp:inline>
              </w:drawing>
            </w:r>
          </w:p>
        </w:tc>
        <w:tc>
          <w:tcPr>
            <w:tcW w:w="3136" w:type="dxa"/>
            <w:shd w:val="clear" w:color="auto" w:fill="FFFFFF" w:themeFill="background1"/>
            <w:vAlign w:val="center"/>
          </w:tcPr>
          <w:p w14:paraId="4DAE64FA" w14:textId="6590D14E" w:rsidR="00FC40D3" w:rsidRDefault="00B46F47" w:rsidP="004C16E9">
            <w:pPr>
              <w:jc w:val="center"/>
              <w:rPr>
                <w:rFonts w:ascii="Open Sans" w:hAnsi="Open Sans" w:cs="Open Sans"/>
                <w:sz w:val="20"/>
                <w:szCs w:val="20"/>
              </w:rPr>
            </w:pPr>
            <w:r>
              <w:rPr>
                <w:noProof/>
                <w:lang w:eastAsia="es-ES"/>
              </w:rPr>
              <w:drawing>
                <wp:inline distT="0" distB="0" distL="0" distR="0" wp14:anchorId="4B58BCA8" wp14:editId="7FBA9884">
                  <wp:extent cx="763200" cy="997200"/>
                  <wp:effectExtent l="0" t="0" r="0" b="0"/>
                  <wp:docPr id="10" name="Imagen 10" descr="Fed DDHH -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ed DDHH -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200" cy="997200"/>
                          </a:xfrm>
                          <a:prstGeom prst="rect">
                            <a:avLst/>
                          </a:prstGeom>
                          <a:noFill/>
                          <a:ln>
                            <a:noFill/>
                          </a:ln>
                        </pic:spPr>
                      </pic:pic>
                    </a:graphicData>
                  </a:graphic>
                </wp:inline>
              </w:drawing>
            </w:r>
          </w:p>
        </w:tc>
      </w:tr>
      <w:tr w:rsidR="00FC40D3" w14:paraId="2C88FBFE" w14:textId="77777777" w:rsidTr="00743666">
        <w:trPr>
          <w:trHeight w:val="55"/>
        </w:trPr>
        <w:tc>
          <w:tcPr>
            <w:tcW w:w="2775" w:type="dxa"/>
            <w:shd w:val="clear" w:color="auto" w:fill="FFFFFF" w:themeFill="background1"/>
            <w:vAlign w:val="center"/>
          </w:tcPr>
          <w:p w14:paraId="4C0E1016" w14:textId="310DDAEE" w:rsidR="00FC40D3" w:rsidRDefault="00FC40D3" w:rsidP="004C16E9">
            <w:pPr>
              <w:jc w:val="center"/>
              <w:rPr>
                <w:rFonts w:ascii="Open Sans" w:hAnsi="Open Sans" w:cs="Open Sans"/>
                <w:sz w:val="20"/>
                <w:szCs w:val="20"/>
              </w:rPr>
            </w:pPr>
          </w:p>
        </w:tc>
        <w:tc>
          <w:tcPr>
            <w:tcW w:w="2539" w:type="dxa"/>
            <w:shd w:val="clear" w:color="auto" w:fill="FFFFFF" w:themeFill="background1"/>
            <w:vAlign w:val="center"/>
          </w:tcPr>
          <w:p w14:paraId="528BFA07" w14:textId="7E194A6A" w:rsidR="00FC40D3" w:rsidRDefault="004C16E9" w:rsidP="004C16E9">
            <w:pPr>
              <w:jc w:val="center"/>
              <w:rPr>
                <w:rFonts w:ascii="Open Sans" w:hAnsi="Open Sans" w:cs="Open Sans"/>
                <w:sz w:val="20"/>
                <w:szCs w:val="20"/>
              </w:rPr>
            </w:pPr>
            <w:r>
              <w:rPr>
                <w:rFonts w:ascii="Open Sans" w:hAnsi="Open Sans" w:cs="Open Sans"/>
                <w:noProof/>
                <w:sz w:val="20"/>
                <w:szCs w:val="20"/>
                <w:lang w:eastAsia="es-ES"/>
              </w:rPr>
              <w:drawing>
                <wp:inline distT="0" distB="0" distL="0" distR="0" wp14:anchorId="2B48D259" wp14:editId="23BA7454">
                  <wp:extent cx="1317600" cy="291600"/>
                  <wp:effectExtent l="0" t="0" r="0" b="0"/>
                  <wp:docPr id="11" name="Imagen 11" descr="C:\Users\observatorio\Downloads\Logo GP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bservatorio\Downloads\Logo GP 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7600" cy="291600"/>
                          </a:xfrm>
                          <a:prstGeom prst="rect">
                            <a:avLst/>
                          </a:prstGeom>
                          <a:noFill/>
                          <a:ln>
                            <a:noFill/>
                          </a:ln>
                        </pic:spPr>
                      </pic:pic>
                    </a:graphicData>
                  </a:graphic>
                </wp:inline>
              </w:drawing>
            </w:r>
          </w:p>
        </w:tc>
        <w:tc>
          <w:tcPr>
            <w:tcW w:w="3136" w:type="dxa"/>
            <w:shd w:val="clear" w:color="auto" w:fill="FFFFFF" w:themeFill="background1"/>
            <w:vAlign w:val="center"/>
          </w:tcPr>
          <w:p w14:paraId="5F03B6CF" w14:textId="77777777" w:rsidR="00FC40D3" w:rsidRDefault="00FC40D3" w:rsidP="004C16E9">
            <w:pPr>
              <w:jc w:val="center"/>
              <w:rPr>
                <w:rFonts w:ascii="Open Sans" w:hAnsi="Open Sans" w:cs="Open Sans"/>
                <w:sz w:val="20"/>
                <w:szCs w:val="20"/>
              </w:rPr>
            </w:pPr>
          </w:p>
        </w:tc>
      </w:tr>
    </w:tbl>
    <w:p w14:paraId="1ACB3ADA" w14:textId="77777777" w:rsidR="00956E1C" w:rsidRDefault="00956E1C">
      <w:pPr>
        <w:jc w:val="both"/>
        <w:rPr>
          <w:rFonts w:ascii="Open Sans" w:hAnsi="Open Sans" w:cs="Open Sans"/>
          <w:sz w:val="20"/>
          <w:szCs w:val="20"/>
        </w:rPr>
      </w:pPr>
    </w:p>
    <w:p w14:paraId="4639E68F" w14:textId="77777777" w:rsidR="005A5B5D" w:rsidRPr="0052423D" w:rsidRDefault="00741950" w:rsidP="0052423D">
      <w:pPr>
        <w:jc w:val="center"/>
        <w:rPr>
          <w:b/>
          <w:sz w:val="24"/>
          <w:szCs w:val="24"/>
        </w:rPr>
      </w:pPr>
      <w:r w:rsidRPr="0052423D">
        <w:rPr>
          <w:rFonts w:ascii="Open Sans" w:hAnsi="Open Sans" w:cs="Open Sans"/>
          <w:b/>
          <w:sz w:val="24"/>
          <w:szCs w:val="24"/>
        </w:rPr>
        <w:t>El nuevo Plan de Empresa y Derechos Humanos: un paso insuficiente</w:t>
      </w:r>
    </w:p>
    <w:p w14:paraId="09AE9515" w14:textId="20987A00" w:rsidR="005A5B5D" w:rsidRDefault="00F2451E">
      <w:pPr>
        <w:jc w:val="both"/>
      </w:pPr>
      <w:r w:rsidRPr="00F2451E">
        <w:rPr>
          <w:rFonts w:ascii="Open Sans" w:hAnsi="Open Sans" w:cs="Open Sans"/>
          <w:i/>
          <w:sz w:val="20"/>
          <w:szCs w:val="20"/>
        </w:rPr>
        <w:t>Madrid, 4 de octubre de 2017</w:t>
      </w:r>
      <w:r>
        <w:rPr>
          <w:rFonts w:ascii="Open Sans" w:hAnsi="Open Sans" w:cs="Open Sans"/>
          <w:sz w:val="20"/>
          <w:szCs w:val="20"/>
        </w:rPr>
        <w:t xml:space="preserve">. </w:t>
      </w:r>
      <w:r w:rsidR="00741950">
        <w:rPr>
          <w:rFonts w:ascii="Open Sans" w:hAnsi="Open Sans" w:cs="Open Sans"/>
          <w:sz w:val="20"/>
          <w:szCs w:val="20"/>
        </w:rPr>
        <w:t xml:space="preserve">La aprobación, tres años después de su primer borrador, del nuevo Plan de Acción Nacional de Empresas y Derechos Humanos, es un paso positivo pero </w:t>
      </w:r>
      <w:r w:rsidR="00741950">
        <w:rPr>
          <w:rFonts w:ascii="Open Sans" w:hAnsi="Open Sans"/>
          <w:sz w:val="20"/>
        </w:rPr>
        <w:t>claramente</w:t>
      </w:r>
      <w:r w:rsidR="00741950">
        <w:rPr>
          <w:rFonts w:ascii="Open Sans" w:hAnsi="Open Sans" w:cs="Open Sans"/>
          <w:sz w:val="20"/>
          <w:szCs w:val="20"/>
        </w:rPr>
        <w:t xml:space="preserve"> insuficiente para evitar que se produzcan vulneraciones sobre los Derechos Humanos.</w:t>
      </w:r>
      <w:r w:rsidR="00FA7749">
        <w:rPr>
          <w:rFonts w:ascii="Open Sans" w:hAnsi="Open Sans" w:cs="Open Sans"/>
          <w:sz w:val="20"/>
          <w:szCs w:val="20"/>
        </w:rPr>
        <w:t xml:space="preserve"> </w:t>
      </w:r>
      <w:r w:rsidR="00741950">
        <w:rPr>
          <w:rFonts w:ascii="Open Sans" w:hAnsi="Open Sans" w:cs="Open Sans"/>
          <w:sz w:val="20"/>
          <w:szCs w:val="20"/>
        </w:rPr>
        <w:t xml:space="preserve">Así lo han señalado hoy organizaciones como </w:t>
      </w:r>
      <w:r w:rsidR="00DD64BB">
        <w:rPr>
          <w:rFonts w:ascii="Open Sans" w:hAnsi="Open Sans" w:cs="Open Sans"/>
          <w:sz w:val="20"/>
          <w:szCs w:val="20"/>
        </w:rPr>
        <w:t>el Observatorio de RSC</w:t>
      </w:r>
      <w:r w:rsidR="00741950">
        <w:rPr>
          <w:rFonts w:ascii="Open Sans" w:hAnsi="Open Sans" w:cs="Open Sans"/>
          <w:sz w:val="20"/>
          <w:szCs w:val="20"/>
        </w:rPr>
        <w:t>,</w:t>
      </w:r>
      <w:r w:rsidR="00DD64BB">
        <w:rPr>
          <w:rFonts w:ascii="Open Sans" w:hAnsi="Open Sans" w:cs="Open Sans"/>
          <w:sz w:val="20"/>
          <w:szCs w:val="20"/>
        </w:rPr>
        <w:t xml:space="preserve"> Amnistía Internacional, la Coordinadora de ONG por el Desarrollo, Enlázate por la Justicia, Greenpeace, Coordinadora Estatal de Come</w:t>
      </w:r>
      <w:bookmarkStart w:id="0" w:name="_GoBack"/>
      <w:bookmarkEnd w:id="0"/>
      <w:r w:rsidR="00DD64BB">
        <w:rPr>
          <w:rFonts w:ascii="Open Sans" w:hAnsi="Open Sans" w:cs="Open Sans"/>
          <w:sz w:val="20"/>
          <w:szCs w:val="20"/>
        </w:rPr>
        <w:t>rcio Justo y la Federación</w:t>
      </w:r>
      <w:r w:rsidR="00287EBB">
        <w:rPr>
          <w:rFonts w:ascii="Open Sans" w:hAnsi="Open Sans" w:cs="Open Sans"/>
          <w:sz w:val="20"/>
          <w:szCs w:val="20"/>
        </w:rPr>
        <w:t xml:space="preserve"> de Asociaciones de Defensa y Promoción</w:t>
      </w:r>
      <w:r w:rsidR="00DD64BB">
        <w:rPr>
          <w:rFonts w:ascii="Open Sans" w:hAnsi="Open Sans" w:cs="Open Sans"/>
          <w:sz w:val="20"/>
          <w:szCs w:val="20"/>
        </w:rPr>
        <w:t xml:space="preserve"> </w:t>
      </w:r>
      <w:r w:rsidR="00F37DED">
        <w:rPr>
          <w:rFonts w:ascii="Open Sans" w:hAnsi="Open Sans" w:cs="Open Sans"/>
          <w:sz w:val="20"/>
          <w:szCs w:val="20"/>
        </w:rPr>
        <w:t>de</w:t>
      </w:r>
      <w:r w:rsidR="00287EBB">
        <w:rPr>
          <w:rFonts w:ascii="Open Sans" w:hAnsi="Open Sans" w:cs="Open Sans"/>
          <w:sz w:val="20"/>
          <w:szCs w:val="20"/>
        </w:rPr>
        <w:t xml:space="preserve"> los</w:t>
      </w:r>
      <w:r w:rsidR="00F37DED">
        <w:rPr>
          <w:rFonts w:ascii="Open Sans" w:hAnsi="Open Sans" w:cs="Open Sans"/>
          <w:sz w:val="20"/>
          <w:szCs w:val="20"/>
        </w:rPr>
        <w:t xml:space="preserve"> Derechos Humanos</w:t>
      </w:r>
      <w:r w:rsidR="00741950">
        <w:rPr>
          <w:rFonts w:ascii="Open Sans" w:hAnsi="Open Sans" w:cs="Open Sans"/>
          <w:sz w:val="20"/>
          <w:szCs w:val="20"/>
        </w:rPr>
        <w:t xml:space="preserve"> que han mostrado además su disconformidad con la opacidad y ausencia de participación en la fase de relanzamiento del Plan.</w:t>
      </w:r>
    </w:p>
    <w:p w14:paraId="099A0DF7" w14:textId="602B3192" w:rsidR="005A5B5D" w:rsidRDefault="00741950">
      <w:pPr>
        <w:jc w:val="both"/>
      </w:pPr>
      <w:r>
        <w:rPr>
          <w:rFonts w:ascii="Open Sans" w:hAnsi="Open Sans" w:cs="Open Sans"/>
          <w:sz w:val="20"/>
          <w:szCs w:val="20"/>
        </w:rPr>
        <w:t>“</w:t>
      </w:r>
      <w:r w:rsidRPr="0052423D">
        <w:rPr>
          <w:rFonts w:ascii="Open Sans" w:hAnsi="Open Sans" w:cs="Open Sans"/>
          <w:i/>
          <w:sz w:val="20"/>
          <w:szCs w:val="20"/>
        </w:rPr>
        <w:t xml:space="preserve">El propósito y la finalidad principal de un Plan de Acción no debe ser exclusivamente la sensibilización  o el fortalecimiento de la ventaja competitiva de las empresas españolas sino </w:t>
      </w:r>
      <w:r w:rsidRPr="0052423D">
        <w:rPr>
          <w:rFonts w:ascii="Open Sans" w:eastAsia="Times New Roman" w:hAnsi="Open Sans" w:cs="Open Sans"/>
          <w:i/>
          <w:sz w:val="20"/>
          <w:szCs w:val="20"/>
        </w:rPr>
        <w:t>prevenir, minimizar, y abordar los potenciales abusos de derechos humanos cometidos por las empresas españolas y</w:t>
      </w:r>
      <w:r w:rsidRPr="0052423D">
        <w:rPr>
          <w:rFonts w:ascii="Open Sans" w:hAnsi="Open Sans" w:cs="Open Sans"/>
          <w:i/>
          <w:sz w:val="20"/>
          <w:szCs w:val="20"/>
        </w:rPr>
        <w:t xml:space="preserve"> reforzar los mecanismos sancionatorios y de reparación para las víctimas de estos abusos</w:t>
      </w:r>
      <w:r>
        <w:rPr>
          <w:rFonts w:ascii="Open Sans" w:hAnsi="Open Sans" w:cs="Open Sans"/>
          <w:sz w:val="20"/>
          <w:szCs w:val="20"/>
        </w:rPr>
        <w:t xml:space="preserve">”, ha declarado </w:t>
      </w:r>
      <w:r w:rsidR="00D47F60">
        <w:rPr>
          <w:rFonts w:ascii="Open Sans" w:hAnsi="Open Sans" w:cs="Open Sans"/>
          <w:sz w:val="20"/>
          <w:szCs w:val="20"/>
        </w:rPr>
        <w:t>el representante de las organizaciones firmantes.</w:t>
      </w:r>
      <w:r>
        <w:rPr>
          <w:rFonts w:ascii="Open Sans" w:hAnsi="Open Sans" w:cs="Open Sans"/>
          <w:sz w:val="20"/>
          <w:szCs w:val="20"/>
        </w:rPr>
        <w:t xml:space="preserve"> </w:t>
      </w:r>
    </w:p>
    <w:p w14:paraId="55687819" w14:textId="6BD986E9" w:rsidR="005A5B5D" w:rsidRDefault="00741950">
      <w:pPr>
        <w:jc w:val="both"/>
        <w:rPr>
          <w:rFonts w:ascii="Open Sans" w:eastAsia="TimesNewRomanPSMT" w:hAnsi="Open Sans" w:cs="Open Sans"/>
          <w:sz w:val="20"/>
          <w:szCs w:val="20"/>
        </w:rPr>
      </w:pPr>
      <w:r>
        <w:rPr>
          <w:rFonts w:ascii="Open Sans" w:hAnsi="Open Sans" w:cs="Open Sans"/>
          <w:sz w:val="20"/>
          <w:szCs w:val="20"/>
        </w:rPr>
        <w:t>“</w:t>
      </w:r>
      <w:r w:rsidRPr="0052423D">
        <w:rPr>
          <w:rFonts w:ascii="Open Sans" w:hAnsi="Open Sans" w:cs="Open Sans"/>
          <w:i/>
          <w:sz w:val="20"/>
          <w:szCs w:val="20"/>
        </w:rPr>
        <w:t>Este Plan debería contener medidas concretas para hacer efectivo el cumplimiento de las obligaciones del Estado en virtud del derecho internacional en materia de derechos humanos</w:t>
      </w:r>
      <w:r>
        <w:rPr>
          <w:rFonts w:ascii="Open Sans" w:hAnsi="Open Sans" w:cs="Open Sans"/>
          <w:sz w:val="20"/>
          <w:szCs w:val="20"/>
        </w:rPr>
        <w:t xml:space="preserve">”, añade. </w:t>
      </w:r>
    </w:p>
    <w:p w14:paraId="7C5669FC" w14:textId="52047503" w:rsidR="005A5B5D" w:rsidRDefault="00741950">
      <w:pPr>
        <w:jc w:val="both"/>
      </w:pPr>
      <w:r>
        <w:rPr>
          <w:rFonts w:ascii="Open Sans" w:eastAsia="Times New Roman" w:hAnsi="Open Sans" w:cs="Open Sans"/>
          <w:sz w:val="20"/>
          <w:szCs w:val="20"/>
        </w:rPr>
        <w:t xml:space="preserve">Las organizaciones lamentan además que el Plan de Acción desaproveche la oportunidad de clarificar conceptos y de promover medidas que establezcan ciertas obligaciones para las empresas, a pesar de que, por ejemplo, el concepto de debida diligencia aparece recogido varias veces a lo largo del texto, pero siempre en referencia a cuestiones que descansan en la voluntariedad y no en medidas normativas o de carácter obligatorio. </w:t>
      </w:r>
    </w:p>
    <w:p w14:paraId="1A2CEE39" w14:textId="77777777" w:rsidR="005A5B5D" w:rsidRDefault="00741950">
      <w:pPr>
        <w:jc w:val="both"/>
      </w:pPr>
      <w:r>
        <w:rPr>
          <w:rFonts w:ascii="Open Sans" w:hAnsi="Open Sans" w:cs="Open Sans"/>
          <w:sz w:val="20"/>
          <w:szCs w:val="20"/>
        </w:rPr>
        <w:t>Otra de los temas cuya ausencia destaca en el Plan de Acción es la referida a la aplicación extraterritorial de las obligaciones del Estado en relación con los derechos humanos, el texto se limita únicamente a declarar que “</w:t>
      </w:r>
      <w:r>
        <w:rPr>
          <w:rFonts w:ascii="Open Sans" w:hAnsi="Open Sans" w:cs="Open Sans"/>
          <w:i/>
          <w:sz w:val="20"/>
          <w:szCs w:val="20"/>
        </w:rPr>
        <w:t>el Estado espera de las empresas españolas, en España y en el extranjero, un comportamiento conforme con su responsabilidad de respetar los derechos humanos</w:t>
      </w:r>
      <w:r>
        <w:rPr>
          <w:rFonts w:ascii="Open Sans" w:hAnsi="Open Sans" w:cs="Open Sans"/>
          <w:sz w:val="20"/>
          <w:szCs w:val="20"/>
        </w:rPr>
        <w:t>”.</w:t>
      </w:r>
    </w:p>
    <w:p w14:paraId="48BBB5FB" w14:textId="77777777" w:rsidR="005A5B5D" w:rsidRDefault="00741950">
      <w:pPr>
        <w:jc w:val="both"/>
      </w:pPr>
      <w:r>
        <w:rPr>
          <w:rFonts w:ascii="Open Sans" w:hAnsi="Open Sans" w:cs="Open Sans"/>
          <w:sz w:val="20"/>
          <w:szCs w:val="20"/>
        </w:rPr>
        <w:lastRenderedPageBreak/>
        <w:t xml:space="preserve">Asimismo, son muy pocas las medidas que establecen un periodo de realización determinado o que de manera específica apuntan cómo se conseguirá el objetivo indicado así como el órgano u órganos encargados o las personas o grupos a los que se dirigirá de manera efectiva la medida. </w:t>
      </w:r>
    </w:p>
    <w:p w14:paraId="64413DA4" w14:textId="77777777" w:rsidR="005A5B5D" w:rsidRDefault="00741950">
      <w:pPr>
        <w:jc w:val="both"/>
      </w:pPr>
      <w:r>
        <w:rPr>
          <w:rFonts w:ascii="Open Sans" w:hAnsi="Open Sans" w:cs="Open Sans"/>
          <w:sz w:val="20"/>
          <w:szCs w:val="20"/>
        </w:rPr>
        <w:t xml:space="preserve">Igualmente preocupante resulta el hecho de que no se establezca asignación presupuestaria propia para el desarrollo de las medidas establecidas en el plan puede suponer una seria dificultad para la consecución de dichas medidas. </w:t>
      </w:r>
    </w:p>
    <w:p w14:paraId="35E6A627" w14:textId="17FF0920" w:rsidR="005A5B5D" w:rsidRPr="0052423D" w:rsidRDefault="00741950">
      <w:pPr>
        <w:jc w:val="both"/>
        <w:rPr>
          <w:b/>
        </w:rPr>
      </w:pPr>
      <w:r w:rsidRPr="0052423D">
        <w:rPr>
          <w:rFonts w:ascii="Open Sans" w:hAnsi="Open Sans" w:cs="Open Sans"/>
          <w:b/>
          <w:sz w:val="20"/>
          <w:szCs w:val="20"/>
        </w:rPr>
        <w:t>Un pequeño paso adelante</w:t>
      </w:r>
    </w:p>
    <w:p w14:paraId="6C80FD62" w14:textId="71A96517" w:rsidR="005A5B5D" w:rsidRDefault="00741950">
      <w:pPr>
        <w:jc w:val="both"/>
      </w:pPr>
      <w:r>
        <w:rPr>
          <w:rFonts w:ascii="Open Sans" w:hAnsi="Open Sans" w:cs="Open Sans"/>
          <w:sz w:val="20"/>
          <w:szCs w:val="20"/>
        </w:rPr>
        <w:t>Sin embargo, las organizaciones firmantes</w:t>
      </w:r>
      <w:r>
        <w:rPr>
          <w:rFonts w:ascii="Open Sans" w:hAnsi="Open Sans"/>
          <w:sz w:val="20"/>
        </w:rPr>
        <w:t xml:space="preserve"> </w:t>
      </w:r>
      <w:r>
        <w:rPr>
          <w:rFonts w:ascii="Open Sans" w:hAnsi="Open Sans" w:cs="Open Sans"/>
          <w:sz w:val="20"/>
          <w:szCs w:val="20"/>
        </w:rPr>
        <w:t xml:space="preserve">valoran positivamente la estrategia de revisión y de supervisión del propio Plan de Acción, que establece, entre otras cosas, que la duración de éste será de 3 años y que cumplidos dos años desde la aprobación del Plan, la Comisión de Seguimiento que se creará con el fin de supervisar el funcionamiento del mismo llevará a cabo una evaluación de su impacto en relación con la prevención, mitigación y remedio de las posibles vulneraciones de derechos humanos. Asimismo, asegura que, a partir de esa evaluación, la propia Comisión impulsará la redacción de una versión actualizada del Plan que deberá estar lista antes de transcurridos los tres años de duración del mismo. </w:t>
      </w:r>
    </w:p>
    <w:p w14:paraId="3BFC8E59" w14:textId="1D56FE9D" w:rsidR="005A5B5D" w:rsidRDefault="00741950">
      <w:pPr>
        <w:jc w:val="both"/>
        <w:rPr>
          <w:rFonts w:ascii="Open Sans" w:eastAsia="TimesNewRomanPSMT" w:hAnsi="Open Sans" w:cs="Open Sans"/>
          <w:bCs/>
          <w:sz w:val="20"/>
          <w:szCs w:val="20"/>
        </w:rPr>
      </w:pPr>
      <w:r>
        <w:rPr>
          <w:rFonts w:ascii="Open Sans" w:hAnsi="Open Sans" w:cs="Open Sans"/>
          <w:sz w:val="20"/>
          <w:szCs w:val="20"/>
        </w:rPr>
        <w:t>“A pesar de todo, es necesario que se establezcan formalmente los cauces adecuados para que los diversos actores afectados –representantes de la sociedad civil, empresas, sindicatos universidades, etc.– tal como expresamente prevé el Plan de Acción, puedan participar directamente en el proceso de evaluación y hacer contribuciones al mismo”, recuerdan las organizaciones.</w:t>
      </w:r>
    </w:p>
    <w:p w14:paraId="62EDB469" w14:textId="2E0DC7EC" w:rsidR="005A5B5D" w:rsidRPr="0052423D" w:rsidRDefault="00741950">
      <w:pPr>
        <w:jc w:val="both"/>
        <w:rPr>
          <w:b/>
        </w:rPr>
      </w:pPr>
      <w:r w:rsidRPr="0052423D">
        <w:rPr>
          <w:rFonts w:ascii="Open Sans" w:eastAsia="TimesNewRomanPSMT" w:hAnsi="Open Sans" w:cs="Open Sans"/>
          <w:b/>
          <w:bCs/>
          <w:sz w:val="20"/>
          <w:szCs w:val="20"/>
        </w:rPr>
        <w:t>Más información</w:t>
      </w:r>
    </w:p>
    <w:p w14:paraId="542F164E" w14:textId="77777777" w:rsidR="005A5B5D" w:rsidRDefault="00741950">
      <w:pPr>
        <w:jc w:val="both"/>
      </w:pPr>
      <w:r>
        <w:rPr>
          <w:rFonts w:ascii="Open Sans" w:eastAsia="TimesNewRomanPSMT" w:hAnsi="Open Sans" w:cs="Open Sans"/>
          <w:bCs/>
          <w:sz w:val="20"/>
          <w:szCs w:val="20"/>
        </w:rPr>
        <w:t>Tras la adopción en 2011 de los Principios Rectores de Naciones Unidas sobre Empresas y Derechos Humanos, la Comisión Europea lanzó una petición a todos los Estados Miembro para la introducción de medidas que implementasen a nivel nacional estos principios. Asimismo, en los últimos años varios organismos tanto de Naciones Unidas, del Consejo de Europa o de la OCDE han emitido recomendaciones a los Estados orientadas a la necesidad de mejora de la rendición de cuentas y el acceso a la reparación para las víctimas de violaciones de los derechos humanos cometidas por empresas así como al establecimiento de medidas concretas para que estas respeten de manera efectiva los derechos humanos tanto dentro como fuera de su territorio nacional.</w:t>
      </w:r>
    </w:p>
    <w:p w14:paraId="60423A67" w14:textId="108CD592" w:rsidR="005A5B5D" w:rsidRPr="004760CA" w:rsidRDefault="00741950">
      <w:pPr>
        <w:jc w:val="both"/>
        <w:rPr>
          <w:rFonts w:ascii="Open Sans" w:eastAsia="TimesNewRomanPSMT" w:hAnsi="Open Sans" w:cs="Open Sans"/>
          <w:bCs/>
          <w:sz w:val="20"/>
          <w:szCs w:val="20"/>
        </w:rPr>
      </w:pPr>
      <w:r>
        <w:rPr>
          <w:rFonts w:ascii="Open Sans" w:eastAsia="TimesNewRomanPSMT" w:hAnsi="Open Sans" w:cs="Open Sans"/>
          <w:bCs/>
          <w:sz w:val="20"/>
          <w:szCs w:val="20"/>
        </w:rPr>
        <w:t xml:space="preserve">Las organizaciones han recordado al Gobierno español que la creación de este Plan no es suficiente, ya que debería tomar una serie de medidas. Entre otras, la de revisar el Plan de Acción en el plazo de un año, aprobar un proyecto de ley que contenga obligaciones detalladas en materia de respeto de derechos humanos que ostentan las empresas domiciliadas en territorio español, en el marco de sus operaciones en España y en terceros países. Para ello deberá realizar un diagnóstico sobre las políticas, legislación e instrumentos existentes y su coherencia con los Principios Rectores y proponer las reformas necesarias, medida incluida en versiones anteriores del Plan. </w:t>
      </w:r>
    </w:p>
    <w:sectPr w:rsidR="005A5B5D" w:rsidRPr="004760CA">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5D"/>
    <w:rsid w:val="000D63FF"/>
    <w:rsid w:val="001375A9"/>
    <w:rsid w:val="00287EBB"/>
    <w:rsid w:val="004760CA"/>
    <w:rsid w:val="004C16E9"/>
    <w:rsid w:val="0052423D"/>
    <w:rsid w:val="005A5B5D"/>
    <w:rsid w:val="005D1431"/>
    <w:rsid w:val="00741950"/>
    <w:rsid w:val="00743666"/>
    <w:rsid w:val="00757FF4"/>
    <w:rsid w:val="00907CAD"/>
    <w:rsid w:val="00956E1C"/>
    <w:rsid w:val="009F0941"/>
    <w:rsid w:val="00AE2771"/>
    <w:rsid w:val="00B46F47"/>
    <w:rsid w:val="00BD6996"/>
    <w:rsid w:val="00D47F60"/>
    <w:rsid w:val="00DD64BB"/>
    <w:rsid w:val="00F2451E"/>
    <w:rsid w:val="00F37DED"/>
    <w:rsid w:val="00FA7749"/>
    <w:rsid w:val="00FC40D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libri" w:eastAsia="Calibri" w:hAnsi="Calibri"/>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BB301B"/>
    <w:rPr>
      <w:sz w:val="16"/>
      <w:szCs w:val="16"/>
    </w:rPr>
  </w:style>
  <w:style w:type="character" w:customStyle="1" w:styleId="TextocomentarioCar">
    <w:name w:val="Texto comentario Car"/>
    <w:basedOn w:val="Fuentedeprrafopredeter"/>
    <w:link w:val="Textocomentario"/>
    <w:uiPriority w:val="99"/>
    <w:semiHidden/>
    <w:qFormat/>
    <w:rsid w:val="00BB301B"/>
    <w:rPr>
      <w:sz w:val="20"/>
      <w:szCs w:val="20"/>
    </w:rPr>
  </w:style>
  <w:style w:type="character" w:customStyle="1" w:styleId="AsuntodelcomentarioCar">
    <w:name w:val="Asunto del comentario Car"/>
    <w:basedOn w:val="TextocomentarioCar"/>
    <w:link w:val="Asuntodelcomentario"/>
    <w:uiPriority w:val="99"/>
    <w:semiHidden/>
    <w:qFormat/>
    <w:rsid w:val="00BB301B"/>
    <w:rPr>
      <w:b/>
      <w:bCs/>
      <w:color w:val="00000A"/>
      <w:sz w:val="20"/>
      <w:szCs w:val="20"/>
    </w:rPr>
  </w:style>
  <w:style w:type="character" w:customStyle="1" w:styleId="TextodegloboCar">
    <w:name w:val="Texto de globo Car"/>
    <w:basedOn w:val="Fuentedeprrafopredeter"/>
    <w:link w:val="Textodeglobo"/>
    <w:uiPriority w:val="99"/>
    <w:semiHidden/>
    <w:qFormat/>
    <w:rsid w:val="00BB301B"/>
    <w:rPr>
      <w:rFonts w:ascii="Tahoma" w:hAnsi="Tahoma" w:cs="Tahoma"/>
      <w:sz w:val="16"/>
      <w:szCs w:val="16"/>
    </w:rPr>
  </w:style>
  <w:style w:type="character" w:customStyle="1" w:styleId="Vietas">
    <w:name w:val="Viñetas"/>
    <w:qFormat/>
    <w:rsid w:val="007E2712"/>
    <w:rPr>
      <w:rFonts w:ascii="OpenSymbol" w:eastAsia="OpenSymbol" w:hAnsi="OpenSymbol" w:cs="OpenSymbol"/>
    </w:rPr>
  </w:style>
  <w:style w:type="character" w:customStyle="1" w:styleId="EncabezadoCar">
    <w:name w:val="Encabezado Car"/>
    <w:basedOn w:val="Fuentedeprrafopredeter"/>
    <w:link w:val="Encabezado1"/>
    <w:qFormat/>
    <w:rsid w:val="007E2712"/>
    <w:rPr>
      <w:rFonts w:ascii="Liberation Sans" w:eastAsia="Microsoft YaHei" w:hAnsi="Liberation Sans" w:cs="Mangal"/>
      <w:color w:val="00000A"/>
      <w:sz w:val="28"/>
      <w:szCs w:val="28"/>
    </w:rPr>
  </w:style>
  <w:style w:type="paragraph" w:customStyle="1" w:styleId="Encabezado1">
    <w:name w:val="Encabezado1"/>
    <w:basedOn w:val="Normal"/>
    <w:next w:val="Cuerpodetexto"/>
    <w:link w:val="EncabezadoC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7E2712"/>
    <w:pPr>
      <w:spacing w:after="140" w:line="288" w:lineRule="auto"/>
    </w:pPr>
  </w:style>
  <w:style w:type="paragraph" w:customStyle="1" w:styleId="Lista1">
    <w:name w:val="Lista1"/>
    <w:basedOn w:val="Cuerpodetexto"/>
    <w:rsid w:val="007E2712"/>
    <w:rPr>
      <w:rFonts w:cs="Mangal"/>
    </w:rPr>
  </w:style>
  <w:style w:type="paragraph" w:customStyle="1" w:styleId="Leyenda">
    <w:name w:val="Leyenda"/>
    <w:basedOn w:val="Normal"/>
    <w:rsid w:val="007E2712"/>
    <w:pPr>
      <w:suppressLineNumbers/>
      <w:spacing w:before="120" w:after="120"/>
    </w:pPr>
    <w:rPr>
      <w:rFonts w:cs="Mangal"/>
      <w:i/>
      <w:iCs/>
      <w:sz w:val="24"/>
      <w:szCs w:val="24"/>
    </w:rPr>
  </w:style>
  <w:style w:type="paragraph" w:customStyle="1" w:styleId="ndice">
    <w:name w:val="Índice"/>
    <w:basedOn w:val="Normal"/>
    <w:qFormat/>
    <w:rsid w:val="007E2712"/>
    <w:pPr>
      <w:suppressLineNumbers/>
    </w:pPr>
    <w:rPr>
      <w:rFonts w:cs="Mangal"/>
    </w:rPr>
  </w:style>
  <w:style w:type="paragraph" w:styleId="Textocomentario">
    <w:name w:val="annotation text"/>
    <w:basedOn w:val="Normal"/>
    <w:link w:val="TextocomentarioCar"/>
    <w:uiPriority w:val="99"/>
    <w:semiHidden/>
    <w:unhideWhenUsed/>
    <w:qFormat/>
    <w:rsid w:val="00BB301B"/>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BB301B"/>
    <w:rPr>
      <w:b/>
      <w:bCs/>
    </w:rPr>
  </w:style>
  <w:style w:type="paragraph" w:styleId="Textodeglobo">
    <w:name w:val="Balloon Text"/>
    <w:basedOn w:val="Normal"/>
    <w:link w:val="TextodegloboCar"/>
    <w:uiPriority w:val="99"/>
    <w:semiHidden/>
    <w:unhideWhenUsed/>
    <w:qFormat/>
    <w:rsid w:val="00BB301B"/>
    <w:pPr>
      <w:spacing w:after="0" w:line="240" w:lineRule="auto"/>
    </w:pPr>
    <w:rPr>
      <w:rFonts w:ascii="Tahoma" w:hAnsi="Tahoma" w:cs="Tahoma"/>
      <w:sz w:val="16"/>
      <w:szCs w:val="16"/>
    </w:rPr>
  </w:style>
  <w:style w:type="paragraph" w:customStyle="1" w:styleId="Encabezamiento">
    <w:name w:val="Encabezamiento"/>
    <w:basedOn w:val="Normal"/>
    <w:qFormat/>
    <w:rsid w:val="007E2712"/>
    <w:pPr>
      <w:keepNext/>
      <w:spacing w:before="240" w:after="120"/>
    </w:pPr>
    <w:rPr>
      <w:rFonts w:ascii="Liberation Sans" w:eastAsia="Microsoft YaHei" w:hAnsi="Liberation Sans" w:cs="Mangal"/>
      <w:sz w:val="28"/>
      <w:szCs w:val="28"/>
    </w:rPr>
  </w:style>
  <w:style w:type="paragraph" w:styleId="Revisin">
    <w:name w:val="Revision"/>
    <w:uiPriority w:val="99"/>
    <w:semiHidden/>
    <w:qFormat/>
    <w:rsid w:val="007E2712"/>
    <w:pPr>
      <w:spacing w:line="240" w:lineRule="auto"/>
    </w:pPr>
    <w:rPr>
      <w:rFonts w:ascii="Calibri" w:eastAsia="Calibri" w:hAnsi="Calibri"/>
      <w:color w:val="00000A"/>
      <w:sz w:val="22"/>
    </w:rPr>
  </w:style>
  <w:style w:type="table" w:styleId="Tablaconcuadrcula">
    <w:name w:val="Table Grid"/>
    <w:basedOn w:val="Tablanormal"/>
    <w:uiPriority w:val="59"/>
    <w:rsid w:val="00956E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libri" w:eastAsia="Calibri" w:hAnsi="Calibri"/>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BB301B"/>
    <w:rPr>
      <w:sz w:val="16"/>
      <w:szCs w:val="16"/>
    </w:rPr>
  </w:style>
  <w:style w:type="character" w:customStyle="1" w:styleId="TextocomentarioCar">
    <w:name w:val="Texto comentario Car"/>
    <w:basedOn w:val="Fuentedeprrafopredeter"/>
    <w:link w:val="Textocomentario"/>
    <w:uiPriority w:val="99"/>
    <w:semiHidden/>
    <w:qFormat/>
    <w:rsid w:val="00BB301B"/>
    <w:rPr>
      <w:sz w:val="20"/>
      <w:szCs w:val="20"/>
    </w:rPr>
  </w:style>
  <w:style w:type="character" w:customStyle="1" w:styleId="AsuntodelcomentarioCar">
    <w:name w:val="Asunto del comentario Car"/>
    <w:basedOn w:val="TextocomentarioCar"/>
    <w:link w:val="Asuntodelcomentario"/>
    <w:uiPriority w:val="99"/>
    <w:semiHidden/>
    <w:qFormat/>
    <w:rsid w:val="00BB301B"/>
    <w:rPr>
      <w:b/>
      <w:bCs/>
      <w:color w:val="00000A"/>
      <w:sz w:val="20"/>
      <w:szCs w:val="20"/>
    </w:rPr>
  </w:style>
  <w:style w:type="character" w:customStyle="1" w:styleId="TextodegloboCar">
    <w:name w:val="Texto de globo Car"/>
    <w:basedOn w:val="Fuentedeprrafopredeter"/>
    <w:link w:val="Textodeglobo"/>
    <w:uiPriority w:val="99"/>
    <w:semiHidden/>
    <w:qFormat/>
    <w:rsid w:val="00BB301B"/>
    <w:rPr>
      <w:rFonts w:ascii="Tahoma" w:hAnsi="Tahoma" w:cs="Tahoma"/>
      <w:sz w:val="16"/>
      <w:szCs w:val="16"/>
    </w:rPr>
  </w:style>
  <w:style w:type="character" w:customStyle="1" w:styleId="Vietas">
    <w:name w:val="Viñetas"/>
    <w:qFormat/>
    <w:rsid w:val="007E2712"/>
    <w:rPr>
      <w:rFonts w:ascii="OpenSymbol" w:eastAsia="OpenSymbol" w:hAnsi="OpenSymbol" w:cs="OpenSymbol"/>
    </w:rPr>
  </w:style>
  <w:style w:type="character" w:customStyle="1" w:styleId="EncabezadoCar">
    <w:name w:val="Encabezado Car"/>
    <w:basedOn w:val="Fuentedeprrafopredeter"/>
    <w:link w:val="Encabezado1"/>
    <w:qFormat/>
    <w:rsid w:val="007E2712"/>
    <w:rPr>
      <w:rFonts w:ascii="Liberation Sans" w:eastAsia="Microsoft YaHei" w:hAnsi="Liberation Sans" w:cs="Mangal"/>
      <w:color w:val="00000A"/>
      <w:sz w:val="28"/>
      <w:szCs w:val="28"/>
    </w:rPr>
  </w:style>
  <w:style w:type="paragraph" w:customStyle="1" w:styleId="Encabezado1">
    <w:name w:val="Encabezado1"/>
    <w:basedOn w:val="Normal"/>
    <w:next w:val="Cuerpodetexto"/>
    <w:link w:val="EncabezadoC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7E2712"/>
    <w:pPr>
      <w:spacing w:after="140" w:line="288" w:lineRule="auto"/>
    </w:pPr>
  </w:style>
  <w:style w:type="paragraph" w:customStyle="1" w:styleId="Lista1">
    <w:name w:val="Lista1"/>
    <w:basedOn w:val="Cuerpodetexto"/>
    <w:rsid w:val="007E2712"/>
    <w:rPr>
      <w:rFonts w:cs="Mangal"/>
    </w:rPr>
  </w:style>
  <w:style w:type="paragraph" w:customStyle="1" w:styleId="Leyenda">
    <w:name w:val="Leyenda"/>
    <w:basedOn w:val="Normal"/>
    <w:rsid w:val="007E2712"/>
    <w:pPr>
      <w:suppressLineNumbers/>
      <w:spacing w:before="120" w:after="120"/>
    </w:pPr>
    <w:rPr>
      <w:rFonts w:cs="Mangal"/>
      <w:i/>
      <w:iCs/>
      <w:sz w:val="24"/>
      <w:szCs w:val="24"/>
    </w:rPr>
  </w:style>
  <w:style w:type="paragraph" w:customStyle="1" w:styleId="ndice">
    <w:name w:val="Índice"/>
    <w:basedOn w:val="Normal"/>
    <w:qFormat/>
    <w:rsid w:val="007E2712"/>
    <w:pPr>
      <w:suppressLineNumbers/>
    </w:pPr>
    <w:rPr>
      <w:rFonts w:cs="Mangal"/>
    </w:rPr>
  </w:style>
  <w:style w:type="paragraph" w:styleId="Textocomentario">
    <w:name w:val="annotation text"/>
    <w:basedOn w:val="Normal"/>
    <w:link w:val="TextocomentarioCar"/>
    <w:uiPriority w:val="99"/>
    <w:semiHidden/>
    <w:unhideWhenUsed/>
    <w:qFormat/>
    <w:rsid w:val="00BB301B"/>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BB301B"/>
    <w:rPr>
      <w:b/>
      <w:bCs/>
    </w:rPr>
  </w:style>
  <w:style w:type="paragraph" w:styleId="Textodeglobo">
    <w:name w:val="Balloon Text"/>
    <w:basedOn w:val="Normal"/>
    <w:link w:val="TextodegloboCar"/>
    <w:uiPriority w:val="99"/>
    <w:semiHidden/>
    <w:unhideWhenUsed/>
    <w:qFormat/>
    <w:rsid w:val="00BB301B"/>
    <w:pPr>
      <w:spacing w:after="0" w:line="240" w:lineRule="auto"/>
    </w:pPr>
    <w:rPr>
      <w:rFonts w:ascii="Tahoma" w:hAnsi="Tahoma" w:cs="Tahoma"/>
      <w:sz w:val="16"/>
      <w:szCs w:val="16"/>
    </w:rPr>
  </w:style>
  <w:style w:type="paragraph" w:customStyle="1" w:styleId="Encabezamiento">
    <w:name w:val="Encabezamiento"/>
    <w:basedOn w:val="Normal"/>
    <w:qFormat/>
    <w:rsid w:val="007E2712"/>
    <w:pPr>
      <w:keepNext/>
      <w:spacing w:before="240" w:after="120"/>
    </w:pPr>
    <w:rPr>
      <w:rFonts w:ascii="Liberation Sans" w:eastAsia="Microsoft YaHei" w:hAnsi="Liberation Sans" w:cs="Mangal"/>
      <w:sz w:val="28"/>
      <w:szCs w:val="28"/>
    </w:rPr>
  </w:style>
  <w:style w:type="paragraph" w:styleId="Revisin">
    <w:name w:val="Revision"/>
    <w:uiPriority w:val="99"/>
    <w:semiHidden/>
    <w:qFormat/>
    <w:rsid w:val="007E2712"/>
    <w:pPr>
      <w:spacing w:line="240" w:lineRule="auto"/>
    </w:pPr>
    <w:rPr>
      <w:rFonts w:ascii="Calibri" w:eastAsia="Calibri" w:hAnsi="Calibri"/>
      <w:color w:val="00000A"/>
      <w:sz w:val="22"/>
    </w:rPr>
  </w:style>
  <w:style w:type="table" w:styleId="Tablaconcuadrcula">
    <w:name w:val="Table Grid"/>
    <w:basedOn w:val="Tablanormal"/>
    <w:uiPriority w:val="59"/>
    <w:rsid w:val="00956E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813</Words>
  <Characters>4473</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Observatorio</dc:creator>
  <dc:description/>
  <cp:lastModifiedBy>Acer</cp:lastModifiedBy>
  <cp:revision>13</cp:revision>
  <cp:lastPrinted>2017-09-27T15:52:00Z</cp:lastPrinted>
  <dcterms:created xsi:type="dcterms:W3CDTF">2017-09-28T14:34:00Z</dcterms:created>
  <dcterms:modified xsi:type="dcterms:W3CDTF">2017-10-04T07:30:00Z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