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FF" w:rsidRPr="003231FF" w:rsidRDefault="003231FF" w:rsidP="003231FF">
      <w:pPr>
        <w:spacing w:after="0" w:line="240" w:lineRule="auto"/>
        <w:rPr>
          <w:rFonts w:ascii="Times New Roman" w:eastAsia="Times New Roman" w:hAnsi="Times New Roman" w:cs="Times New Roman"/>
          <w:sz w:val="24"/>
          <w:szCs w:val="24"/>
          <w:lang w:val="es-ES_tradnl" w:eastAsia="en-GB"/>
        </w:rPr>
      </w:pPr>
      <w:proofErr w:type="spellStart"/>
      <w:r w:rsidRPr="003231FF">
        <w:rPr>
          <w:rFonts w:ascii="Times New Roman" w:eastAsia="Times New Roman" w:hAnsi="Times New Roman" w:cs="Times New Roman"/>
          <w:sz w:val="24"/>
          <w:szCs w:val="24"/>
          <w:lang w:val="es-ES_tradnl" w:eastAsia="en-GB"/>
        </w:rPr>
        <w:t>Bundesgericht</w:t>
      </w:r>
      <w:proofErr w:type="spellEnd"/>
    </w:p>
    <w:p w:rsidR="003231FF" w:rsidRPr="003231FF" w:rsidRDefault="003231FF" w:rsidP="003231FF">
      <w:pPr>
        <w:spacing w:after="0" w:line="240" w:lineRule="auto"/>
        <w:rPr>
          <w:rFonts w:ascii="Times New Roman" w:eastAsia="Times New Roman" w:hAnsi="Times New Roman" w:cs="Times New Roman"/>
          <w:sz w:val="24"/>
          <w:szCs w:val="24"/>
          <w:lang w:val="es-ES_tradnl" w:eastAsia="en-GB"/>
        </w:rPr>
      </w:pPr>
      <w:r w:rsidRPr="003231FF">
        <w:rPr>
          <w:rFonts w:ascii="Times New Roman" w:eastAsia="Times New Roman" w:hAnsi="Times New Roman" w:cs="Times New Roman"/>
          <w:sz w:val="24"/>
          <w:szCs w:val="24"/>
          <w:lang w:val="es-ES_tradnl" w:eastAsia="en-GB"/>
        </w:rPr>
        <w:t xml:space="preserve">Tribunal </w:t>
      </w:r>
      <w:proofErr w:type="spellStart"/>
      <w:r w:rsidRPr="003231FF">
        <w:rPr>
          <w:rFonts w:ascii="Times New Roman" w:eastAsia="Times New Roman" w:hAnsi="Times New Roman" w:cs="Times New Roman"/>
          <w:sz w:val="24"/>
          <w:szCs w:val="24"/>
          <w:lang w:val="es-ES_tradnl" w:eastAsia="en-GB"/>
        </w:rPr>
        <w:t>fédéral</w:t>
      </w:r>
      <w:proofErr w:type="spellEnd"/>
    </w:p>
    <w:p w:rsidR="003231FF" w:rsidRPr="003231FF" w:rsidRDefault="003231FF" w:rsidP="003231FF">
      <w:pPr>
        <w:spacing w:after="0" w:line="240" w:lineRule="auto"/>
        <w:rPr>
          <w:rFonts w:ascii="Times New Roman" w:eastAsia="Times New Roman" w:hAnsi="Times New Roman" w:cs="Times New Roman"/>
          <w:sz w:val="24"/>
          <w:szCs w:val="24"/>
          <w:lang w:val="es-ES_tradnl" w:eastAsia="en-GB"/>
        </w:rPr>
      </w:pPr>
      <w:proofErr w:type="spellStart"/>
      <w:r w:rsidRPr="003231FF">
        <w:rPr>
          <w:rFonts w:ascii="Times New Roman" w:eastAsia="Times New Roman" w:hAnsi="Times New Roman" w:cs="Times New Roman"/>
          <w:sz w:val="24"/>
          <w:szCs w:val="24"/>
          <w:lang w:val="es-ES_tradnl" w:eastAsia="en-GB"/>
        </w:rPr>
        <w:t>Tribunale</w:t>
      </w:r>
      <w:proofErr w:type="spellEnd"/>
      <w:r w:rsidRPr="003231FF">
        <w:rPr>
          <w:rFonts w:ascii="Times New Roman" w:eastAsia="Times New Roman" w:hAnsi="Times New Roman" w:cs="Times New Roman"/>
          <w:sz w:val="24"/>
          <w:szCs w:val="24"/>
          <w:lang w:val="es-ES_tradnl" w:eastAsia="en-GB"/>
        </w:rPr>
        <w:t xml:space="preserve"> </w:t>
      </w:r>
      <w:proofErr w:type="spellStart"/>
      <w:r w:rsidRPr="003231FF">
        <w:rPr>
          <w:rFonts w:ascii="Times New Roman" w:eastAsia="Times New Roman" w:hAnsi="Times New Roman" w:cs="Times New Roman"/>
          <w:sz w:val="24"/>
          <w:szCs w:val="24"/>
          <w:lang w:val="es-ES_tradnl" w:eastAsia="en-GB"/>
        </w:rPr>
        <w:t>federale</w:t>
      </w:r>
      <w:proofErr w:type="spellEnd"/>
    </w:p>
    <w:p w:rsidR="003231FF" w:rsidRPr="003231FF" w:rsidRDefault="003231FF" w:rsidP="003231FF">
      <w:pPr>
        <w:spacing w:after="0" w:line="240" w:lineRule="auto"/>
        <w:rPr>
          <w:rFonts w:ascii="Times New Roman" w:eastAsia="Times New Roman" w:hAnsi="Times New Roman" w:cs="Times New Roman"/>
          <w:sz w:val="24"/>
          <w:szCs w:val="24"/>
          <w:lang w:val="es-ES_tradnl" w:eastAsia="en-GB"/>
        </w:rPr>
      </w:pPr>
      <w:r w:rsidRPr="003231FF">
        <w:rPr>
          <w:rFonts w:ascii="Times New Roman" w:eastAsia="Times New Roman" w:hAnsi="Times New Roman" w:cs="Times New Roman"/>
          <w:sz w:val="24"/>
          <w:szCs w:val="24"/>
          <w:lang w:val="es-ES_tradnl" w:eastAsia="en-GB"/>
        </w:rPr>
        <w:t>Tribunal federal</w:t>
      </w:r>
    </w:p>
    <w:p w:rsidR="003231FF" w:rsidRPr="003231FF" w:rsidRDefault="003231FF" w:rsidP="003231FF">
      <w:pPr>
        <w:spacing w:after="0" w:line="240" w:lineRule="auto"/>
        <w:rPr>
          <w:rFonts w:ascii="Times New Roman" w:eastAsia="Times New Roman" w:hAnsi="Times New Roman" w:cs="Times New Roman"/>
          <w:sz w:val="24"/>
          <w:szCs w:val="24"/>
          <w:lang w:val="es-ES_tradnl" w:eastAsia="en-GB"/>
        </w:rPr>
      </w:pPr>
      <w:r w:rsidRPr="003231FF">
        <w:rPr>
          <w:rFonts w:ascii="Times New Roman" w:eastAsia="Times New Roman" w:hAnsi="Times New Roman" w:cs="Times New Roman"/>
          <w:sz w:val="24"/>
          <w:szCs w:val="24"/>
          <w:lang w:val="es-ES_tradnl"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120"/>
        <w:gridCol w:w="135"/>
      </w:tblGrid>
      <w:tr w:rsidR="003231FF" w:rsidRPr="003231FF" w:rsidTr="003231FF">
        <w:trPr>
          <w:tblCellSpacing w:w="15" w:type="dxa"/>
        </w:trPr>
        <w:tc>
          <w:tcPr>
            <w:tcW w:w="0" w:type="auto"/>
            <w:vAlign w:val="center"/>
            <w:hideMark/>
          </w:tcPr>
          <w:p w:rsidR="003231FF" w:rsidRPr="003231FF" w:rsidRDefault="003231FF" w:rsidP="003231FF">
            <w:pPr>
              <w:spacing w:after="0" w:line="240" w:lineRule="auto"/>
              <w:rPr>
                <w:rFonts w:ascii="Times New Roman" w:eastAsia="Times New Roman" w:hAnsi="Times New Roman" w:cs="Times New Roman"/>
                <w:sz w:val="24"/>
                <w:szCs w:val="24"/>
                <w:lang w:eastAsia="en-GB"/>
              </w:rPr>
            </w:pPr>
            <w:bookmarkStart w:id="0" w:name="_GoBack"/>
            <w:bookmarkEnd w:id="0"/>
            <w:r w:rsidRPr="003231FF">
              <w:rPr>
                <w:rFonts w:ascii="Times New Roman" w:eastAsia="Times New Roman" w:hAnsi="Times New Roman" w:cs="Times New Roman"/>
                <w:sz w:val="24"/>
                <w:szCs w:val="24"/>
                <w:lang w:eastAsia="en-GB"/>
              </w:rPr>
              <w:t>{T 0/2}</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b/>
                <w:bCs/>
                <w:sz w:val="24"/>
                <w:szCs w:val="24"/>
                <w:lang w:eastAsia="en-GB"/>
              </w:rPr>
              <w:t xml:space="preserve">6B_7/2014 </w:t>
            </w:r>
          </w:p>
        </w:tc>
        <w:tc>
          <w:tcPr>
            <w:tcW w:w="0" w:type="auto"/>
            <w:vAlign w:val="center"/>
            <w:hideMark/>
          </w:tcPr>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xml:space="preserve">  </w:t>
            </w:r>
          </w:p>
        </w:tc>
        <w:tc>
          <w:tcPr>
            <w:tcW w:w="0" w:type="auto"/>
            <w:vAlign w:val="center"/>
            <w:hideMark/>
          </w:tcPr>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xml:space="preserve">  </w:t>
            </w:r>
          </w:p>
        </w:tc>
      </w:tr>
    </w:tbl>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proofErr w:type="spellStart"/>
      <w:r w:rsidRPr="003231FF">
        <w:rPr>
          <w:rFonts w:ascii="Times New Roman" w:eastAsia="Times New Roman" w:hAnsi="Times New Roman" w:cs="Times New Roman"/>
          <w:b/>
          <w:bCs/>
          <w:sz w:val="24"/>
          <w:szCs w:val="24"/>
          <w:lang w:eastAsia="en-GB"/>
        </w:rPr>
        <w:t>Arrêt</w:t>
      </w:r>
      <w:proofErr w:type="spellEnd"/>
      <w:r w:rsidRPr="003231FF">
        <w:rPr>
          <w:rFonts w:ascii="Times New Roman" w:eastAsia="Times New Roman" w:hAnsi="Times New Roman" w:cs="Times New Roman"/>
          <w:b/>
          <w:bCs/>
          <w:sz w:val="24"/>
          <w:szCs w:val="24"/>
          <w:lang w:eastAsia="en-GB"/>
        </w:rPr>
        <w:t xml:space="preserve"> du 21 </w:t>
      </w:r>
      <w:proofErr w:type="spellStart"/>
      <w:r w:rsidRPr="003231FF">
        <w:rPr>
          <w:rFonts w:ascii="Times New Roman" w:eastAsia="Times New Roman" w:hAnsi="Times New Roman" w:cs="Times New Roman"/>
          <w:b/>
          <w:bCs/>
          <w:sz w:val="24"/>
          <w:szCs w:val="24"/>
          <w:lang w:eastAsia="en-GB"/>
        </w:rPr>
        <w:t>juillet</w:t>
      </w:r>
      <w:proofErr w:type="spellEnd"/>
      <w:r w:rsidRPr="003231FF">
        <w:rPr>
          <w:rFonts w:ascii="Times New Roman" w:eastAsia="Times New Roman" w:hAnsi="Times New Roman" w:cs="Times New Roman"/>
          <w:b/>
          <w:bCs/>
          <w:sz w:val="24"/>
          <w:szCs w:val="24"/>
          <w:lang w:eastAsia="en-GB"/>
        </w:rPr>
        <w:t xml:space="preserve"> 2014</w:t>
      </w:r>
      <w:r w:rsidRPr="003231FF">
        <w:rPr>
          <w:rFonts w:ascii="Times New Roman" w:eastAsia="Times New Roman" w:hAnsi="Times New Roman" w:cs="Times New Roman"/>
          <w:sz w:val="24"/>
          <w:szCs w:val="24"/>
          <w:lang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proofErr w:type="spellStart"/>
      <w:r w:rsidRPr="003231FF">
        <w:rPr>
          <w:rFonts w:ascii="Times New Roman" w:eastAsia="Times New Roman" w:hAnsi="Times New Roman" w:cs="Times New Roman"/>
          <w:b/>
          <w:bCs/>
          <w:sz w:val="24"/>
          <w:szCs w:val="24"/>
          <w:lang w:eastAsia="en-GB"/>
        </w:rPr>
        <w:t>Cour</w:t>
      </w:r>
      <w:proofErr w:type="spellEnd"/>
      <w:r w:rsidRPr="003231FF">
        <w:rPr>
          <w:rFonts w:ascii="Times New Roman" w:eastAsia="Times New Roman" w:hAnsi="Times New Roman" w:cs="Times New Roman"/>
          <w:b/>
          <w:bCs/>
          <w:sz w:val="24"/>
          <w:szCs w:val="24"/>
          <w:lang w:eastAsia="en-GB"/>
        </w:rPr>
        <w:t xml:space="preserve"> de droit </w:t>
      </w:r>
      <w:proofErr w:type="spellStart"/>
      <w:r w:rsidRPr="003231FF">
        <w:rPr>
          <w:rFonts w:ascii="Times New Roman" w:eastAsia="Times New Roman" w:hAnsi="Times New Roman" w:cs="Times New Roman"/>
          <w:b/>
          <w:bCs/>
          <w:sz w:val="24"/>
          <w:szCs w:val="24"/>
          <w:lang w:eastAsia="en-GB"/>
        </w:rPr>
        <w:t>pénal</w:t>
      </w:r>
      <w:proofErr w:type="spellEnd"/>
      <w:r w:rsidRPr="003231FF">
        <w:rPr>
          <w:rFonts w:ascii="Times New Roman" w:eastAsia="Times New Roman" w:hAnsi="Times New Roman" w:cs="Times New Roman"/>
          <w:sz w:val="24"/>
          <w:szCs w:val="24"/>
          <w:lang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r w:rsidRPr="003231FF">
        <w:rPr>
          <w:rFonts w:ascii="Times New Roman" w:eastAsia="Times New Roman" w:hAnsi="Times New Roman" w:cs="Times New Roman"/>
          <w:sz w:val="24"/>
          <w:szCs w:val="24"/>
          <w:lang w:eastAsia="en-GB"/>
        </w:rPr>
        <w:t>Composition</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MM. et Mme les Juges fédéraux </w:t>
      </w:r>
      <w:proofErr w:type="spellStart"/>
      <w:r w:rsidRPr="003231FF">
        <w:rPr>
          <w:rFonts w:ascii="Times New Roman" w:eastAsia="Times New Roman" w:hAnsi="Times New Roman" w:cs="Times New Roman"/>
          <w:sz w:val="24"/>
          <w:szCs w:val="24"/>
          <w:lang w:val="fr-FR" w:eastAsia="en-GB"/>
        </w:rPr>
        <w:t>Mathys</w:t>
      </w:r>
      <w:proofErr w:type="spellEnd"/>
      <w:r w:rsidRPr="003231FF">
        <w:rPr>
          <w:rFonts w:ascii="Times New Roman" w:eastAsia="Times New Roman" w:hAnsi="Times New Roman" w:cs="Times New Roman"/>
          <w:sz w:val="24"/>
          <w:szCs w:val="24"/>
          <w:lang w:val="fr-FR" w:eastAsia="en-GB"/>
        </w:rPr>
        <w:t>, Président,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spellStart"/>
      <w:r w:rsidRPr="003231FF">
        <w:rPr>
          <w:rFonts w:ascii="Times New Roman" w:eastAsia="Times New Roman" w:hAnsi="Times New Roman" w:cs="Times New Roman"/>
          <w:sz w:val="24"/>
          <w:szCs w:val="24"/>
          <w:lang w:val="fr-FR" w:eastAsia="en-GB"/>
        </w:rPr>
        <w:t>Jacquemoud-Rossari</w:t>
      </w:r>
      <w:proofErr w:type="spellEnd"/>
      <w:r w:rsidRPr="003231FF">
        <w:rPr>
          <w:rFonts w:ascii="Times New Roman" w:eastAsia="Times New Roman" w:hAnsi="Times New Roman" w:cs="Times New Roman"/>
          <w:sz w:val="24"/>
          <w:szCs w:val="24"/>
          <w:lang w:val="fr-FR" w:eastAsia="en-GB"/>
        </w:rPr>
        <w:t xml:space="preserve"> et Oberholzer.</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Greffier : M. </w:t>
      </w:r>
      <w:proofErr w:type="spellStart"/>
      <w:r w:rsidRPr="003231FF">
        <w:rPr>
          <w:rFonts w:ascii="Times New Roman" w:eastAsia="Times New Roman" w:hAnsi="Times New Roman" w:cs="Times New Roman"/>
          <w:sz w:val="24"/>
          <w:szCs w:val="24"/>
          <w:lang w:val="fr-FR" w:eastAsia="en-GB"/>
        </w:rPr>
        <w:t>Vallat</w:t>
      </w:r>
      <w:proofErr w:type="spellEnd"/>
      <w:r w:rsidRPr="003231FF">
        <w:rPr>
          <w:rFonts w:ascii="Times New Roman" w:eastAsia="Times New Roman" w:hAnsi="Times New Roman" w:cs="Times New Roman"/>
          <w:sz w:val="24"/>
          <w:szCs w:val="24"/>
          <w:lang w:val="fr-FR" w:eastAsia="en-GB"/>
        </w:rPr>
        <w: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Participants à la procédure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X.________,</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gramStart"/>
      <w:r w:rsidRPr="003231FF">
        <w:rPr>
          <w:rFonts w:ascii="Times New Roman" w:eastAsia="Times New Roman" w:hAnsi="Times New Roman" w:cs="Times New Roman"/>
          <w:sz w:val="24"/>
          <w:szCs w:val="24"/>
          <w:lang w:val="fr-FR" w:eastAsia="en-GB"/>
        </w:rPr>
        <w:t>représentée</w:t>
      </w:r>
      <w:proofErr w:type="gramEnd"/>
      <w:r w:rsidRPr="003231FF">
        <w:rPr>
          <w:rFonts w:ascii="Times New Roman" w:eastAsia="Times New Roman" w:hAnsi="Times New Roman" w:cs="Times New Roman"/>
          <w:sz w:val="24"/>
          <w:szCs w:val="24"/>
          <w:lang w:val="fr-FR" w:eastAsia="en-GB"/>
        </w:rPr>
        <w:t xml:space="preserve"> par Mes Florian </w:t>
      </w:r>
      <w:proofErr w:type="spellStart"/>
      <w:r w:rsidRPr="003231FF">
        <w:rPr>
          <w:rFonts w:ascii="Times New Roman" w:eastAsia="Times New Roman" w:hAnsi="Times New Roman" w:cs="Times New Roman"/>
          <w:sz w:val="24"/>
          <w:szCs w:val="24"/>
          <w:lang w:val="fr-FR" w:eastAsia="en-GB"/>
        </w:rPr>
        <w:t>Wick</w:t>
      </w:r>
      <w:proofErr w:type="spellEnd"/>
      <w:r w:rsidRPr="003231FF">
        <w:rPr>
          <w:rFonts w:ascii="Times New Roman" w:eastAsia="Times New Roman" w:hAnsi="Times New Roman" w:cs="Times New Roman"/>
          <w:sz w:val="24"/>
          <w:szCs w:val="24"/>
          <w:lang w:val="fr-FR" w:eastAsia="en-GB"/>
        </w:rPr>
        <w:t xml:space="preserve"> et Marcel </w:t>
      </w:r>
      <w:proofErr w:type="spellStart"/>
      <w:r w:rsidRPr="003231FF">
        <w:rPr>
          <w:rFonts w:ascii="Times New Roman" w:eastAsia="Times New Roman" w:hAnsi="Times New Roman" w:cs="Times New Roman"/>
          <w:sz w:val="24"/>
          <w:szCs w:val="24"/>
          <w:lang w:val="fr-FR" w:eastAsia="en-GB"/>
        </w:rPr>
        <w:t>Bosonnet</w:t>
      </w:r>
      <w:proofErr w:type="spellEnd"/>
      <w:r w:rsidRPr="003231FF">
        <w:rPr>
          <w:rFonts w:ascii="Times New Roman" w:eastAsia="Times New Roman" w:hAnsi="Times New Roman" w:cs="Times New Roman"/>
          <w:sz w:val="24"/>
          <w:szCs w:val="24"/>
          <w:lang w:val="fr-FR" w:eastAsia="en-GB"/>
        </w:rPr>
        <w:t>, avocats,</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spellStart"/>
      <w:proofErr w:type="gramStart"/>
      <w:r w:rsidRPr="003231FF">
        <w:rPr>
          <w:rFonts w:ascii="Times New Roman" w:eastAsia="Times New Roman" w:hAnsi="Times New Roman" w:cs="Times New Roman"/>
          <w:sz w:val="24"/>
          <w:szCs w:val="24"/>
          <w:lang w:val="fr-FR" w:eastAsia="en-GB"/>
        </w:rPr>
        <w:t>recourante</w:t>
      </w:r>
      <w:proofErr w:type="spellEnd"/>
      <w:proofErr w:type="gramEnd"/>
      <w:r w:rsidRPr="003231FF">
        <w:rPr>
          <w:rFonts w:ascii="Times New Roman" w:eastAsia="Times New Roman" w:hAnsi="Times New Roman" w:cs="Times New Roman"/>
          <w:sz w:val="24"/>
          <w:szCs w:val="24"/>
          <w:lang w:val="fr-FR" w:eastAsia="en-GB"/>
        </w:rPr>
        <w: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gramStart"/>
      <w:r w:rsidRPr="003231FF">
        <w:rPr>
          <w:rFonts w:ascii="Times New Roman" w:eastAsia="Times New Roman" w:hAnsi="Times New Roman" w:cs="Times New Roman"/>
          <w:i/>
          <w:iCs/>
          <w:sz w:val="24"/>
          <w:szCs w:val="24"/>
          <w:lang w:val="fr-FR" w:eastAsia="en-GB"/>
        </w:rPr>
        <w:t>contre</w:t>
      </w:r>
      <w:proofErr w:type="gramEnd"/>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i/>
          <w:iCs/>
          <w:sz w:val="24"/>
          <w:szCs w:val="24"/>
          <w:lang w:val="fr-FR" w:eastAsia="en-GB"/>
        </w:rPr>
        <w:t>Ministère public central du canton de Vaud</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gramStart"/>
      <w:r w:rsidRPr="003231FF">
        <w:rPr>
          <w:rFonts w:ascii="Times New Roman" w:eastAsia="Times New Roman" w:hAnsi="Times New Roman" w:cs="Times New Roman"/>
          <w:sz w:val="24"/>
          <w:szCs w:val="24"/>
          <w:lang w:val="fr-FR" w:eastAsia="en-GB"/>
        </w:rPr>
        <w:t>intimé</w:t>
      </w:r>
      <w:proofErr w:type="gramEnd"/>
      <w:r w:rsidRPr="003231FF">
        <w:rPr>
          <w:rFonts w:ascii="Times New Roman" w:eastAsia="Times New Roman" w:hAnsi="Times New Roman" w:cs="Times New Roman"/>
          <w:sz w:val="24"/>
          <w:szCs w:val="24"/>
          <w:lang w:val="fr-FR" w:eastAsia="en-GB"/>
        </w:rPr>
        <w: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Objet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Ordonnance de non-entrée en matière (homicide par négligence; responsabilité subsidiaire de l'entreprise),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gramStart"/>
      <w:r w:rsidRPr="003231FF">
        <w:rPr>
          <w:rFonts w:ascii="Times New Roman" w:eastAsia="Times New Roman" w:hAnsi="Times New Roman" w:cs="Times New Roman"/>
          <w:sz w:val="24"/>
          <w:szCs w:val="24"/>
          <w:lang w:val="fr-FR" w:eastAsia="en-GB"/>
        </w:rPr>
        <w:t>recours</w:t>
      </w:r>
      <w:proofErr w:type="gramEnd"/>
      <w:r w:rsidRPr="003231FF">
        <w:rPr>
          <w:rFonts w:ascii="Times New Roman" w:eastAsia="Times New Roman" w:hAnsi="Times New Roman" w:cs="Times New Roman"/>
          <w:sz w:val="24"/>
          <w:szCs w:val="24"/>
          <w:lang w:val="fr-FR" w:eastAsia="en-GB"/>
        </w:rPr>
        <w:t xml:space="preserve"> contre l'arrêt du Tribunal cantonal du canton de Vaud, Chambre des recours pénale, du 17 septembre 2013.</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Faits :</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A.</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A.________, ancien employé de B.________ </w:t>
      </w:r>
      <w:proofErr w:type="spellStart"/>
      <w:r w:rsidRPr="003231FF">
        <w:rPr>
          <w:rFonts w:ascii="Times New Roman" w:eastAsia="Times New Roman" w:hAnsi="Times New Roman" w:cs="Times New Roman"/>
          <w:sz w:val="24"/>
          <w:szCs w:val="24"/>
          <w:lang w:val="fr-FR" w:eastAsia="en-GB"/>
        </w:rPr>
        <w:t>Ltda</w:t>
      </w:r>
      <w:proofErr w:type="spellEnd"/>
      <w:r w:rsidRPr="003231FF">
        <w:rPr>
          <w:rFonts w:ascii="Times New Roman" w:eastAsia="Times New Roman" w:hAnsi="Times New Roman" w:cs="Times New Roman"/>
          <w:sz w:val="24"/>
          <w:szCs w:val="24"/>
          <w:lang w:val="fr-FR" w:eastAsia="en-GB"/>
        </w:rPr>
        <w:t xml:space="preserve"> (filiale de C.________ SA à X.________, Colombie) et dirigeant syndical (D.________) a été enlevé et tué, entre le 10 et le 11 septembre 2005, par des paramilitaires colombiens. Le 13 mars 2012, X.________, sa veuve, a déposé plainte pénale auprès du Ministère public du canton de Zoug contre E.________, F.________, G.________, H.________ et I.________, qui occupaient tous, au moment des faits, à des degrés divers, une position dirigeante au sein du groupe C.________ SA. Elle reproche en substance à ces personnes, au titre d'un homicide par négligence, de n'avoir rien entrepris pour empêcher ce décès, subsidiairement à la société C.________ SA d'en répondre en application de l'art. 102 al. 1 CP.</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lastRenderedPageBreak/>
        <w:t>Après avoir repris l'enquête (ordonnance du 12 juin 2012 confirmée par le Tribunal pénal fédéral le 14 novembre 2012; BG2012.25), le Procureur général adjoint du Ministère public central du canton de Vaud a rendu, le 1er mai 2013, une ordonnance de non-entrée en matière, en raison de la prescription de l'infraction d'homicide par négligence.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B.</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Par arrêt du 17 septembre 2013, la Chambre des recours pénale du Tribunal cantonal vaudois a rejeté le recours formé par X.________ contre cette ordonnance.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C.</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La plaignante recourt en matière pénale contre cette décision concluant à son annulation, respectivement à celle de l'ordonnance de non-entrée en matière, et au renvoi de la cause au Ministère public du canton de Vaud afin qu'il procède aux actes d'enquête nécessaires. Elle requiert, par ailleurs, le bénéfice de l'assistance judiciaire.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Considérant en droit :</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1.</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L'arrêt attaqué confirme la décision de non-entrée en matière dans la présente procédure pénale. Le recours en matière pénale au sens de l'art. 78 LTF est ouvert. Rendu par l'autorité cantonale de dernière instance (art. 80 al. 1 LTF), l'arrêt attaqué a un caractère final (art. 90 LTF).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a agi en temps utile (art. 100 al. 1 LTF).</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 Selon l'art. 81 al. 1 let. </w:t>
      </w:r>
      <w:proofErr w:type="gramStart"/>
      <w:r w:rsidRPr="003231FF">
        <w:rPr>
          <w:rFonts w:ascii="Times New Roman" w:eastAsia="Times New Roman" w:hAnsi="Times New Roman" w:cs="Times New Roman"/>
          <w:sz w:val="24"/>
          <w:szCs w:val="24"/>
          <w:lang w:val="fr-FR" w:eastAsia="en-GB"/>
        </w:rPr>
        <w:t>a</w:t>
      </w:r>
      <w:proofErr w:type="gramEnd"/>
      <w:r w:rsidRPr="003231FF">
        <w:rPr>
          <w:rFonts w:ascii="Times New Roman" w:eastAsia="Times New Roman" w:hAnsi="Times New Roman" w:cs="Times New Roman"/>
          <w:sz w:val="24"/>
          <w:szCs w:val="24"/>
          <w:lang w:val="fr-FR" w:eastAsia="en-GB"/>
        </w:rPr>
        <w:t xml:space="preserve"> et b ch. 5 LTF, la partie plaignante qui a participé à la procédure de dernière instance cantonale est habilitée à recourir au Tribunal fédéral si la décision attaquée peut avoir des effets sur le jugement de ses prétentions civiles. Lorsque le recours est dirigé contre une décision de non-entrée en matière ou de classement de l'action pénale, il n'est pas nécessaire que la partie plaignante ait déjà pris des conclusions civiles (</w:t>
      </w:r>
      <w:hyperlink r:id="rId4" w:anchor="page246" w:history="1">
        <w:r w:rsidRPr="003231FF">
          <w:rPr>
            <w:rFonts w:ascii="Times New Roman" w:eastAsia="Times New Roman" w:hAnsi="Times New Roman" w:cs="Times New Roman"/>
            <w:color w:val="0000FF"/>
            <w:sz w:val="24"/>
            <w:szCs w:val="24"/>
            <w:u w:val="single"/>
            <w:lang w:val="fr-FR" w:eastAsia="en-GB"/>
          </w:rPr>
          <w:t>ATF 137 IV 246</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1.3.1 p. 248). Elle doit, en revanche, expliquer dans son mémoire quelles prétentions elle entend faire valoir contre l'intimé (à moins que cela puisse se déduire directement et sans ambiguïté notamment de la nature de l'infraction alléguée) et en quoi leur jugement pourrait être influencé négativement par la décision querellée (</w:t>
      </w:r>
      <w:hyperlink r:id="rId5" w:anchor="page219" w:history="1">
        <w:r w:rsidRPr="003231FF">
          <w:rPr>
            <w:rFonts w:ascii="Times New Roman" w:eastAsia="Times New Roman" w:hAnsi="Times New Roman" w:cs="Times New Roman"/>
            <w:color w:val="0000FF"/>
            <w:sz w:val="24"/>
            <w:szCs w:val="24"/>
            <w:u w:val="single"/>
            <w:lang w:val="fr-FR" w:eastAsia="en-GB"/>
          </w:rPr>
          <w:t>ATF 137 IV 219</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2.4 p. 222 et les arrêts cités).</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1.1.</w:t>
      </w:r>
      <w:r w:rsidRPr="003231FF">
        <w:rPr>
          <w:rFonts w:ascii="Times New Roman" w:eastAsia="Times New Roman" w:hAnsi="Times New Roman" w:cs="Times New Roman"/>
          <w:sz w:val="24"/>
          <w:szCs w:val="24"/>
          <w:lang w:val="fr-FR" w:eastAsia="en-GB"/>
        </w:rPr>
        <w:t xml:space="preserve"> En l'espèce,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a pris part à la procédure devant la cour cantonale. Au stade où se trouve la procédure, on ne saurait lui reprocher de n'avoir pas encore pris formellement des conclusions et, comme elle l'allègue, elle peut élever, en qualité de proche de la victime, des prétentions civiles, notamment pour tort moral et perte de soutien. Elle a dès lors qualité pour agir au sens de l'art. 81 al. 1 let. </w:t>
      </w:r>
      <w:proofErr w:type="gramStart"/>
      <w:r w:rsidRPr="003231FF">
        <w:rPr>
          <w:rFonts w:ascii="Times New Roman" w:eastAsia="Times New Roman" w:hAnsi="Times New Roman" w:cs="Times New Roman"/>
          <w:sz w:val="24"/>
          <w:szCs w:val="24"/>
          <w:lang w:val="fr-FR" w:eastAsia="en-GB"/>
        </w:rPr>
        <w:t>b</w:t>
      </w:r>
      <w:proofErr w:type="gramEnd"/>
      <w:r w:rsidRPr="003231FF">
        <w:rPr>
          <w:rFonts w:ascii="Times New Roman" w:eastAsia="Times New Roman" w:hAnsi="Times New Roman" w:cs="Times New Roman"/>
          <w:sz w:val="24"/>
          <w:szCs w:val="24"/>
          <w:lang w:val="fr-FR" w:eastAsia="en-GB"/>
        </w:rPr>
        <w:t xml:space="preserve"> ch. 5 LTF (</w:t>
      </w:r>
      <w:hyperlink r:id="rId6" w:anchor="page186" w:history="1">
        <w:r w:rsidRPr="003231FF">
          <w:rPr>
            <w:rFonts w:ascii="Times New Roman" w:eastAsia="Times New Roman" w:hAnsi="Times New Roman" w:cs="Times New Roman"/>
            <w:color w:val="0000FF"/>
            <w:sz w:val="24"/>
            <w:szCs w:val="24"/>
            <w:u w:val="single"/>
            <w:lang w:val="fr-FR" w:eastAsia="en-GB"/>
          </w:rPr>
          <w:t>ATF 138 IV 186</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1.4 p. 189 s.) en relation avec le classement de sa plainte pour homicide par négligence.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1.2.</w:t>
      </w:r>
      <w:r w:rsidRPr="003231FF">
        <w:rPr>
          <w:rFonts w:ascii="Times New Roman" w:eastAsia="Times New Roman" w:hAnsi="Times New Roman" w:cs="Times New Roman"/>
          <w:sz w:val="24"/>
          <w:szCs w:val="24"/>
          <w:lang w:val="fr-FR" w:eastAsia="en-GB"/>
        </w:rPr>
        <w:t xml:space="preserve"> On peut encore se demander si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est également légitimée pour recourir en tant que le classement a trait à la responsabilité subsidiaire de l'entreprise (art. 102 al. 1 CP). Tel pourrait éventuellement être le cas si cette disposition devait être interprétée comme une norme d'imputation à l'entreprise d'une infraction de base (in </w:t>
      </w:r>
      <w:proofErr w:type="spellStart"/>
      <w:r w:rsidRPr="003231FF">
        <w:rPr>
          <w:rFonts w:ascii="Times New Roman" w:eastAsia="Times New Roman" w:hAnsi="Times New Roman" w:cs="Times New Roman"/>
          <w:sz w:val="24"/>
          <w:szCs w:val="24"/>
          <w:lang w:val="fr-FR" w:eastAsia="en-GB"/>
        </w:rPr>
        <w:t>casu</w:t>
      </w:r>
      <w:proofErr w:type="spellEnd"/>
      <w:r w:rsidRPr="003231FF">
        <w:rPr>
          <w:rFonts w:ascii="Times New Roman" w:eastAsia="Times New Roman" w:hAnsi="Times New Roman" w:cs="Times New Roman"/>
          <w:sz w:val="24"/>
          <w:szCs w:val="24"/>
          <w:lang w:val="fr-FR" w:eastAsia="en-GB"/>
        </w:rPr>
        <w:t xml:space="preserve"> un homicide) dont les personnes physiques qui en sont les auteurs ne peuvent être identifiées au sein de l'entreprise. On peut, en revanche, sérieusement douter qu'une telle légitimation puisse être admise si la norme devait être appréhendée comme une contravention ou un délit contre l'administration de la justice (sur ces questions de qualification, v. infra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3.4). En effet,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w:t>
      </w:r>
      <w:r w:rsidRPr="003231FF">
        <w:rPr>
          <w:rFonts w:ascii="Times New Roman" w:eastAsia="Times New Roman" w:hAnsi="Times New Roman" w:cs="Times New Roman"/>
          <w:sz w:val="24"/>
          <w:szCs w:val="24"/>
          <w:lang w:val="fr-FR" w:eastAsia="en-GB"/>
        </w:rPr>
        <w:lastRenderedPageBreak/>
        <w:t>n'est pas titulaire de ce bien juridique dont elle ne peut invoquer l'atteinte pour prétendre être lésée et fonder sa qualité pour recourir (</w:t>
      </w:r>
      <w:hyperlink r:id="rId7" w:anchor="page258" w:history="1">
        <w:r w:rsidRPr="003231FF">
          <w:rPr>
            <w:rFonts w:ascii="Times New Roman" w:eastAsia="Times New Roman" w:hAnsi="Times New Roman" w:cs="Times New Roman"/>
            <w:color w:val="0000FF"/>
            <w:sz w:val="24"/>
            <w:szCs w:val="24"/>
            <w:u w:val="single"/>
            <w:lang w:val="fr-FR" w:eastAsia="en-GB"/>
          </w:rPr>
          <w:t>ATF 138 IV 258</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2 p. 262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w:t>
      </w:r>
      <w:hyperlink r:id="rId8" w:anchor="page95" w:history="1">
        <w:r w:rsidRPr="003231FF">
          <w:rPr>
            <w:rFonts w:ascii="Times New Roman" w:eastAsia="Times New Roman" w:hAnsi="Times New Roman" w:cs="Times New Roman"/>
            <w:color w:val="0000FF"/>
            <w:sz w:val="24"/>
            <w:szCs w:val="24"/>
            <w:u w:val="single"/>
            <w:lang w:val="fr-FR" w:eastAsia="en-GB"/>
          </w:rPr>
          <w:t>129 IV 95</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3.1 p. 98 s.; arrêt 6B_28/2012 du 11 décembre 2012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1.4.1). Cette question, qui ne peut être entièrement séparée du fond de la cause, souffre toutefois de demeurer indécise en l'espèce pour les motifs qui suivent.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invoque la violation du principe de la légalité en corrélation avec la maxime  </w:t>
      </w:r>
      <w:r w:rsidRPr="003231FF">
        <w:rPr>
          <w:rFonts w:ascii="Times New Roman" w:eastAsia="Times New Roman" w:hAnsi="Times New Roman" w:cs="Times New Roman"/>
          <w:i/>
          <w:iCs/>
          <w:sz w:val="24"/>
          <w:szCs w:val="24"/>
          <w:lang w:val="fr-FR" w:eastAsia="en-GB"/>
        </w:rPr>
        <w:t xml:space="preserve">in </w:t>
      </w:r>
      <w:proofErr w:type="spellStart"/>
      <w:r w:rsidRPr="003231FF">
        <w:rPr>
          <w:rFonts w:ascii="Times New Roman" w:eastAsia="Times New Roman" w:hAnsi="Times New Roman" w:cs="Times New Roman"/>
          <w:i/>
          <w:iCs/>
          <w:sz w:val="24"/>
          <w:szCs w:val="24"/>
          <w:lang w:val="fr-FR" w:eastAsia="en-GB"/>
        </w:rPr>
        <w:t>dubio</w:t>
      </w:r>
      <w:proofErr w:type="spellEnd"/>
      <w:r w:rsidRPr="003231FF">
        <w:rPr>
          <w:rFonts w:ascii="Times New Roman" w:eastAsia="Times New Roman" w:hAnsi="Times New Roman" w:cs="Times New Roman"/>
          <w:i/>
          <w:iCs/>
          <w:sz w:val="24"/>
          <w:szCs w:val="24"/>
          <w:lang w:val="fr-FR" w:eastAsia="en-GB"/>
        </w:rPr>
        <w:t xml:space="preserve"> pro </w:t>
      </w:r>
      <w:proofErr w:type="spellStart"/>
      <w:r w:rsidRPr="003231FF">
        <w:rPr>
          <w:rFonts w:ascii="Times New Roman" w:eastAsia="Times New Roman" w:hAnsi="Times New Roman" w:cs="Times New Roman"/>
          <w:i/>
          <w:iCs/>
          <w:sz w:val="24"/>
          <w:szCs w:val="24"/>
          <w:lang w:val="fr-FR" w:eastAsia="en-GB"/>
        </w:rPr>
        <w:t>duriore</w:t>
      </w:r>
      <w:proofErr w:type="spellEnd"/>
      <w:r w:rsidRPr="003231FF">
        <w:rPr>
          <w:rFonts w:ascii="Times New Roman" w:eastAsia="Times New Roman" w:hAnsi="Times New Roman" w:cs="Times New Roman"/>
          <w:sz w:val="24"/>
          <w:szCs w:val="24"/>
          <w:lang w:val="fr-FR" w:eastAsia="en-GB"/>
        </w:rPr>
        <w:t xml:space="preserve"> (art. 7 al. 1 et 310 al. 1 CPP).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2.1.</w:t>
      </w:r>
      <w:r w:rsidRPr="003231FF">
        <w:rPr>
          <w:rFonts w:ascii="Times New Roman" w:eastAsia="Times New Roman" w:hAnsi="Times New Roman" w:cs="Times New Roman"/>
          <w:sz w:val="24"/>
          <w:szCs w:val="24"/>
          <w:lang w:val="fr-FR" w:eastAsia="en-GB"/>
        </w:rPr>
        <w:t xml:space="preserve"> Selon la jurisprudence l'adage  </w:t>
      </w:r>
      <w:r w:rsidRPr="003231FF">
        <w:rPr>
          <w:rFonts w:ascii="Times New Roman" w:eastAsia="Times New Roman" w:hAnsi="Times New Roman" w:cs="Times New Roman"/>
          <w:i/>
          <w:iCs/>
          <w:sz w:val="24"/>
          <w:szCs w:val="24"/>
          <w:lang w:val="fr-FR" w:eastAsia="en-GB"/>
        </w:rPr>
        <w:t xml:space="preserve">in </w:t>
      </w:r>
      <w:proofErr w:type="spellStart"/>
      <w:r w:rsidRPr="003231FF">
        <w:rPr>
          <w:rFonts w:ascii="Times New Roman" w:eastAsia="Times New Roman" w:hAnsi="Times New Roman" w:cs="Times New Roman"/>
          <w:i/>
          <w:iCs/>
          <w:sz w:val="24"/>
          <w:szCs w:val="24"/>
          <w:lang w:val="fr-FR" w:eastAsia="en-GB"/>
        </w:rPr>
        <w:t>dubio</w:t>
      </w:r>
      <w:proofErr w:type="spellEnd"/>
      <w:r w:rsidRPr="003231FF">
        <w:rPr>
          <w:rFonts w:ascii="Times New Roman" w:eastAsia="Times New Roman" w:hAnsi="Times New Roman" w:cs="Times New Roman"/>
          <w:i/>
          <w:iCs/>
          <w:sz w:val="24"/>
          <w:szCs w:val="24"/>
          <w:lang w:val="fr-FR" w:eastAsia="en-GB"/>
        </w:rPr>
        <w:t xml:space="preserve"> pro </w:t>
      </w:r>
      <w:proofErr w:type="spellStart"/>
      <w:r w:rsidRPr="003231FF">
        <w:rPr>
          <w:rFonts w:ascii="Times New Roman" w:eastAsia="Times New Roman" w:hAnsi="Times New Roman" w:cs="Times New Roman"/>
          <w:i/>
          <w:iCs/>
          <w:sz w:val="24"/>
          <w:szCs w:val="24"/>
          <w:lang w:val="fr-FR" w:eastAsia="en-GB"/>
        </w:rPr>
        <w:t>duriore</w:t>
      </w:r>
      <w:proofErr w:type="spellEnd"/>
      <w:r w:rsidRPr="003231FF">
        <w:rPr>
          <w:rFonts w:ascii="Times New Roman" w:eastAsia="Times New Roman" w:hAnsi="Times New Roman" w:cs="Times New Roman"/>
          <w:sz w:val="24"/>
          <w:szCs w:val="24"/>
          <w:lang w:val="fr-FR" w:eastAsia="en-GB"/>
        </w:rPr>
        <w:t xml:space="preserve"> découle du principe de la légalité (art. 5 al. 1 </w:t>
      </w:r>
      <w:proofErr w:type="spellStart"/>
      <w:r w:rsidRPr="003231FF">
        <w:rPr>
          <w:rFonts w:ascii="Times New Roman" w:eastAsia="Times New Roman" w:hAnsi="Times New Roman" w:cs="Times New Roman"/>
          <w:sz w:val="24"/>
          <w:szCs w:val="24"/>
          <w:lang w:val="fr-FR" w:eastAsia="en-GB"/>
        </w:rPr>
        <w:t>Cst</w:t>
      </w:r>
      <w:proofErr w:type="spellEnd"/>
      <w:r w:rsidRPr="003231FF">
        <w:rPr>
          <w:rFonts w:ascii="Times New Roman" w:eastAsia="Times New Roman" w:hAnsi="Times New Roman" w:cs="Times New Roman"/>
          <w:sz w:val="24"/>
          <w:szCs w:val="24"/>
          <w:lang w:val="fr-FR" w:eastAsia="en-GB"/>
        </w:rPr>
        <w:t xml:space="preserve">. et 2 al. 2 CPP en relation avec les art. 319 al. 1 et 324 CPP; </w:t>
      </w:r>
      <w:hyperlink r:id="rId9" w:anchor="page86" w:history="1">
        <w:r w:rsidRPr="003231FF">
          <w:rPr>
            <w:rFonts w:ascii="Times New Roman" w:eastAsia="Times New Roman" w:hAnsi="Times New Roman" w:cs="Times New Roman"/>
            <w:color w:val="0000FF"/>
            <w:sz w:val="24"/>
            <w:szCs w:val="24"/>
            <w:u w:val="single"/>
            <w:lang w:val="fr-FR" w:eastAsia="en-GB"/>
          </w:rPr>
          <w:t>ATF 138 IV 86</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4.2 p. 91) et signifie qu'en principe un classement ou une non-entrée en matière ne peuvent être prononcés par le ministère public que lorsqu'il apparaît clairement que les faits ne sont pas punissables ou que les conditions à la poursuite pénale ne sont pas remplies. Le ministère public et l'autorité de recours disposent, dans ce cadre, d'un pouvoir d'appréciation que le Tribunal fédéral revoit avec retenue. La procédure doit se poursuivre lorsqu'une condamnation apparaît plus vraisemblable qu'un acquittement ou lorsque les probabilités d'acquittement et de condamnation apparaissent équivalentes, en particulier en présence d'une infraction grave (</w:t>
      </w:r>
      <w:hyperlink r:id="rId10" w:anchor="page86" w:history="1">
        <w:r w:rsidRPr="003231FF">
          <w:rPr>
            <w:rFonts w:ascii="Times New Roman" w:eastAsia="Times New Roman" w:hAnsi="Times New Roman" w:cs="Times New Roman"/>
            <w:color w:val="0000FF"/>
            <w:sz w:val="24"/>
            <w:szCs w:val="24"/>
            <w:u w:val="single"/>
            <w:lang w:val="fr-FR" w:eastAsia="en-GB"/>
          </w:rPr>
          <w:t>ATF 138 IV 86</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4.1.2 p. 91).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2.2.</w:t>
      </w:r>
      <w:r w:rsidRPr="003231FF">
        <w:rPr>
          <w:rFonts w:ascii="Times New Roman" w:eastAsia="Times New Roman" w:hAnsi="Times New Roman" w:cs="Times New Roman"/>
          <w:sz w:val="24"/>
          <w:szCs w:val="24"/>
          <w:lang w:val="fr-FR" w:eastAsia="en-GB"/>
        </w:rPr>
        <w:t xml:space="preserv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reproche aux autorités cantonales de n'avoir pas envisagé l'éventualité d'un homicide par dol éventuel, qui ne serait pas prescrit, mais, en partant uniquement de l'intitulé de la plainte, de n'avoir considéré que l'hypothèse d'un homicide par négligence.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2.2.1.</w:t>
      </w:r>
      <w:r w:rsidRPr="003231FF">
        <w:rPr>
          <w:rFonts w:ascii="Times New Roman" w:eastAsia="Times New Roman" w:hAnsi="Times New Roman" w:cs="Times New Roman"/>
          <w:sz w:val="24"/>
          <w:szCs w:val="24"/>
          <w:lang w:val="fr-FR" w:eastAsia="en-GB"/>
        </w:rPr>
        <w:t xml:space="preserve"> On renvoie sur la distinction entre dol éventuel et négligence, ainsi que sur l'établissement des faits déterminants, aux principes maintes fois répétés dans la jurisprudence (v. notamment: </w:t>
      </w:r>
      <w:hyperlink r:id="rId11" w:anchor="page26" w:history="1">
        <w:r w:rsidRPr="003231FF">
          <w:rPr>
            <w:rFonts w:ascii="Times New Roman" w:eastAsia="Times New Roman" w:hAnsi="Times New Roman" w:cs="Times New Roman"/>
            <w:color w:val="0000FF"/>
            <w:sz w:val="24"/>
            <w:szCs w:val="24"/>
            <w:u w:val="single"/>
            <w:lang w:val="fr-FR" w:eastAsia="en-GB"/>
          </w:rPr>
          <w:t>ATF 134 IV 26</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3.2.2 et 3.2.4, p. 28 </w:t>
      </w:r>
      <w:proofErr w:type="gramStart"/>
      <w:r w:rsidRPr="003231FF">
        <w:rPr>
          <w:rFonts w:ascii="Times New Roman" w:eastAsia="Times New Roman" w:hAnsi="Times New Roman" w:cs="Times New Roman"/>
          <w:sz w:val="24"/>
          <w:szCs w:val="24"/>
          <w:lang w:val="fr-FR" w:eastAsia="en-GB"/>
        </w:rPr>
        <w:t>s.;</w:t>
      </w:r>
      <w:proofErr w:type="gramEnd"/>
      <w:r w:rsidRPr="003231FF">
        <w:rPr>
          <w:rFonts w:ascii="Times New Roman" w:eastAsia="Times New Roman" w:hAnsi="Times New Roman" w:cs="Times New Roman"/>
          <w:sz w:val="24"/>
          <w:szCs w:val="24"/>
          <w:lang w:val="fr-FR" w:eastAsia="en-GB"/>
        </w:rPr>
        <w:t xml:space="preserve"> </w:t>
      </w:r>
      <w:hyperlink r:id="rId12" w:anchor="page9" w:history="1">
        <w:r w:rsidRPr="003231FF">
          <w:rPr>
            <w:rFonts w:ascii="Times New Roman" w:eastAsia="Times New Roman" w:hAnsi="Times New Roman" w:cs="Times New Roman"/>
            <w:color w:val="0000FF"/>
            <w:sz w:val="24"/>
            <w:szCs w:val="24"/>
            <w:u w:val="single"/>
            <w:lang w:val="fr-FR" w:eastAsia="en-GB"/>
          </w:rPr>
          <w:t>133 IV 9</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4.1 p. 16 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2.2.2.</w:t>
      </w:r>
      <w:r w:rsidRPr="003231FF">
        <w:rPr>
          <w:rFonts w:ascii="Times New Roman" w:eastAsia="Times New Roman" w:hAnsi="Times New Roman" w:cs="Times New Roman"/>
          <w:sz w:val="24"/>
          <w:szCs w:val="24"/>
          <w:lang w:val="fr-FR" w:eastAsia="en-GB"/>
        </w:rPr>
        <w:t xml:space="preserve"> Rien n'indique, tout d'abord, que la cour cantonale se serait fondée exclusivement sur l'intitulé de la plainte. Cela ne ressort, en tous les cas, pas des motifs de la décision querellée cependant que, outre l'intitulé, le contenu de la plainte indiquait très clairement la nature de l'infraction que la plaignante reprochait aux personnes dénoncées. Sur près de 100 pages,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y faisait presqu'exclusivement état de reproches consistant en négligences, respectivement en imprudences, tant dans la description des faits qu'en ce qui concerne les qualifications juridiques. Ainsi, même s'il incombait au juge d'opérer ces qualifications, le contenu de la plainte ne constituait pas moins un indice important quant aux infractions susceptibles d'entrer en ligne de compte.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 A l'opposé, l'élément subjectif sous forme du dol éventuel n'était esquissé que dans un unique contexte, dans lequel la plaignante écrivait: « Pour supposer un acte délibéré sous la forme de la complicité, il faudra cependant découvrir plus d'informations pour pouvoir assumer une résolution criminelle orientée à l'acte principal ou à la possibilité de l'acte principal prise par des accusés respectifs » (plainte, p. 81; texte allemand, p. 86: «  </w:t>
      </w:r>
      <w:r w:rsidRPr="003231FF">
        <w:rPr>
          <w:rFonts w:ascii="Times New Roman" w:eastAsia="Times New Roman" w:hAnsi="Times New Roman" w:cs="Times New Roman"/>
          <w:i/>
          <w:iCs/>
          <w:sz w:val="24"/>
          <w:szCs w:val="24"/>
          <w:lang w:val="fr-FR" w:eastAsia="en-GB"/>
        </w:rPr>
        <w:t xml:space="preserve">Um </w:t>
      </w:r>
      <w:proofErr w:type="spellStart"/>
      <w:r w:rsidRPr="003231FF">
        <w:rPr>
          <w:rFonts w:ascii="Times New Roman" w:eastAsia="Times New Roman" w:hAnsi="Times New Roman" w:cs="Times New Roman"/>
          <w:i/>
          <w:iCs/>
          <w:sz w:val="24"/>
          <w:szCs w:val="24"/>
          <w:lang w:val="fr-FR" w:eastAsia="en-GB"/>
        </w:rPr>
        <w:t>dagegen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von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vorsätzlichem</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Handeln</w:t>
      </w:r>
      <w:proofErr w:type="spellEnd"/>
      <w:r w:rsidRPr="003231FF">
        <w:rPr>
          <w:rFonts w:ascii="Times New Roman" w:eastAsia="Times New Roman" w:hAnsi="Times New Roman" w:cs="Times New Roman"/>
          <w:i/>
          <w:iCs/>
          <w:sz w:val="24"/>
          <w:szCs w:val="24"/>
          <w:lang w:val="fr-FR" w:eastAsia="en-GB"/>
        </w:rPr>
        <w:t xml:space="preserve"> in </w:t>
      </w:r>
      <w:proofErr w:type="spellStart"/>
      <w:r w:rsidRPr="003231FF">
        <w:rPr>
          <w:rFonts w:ascii="Times New Roman" w:eastAsia="Times New Roman" w:hAnsi="Times New Roman" w:cs="Times New Roman"/>
          <w:i/>
          <w:iCs/>
          <w:sz w:val="24"/>
          <w:szCs w:val="24"/>
          <w:lang w:val="fr-FR" w:eastAsia="en-GB"/>
        </w:rPr>
        <w:t>Form</w:t>
      </w:r>
      <w:proofErr w:type="spellEnd"/>
      <w:r w:rsidRPr="003231FF">
        <w:rPr>
          <w:rFonts w:ascii="Times New Roman" w:eastAsia="Times New Roman" w:hAnsi="Times New Roman" w:cs="Times New Roman"/>
          <w:i/>
          <w:iCs/>
          <w:sz w:val="24"/>
          <w:szCs w:val="24"/>
          <w:lang w:val="fr-FR" w:eastAsia="en-GB"/>
        </w:rPr>
        <w:t xml:space="preserve"> der </w:t>
      </w:r>
      <w:proofErr w:type="spellStart"/>
      <w:r w:rsidRPr="003231FF">
        <w:rPr>
          <w:rFonts w:ascii="Times New Roman" w:eastAsia="Times New Roman" w:hAnsi="Times New Roman" w:cs="Times New Roman"/>
          <w:i/>
          <w:iCs/>
          <w:sz w:val="24"/>
          <w:szCs w:val="24"/>
          <w:lang w:val="fr-FR" w:eastAsia="en-GB"/>
        </w:rPr>
        <w:t>Beihilfe</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auszugehen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müssten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noch</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weitere</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Hinweise</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ermittelt</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werden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um</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einen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auf</w:t>
      </w:r>
      <w:proofErr w:type="spellEnd"/>
      <w:r w:rsidRPr="003231FF">
        <w:rPr>
          <w:rFonts w:ascii="Times New Roman" w:eastAsia="Times New Roman" w:hAnsi="Times New Roman" w:cs="Times New Roman"/>
          <w:i/>
          <w:iCs/>
          <w:sz w:val="24"/>
          <w:szCs w:val="24"/>
          <w:lang w:val="fr-FR" w:eastAsia="en-GB"/>
        </w:rPr>
        <w:t xml:space="preserve"> die </w:t>
      </w:r>
      <w:proofErr w:type="spellStart"/>
      <w:r w:rsidRPr="003231FF">
        <w:rPr>
          <w:rFonts w:ascii="Times New Roman" w:eastAsia="Times New Roman" w:hAnsi="Times New Roman" w:cs="Times New Roman"/>
          <w:i/>
          <w:iCs/>
          <w:sz w:val="24"/>
          <w:szCs w:val="24"/>
          <w:lang w:val="fr-FR" w:eastAsia="en-GB"/>
        </w:rPr>
        <w:t>Haupttat</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oder</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auf</w:t>
      </w:r>
      <w:proofErr w:type="spellEnd"/>
      <w:r w:rsidRPr="003231FF">
        <w:rPr>
          <w:rFonts w:ascii="Times New Roman" w:eastAsia="Times New Roman" w:hAnsi="Times New Roman" w:cs="Times New Roman"/>
          <w:i/>
          <w:iCs/>
          <w:sz w:val="24"/>
          <w:szCs w:val="24"/>
          <w:lang w:val="fr-FR" w:eastAsia="en-GB"/>
        </w:rPr>
        <w:t xml:space="preserve"> die </w:t>
      </w:r>
      <w:proofErr w:type="spellStart"/>
      <w:r w:rsidRPr="003231FF">
        <w:rPr>
          <w:rFonts w:ascii="Times New Roman" w:eastAsia="Times New Roman" w:hAnsi="Times New Roman" w:cs="Times New Roman"/>
          <w:i/>
          <w:iCs/>
          <w:sz w:val="24"/>
          <w:szCs w:val="24"/>
          <w:lang w:val="fr-FR" w:eastAsia="en-GB"/>
        </w:rPr>
        <w:t>Möglichkeit</w:t>
      </w:r>
      <w:proofErr w:type="spellEnd"/>
      <w:r w:rsidRPr="003231FF">
        <w:rPr>
          <w:rFonts w:ascii="Times New Roman" w:eastAsia="Times New Roman" w:hAnsi="Times New Roman" w:cs="Times New Roman"/>
          <w:i/>
          <w:iCs/>
          <w:sz w:val="24"/>
          <w:szCs w:val="24"/>
          <w:lang w:val="fr-FR" w:eastAsia="en-GB"/>
        </w:rPr>
        <w:t xml:space="preserve"> der </w:t>
      </w:r>
      <w:proofErr w:type="spellStart"/>
      <w:r w:rsidRPr="003231FF">
        <w:rPr>
          <w:rFonts w:ascii="Times New Roman" w:eastAsia="Times New Roman" w:hAnsi="Times New Roman" w:cs="Times New Roman"/>
          <w:i/>
          <w:iCs/>
          <w:sz w:val="24"/>
          <w:szCs w:val="24"/>
          <w:lang w:val="fr-FR" w:eastAsia="en-GB"/>
        </w:rPr>
        <w:t>Haupttat</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gerichteten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Tatentschluss</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bei</w:t>
      </w:r>
      <w:proofErr w:type="spellEnd"/>
      <w:r w:rsidRPr="003231FF">
        <w:rPr>
          <w:rFonts w:ascii="Times New Roman" w:eastAsia="Times New Roman" w:hAnsi="Times New Roman" w:cs="Times New Roman"/>
          <w:i/>
          <w:iCs/>
          <w:sz w:val="24"/>
          <w:szCs w:val="24"/>
          <w:lang w:val="fr-FR" w:eastAsia="en-GB"/>
        </w:rPr>
        <w:t xml:space="preserve"> den </w:t>
      </w:r>
      <w:proofErr w:type="spellStart"/>
      <w:r w:rsidRPr="003231FF">
        <w:rPr>
          <w:rFonts w:ascii="Times New Roman" w:eastAsia="Times New Roman" w:hAnsi="Times New Roman" w:cs="Times New Roman"/>
          <w:i/>
          <w:iCs/>
          <w:sz w:val="24"/>
          <w:szCs w:val="24"/>
          <w:lang w:val="fr-FR" w:eastAsia="en-GB"/>
        </w:rPr>
        <w:t>jeweiligen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Beschuldigten</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anzunehmen</w:t>
      </w:r>
      <w:proofErr w:type="spellEnd"/>
      <w:r w:rsidRPr="003231FF">
        <w:rPr>
          <w:rFonts w:ascii="Times New Roman" w:eastAsia="Times New Roman" w:hAnsi="Times New Roman" w:cs="Times New Roman"/>
          <w:sz w:val="24"/>
          <w:szCs w:val="24"/>
          <w:lang w:val="fr-FR" w:eastAsia="en-GB"/>
        </w:rPr>
        <w:t xml:space="preserve"> »).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indiquait ainsi expressément elle-même, dans sa plainte, n'être pas en mesure d'alléguer un </w:t>
      </w:r>
      <w:r w:rsidRPr="003231FF">
        <w:rPr>
          <w:rFonts w:ascii="Times New Roman" w:eastAsia="Times New Roman" w:hAnsi="Times New Roman" w:cs="Times New Roman"/>
          <w:sz w:val="24"/>
          <w:szCs w:val="24"/>
          <w:lang w:val="fr-FR" w:eastAsia="en-GB"/>
        </w:rPr>
        <w:lastRenderedPageBreak/>
        <w:t xml:space="preserve">quelconque indice concret susceptible de fonder le reproche d'un homicide par dol éventuel à l'encontre des personnes qu'elle dénonçait.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Bien plus, la plaignante alléguait nombre d'éléments de fait relatifs au positionnement adopté par les dénoncés en relation avec la question des risques encourus par les syndicalistes en Colombie. Ainsi, dans le cadre de négociations visant la réintégration de syndicalistes licenciés, l'entreprise avait proposé des indemnités et de l'aide pour l'obtention de visas (plainte, p. 18). H.________ avait, à plusieurs reprises, déclaré vouloir assurer la protection des syndicalistes. Il avait notamment voyagé en Colombie en mars 2003, où il avait visité les usines C.________ et les travailleurs à X.________ et Y.________. Il y avait parlé avec le président de D.________. Selon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C.________ SA se sentait directement responsable des problèmes de sécurité, qu'elle n'entendait pas déléguer à la direction locale colombienne (plainte, p. 55). E.________ avait montré qu'il entendait prendre en main lui-même la gestion de la situation sécuritaire des sites en Colombie. Il s'y était notamment rendu en novembre 2003 et considérait qu'un dialogue constructif avait été entamé (plainte, ibidem). Par lettre du 15 janvier 2004, il avait informé l'ASK [Groupe de travail Suisse-Colombie] que C.________ SA avait pris, par l'intermédiaire de sa filiale locale, des mesures afin d'assurer la sécurité de syndicalistes menacés à Y.________. Les autorités avaient été appelées à ouvrir une enquête, les mesures de sécurité avaient été augmentées dans les installations de l'usine et une assistance juridique avait été proposée aux personnes concernées. C.________ SA affirmait sa volonté de soutenir et coopérer avec tout travailleur ou syndicaliste subissant des difficultés de ce fait. Une rencontre avait été organisée avec le vice-président colombien, J.________, et le directeur du « service secret » DAS (</w:t>
      </w:r>
      <w:proofErr w:type="spellStart"/>
      <w:r w:rsidRPr="003231FF">
        <w:rPr>
          <w:rFonts w:ascii="Times New Roman" w:eastAsia="Times New Roman" w:hAnsi="Times New Roman" w:cs="Times New Roman"/>
          <w:sz w:val="24"/>
          <w:szCs w:val="24"/>
          <w:lang w:val="fr-FR" w:eastAsia="en-GB"/>
        </w:rPr>
        <w:t>Departamento</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administrativo</w:t>
      </w:r>
      <w:proofErr w:type="spellEnd"/>
      <w:r w:rsidRPr="003231FF">
        <w:rPr>
          <w:rFonts w:ascii="Times New Roman" w:eastAsia="Times New Roman" w:hAnsi="Times New Roman" w:cs="Times New Roman"/>
          <w:sz w:val="24"/>
          <w:szCs w:val="24"/>
          <w:lang w:val="fr-FR" w:eastAsia="en-GB"/>
        </w:rPr>
        <w:t xml:space="preserve"> de </w:t>
      </w:r>
      <w:proofErr w:type="spellStart"/>
      <w:r w:rsidRPr="003231FF">
        <w:rPr>
          <w:rFonts w:ascii="Times New Roman" w:eastAsia="Times New Roman" w:hAnsi="Times New Roman" w:cs="Times New Roman"/>
          <w:sz w:val="24"/>
          <w:szCs w:val="24"/>
          <w:lang w:val="fr-FR" w:eastAsia="en-GB"/>
        </w:rPr>
        <w:t>Seguridad</w:t>
      </w:r>
      <w:proofErr w:type="spellEnd"/>
      <w:r w:rsidRPr="003231FF">
        <w:rPr>
          <w:rFonts w:ascii="Times New Roman" w:eastAsia="Times New Roman" w:hAnsi="Times New Roman" w:cs="Times New Roman"/>
          <w:sz w:val="24"/>
          <w:szCs w:val="24"/>
          <w:lang w:val="fr-FR" w:eastAsia="en-GB"/>
        </w:rPr>
        <w:t xml:space="preserve">), K.________, avec la participation du directeur de C.________ Colombie, afin de faire avancer les enquêtes au plus haut niveau (plainte, p. 56). De même, G.________, Chef du marché pour la région bolivarienne chez C.________ SA et directeur général de B.________ </w:t>
      </w:r>
      <w:proofErr w:type="spellStart"/>
      <w:r w:rsidRPr="003231FF">
        <w:rPr>
          <w:rFonts w:ascii="Times New Roman" w:eastAsia="Times New Roman" w:hAnsi="Times New Roman" w:cs="Times New Roman"/>
          <w:sz w:val="24"/>
          <w:szCs w:val="24"/>
          <w:lang w:val="fr-FR" w:eastAsia="en-GB"/>
        </w:rPr>
        <w:t>Ltda</w:t>
      </w:r>
      <w:proofErr w:type="spellEnd"/>
      <w:r w:rsidRPr="003231FF">
        <w:rPr>
          <w:rFonts w:ascii="Times New Roman" w:eastAsia="Times New Roman" w:hAnsi="Times New Roman" w:cs="Times New Roman"/>
          <w:sz w:val="24"/>
          <w:szCs w:val="24"/>
          <w:lang w:val="fr-FR" w:eastAsia="en-GB"/>
        </w:rPr>
        <w:t xml:space="preserve">, avait eu la possibilité de prendre des mesures de protection en faveur des syndicalistes menacés. L.________, directeur général de C.________ SA depuis mai 2000 avait écrit en juin 2002 que C.________ SA cherchait toujours la coopération avec les organisations syndicales afin d'assurer la sécurité de son personnel, y compris les dirigeants syndicaux et que ceci s'appliquait également à des situations aussi difficiles que celles de l'usine de X.________. Enfin, A.________ avait bénéficié de mesures de protection de la part de l'Etat colombien (plainte p. 65). La plaignante juge certes les mesures prises ou envisagées insuffisantes, respectivement inadaptées, notamment en raison de liens allégués entre les groupes paramilitaires et les services secrets colombiens chargés de la protection. Il n'en demeure pas moins que l'ensemble de ces éléments allégués par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permettaient raisonnablement d'exclure d'emblée, au stade de la vraisemblance, que les personnes, responsables de C.________ Suisse SA, que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visait dans sa plainte, se seraient accommodées de l'éventualité que se réalise le risque d'une atteinte à la personne de A.________, </w:t>
      </w:r>
      <w:proofErr w:type="spellStart"/>
      <w:r w:rsidRPr="003231FF">
        <w:rPr>
          <w:rFonts w:ascii="Times New Roman" w:eastAsia="Times New Roman" w:hAnsi="Times New Roman" w:cs="Times New Roman"/>
          <w:sz w:val="24"/>
          <w:szCs w:val="24"/>
          <w:lang w:val="fr-FR" w:eastAsia="en-GB"/>
        </w:rPr>
        <w:t>lors</w:t>
      </w:r>
      <w:proofErr w:type="spellEnd"/>
      <w:r w:rsidRPr="003231FF">
        <w:rPr>
          <w:rFonts w:ascii="Times New Roman" w:eastAsia="Times New Roman" w:hAnsi="Times New Roman" w:cs="Times New Roman"/>
          <w:sz w:val="24"/>
          <w:szCs w:val="24"/>
          <w:lang w:val="fr-FR" w:eastAsia="en-GB"/>
        </w:rPr>
        <w:t xml:space="preserve"> même que ce dernier aurait dû, à une date de peu postérieure à son décès, intervenir « comme témoin à charge contre C.________ » (plainte, p. 20) devant le Tribunal Permanent des Peuples à Berne. Sous cet angle, le classement de la procédure n'apparaît pas critiquable.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invoque ensuite la violation de l'art. 102 al. 1 CP.</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3.1.</w:t>
      </w:r>
      <w:r w:rsidRPr="003231FF">
        <w:rPr>
          <w:rFonts w:ascii="Times New Roman" w:eastAsia="Times New Roman" w:hAnsi="Times New Roman" w:cs="Times New Roman"/>
          <w:sz w:val="24"/>
          <w:szCs w:val="24"/>
          <w:lang w:val="fr-FR" w:eastAsia="en-GB"/>
        </w:rPr>
        <w:t xml:space="preserve"> Conformément à cette norme, un crime ou un délit qui est commis au sein d'une entreprise dans l'exercice d'activités commerciales conformes à ses buts est imputé à l'entreprise s'il ne peut être imputé à aucune personne physique déterminée en raison du </w:t>
      </w:r>
      <w:r w:rsidRPr="003231FF">
        <w:rPr>
          <w:rFonts w:ascii="Times New Roman" w:eastAsia="Times New Roman" w:hAnsi="Times New Roman" w:cs="Times New Roman"/>
          <w:sz w:val="24"/>
          <w:szCs w:val="24"/>
          <w:lang w:val="fr-FR" w:eastAsia="en-GB"/>
        </w:rPr>
        <w:lastRenderedPageBreak/>
        <w:t xml:space="preserve">manque d'organisation de l'entreprise. Dans ce cas, l'entreprise est punie d'une amende de cinq millions de francs au plus.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3.2.</w:t>
      </w:r>
      <w:r w:rsidRPr="003231FF">
        <w:rPr>
          <w:rFonts w:ascii="Times New Roman" w:eastAsia="Times New Roman" w:hAnsi="Times New Roman" w:cs="Times New Roman"/>
          <w:sz w:val="24"/>
          <w:szCs w:val="24"/>
          <w:lang w:val="fr-FR" w:eastAsia="en-GB"/>
        </w:rPr>
        <w:t xml:space="preserve"> La cour cantonale a examiné si la prescription d'une éventuelle infraction d'homicide par négligence susceptible d'être reprochée à des personnes physiques au sein de l'entreprise, faisait obstacle à la poursuite pénale de cette dernière sur la base de l'art. 102 al. 1 CP. Après avoir exposé que diverses théories s'opposaient en doctrine quant à la nature juridique de cette norme (infraction indépendante sanctionnant le défaut d'organisation au sein de l'entreprise; règle d'imputation à l'entreprise de l'infraction de base; norme mixte), elle a retenu que, quelle que soit la théorie retenue, la prescription de l'infraction initiale excluait, dans tous les cas, la responsabilité subsidiaire de l'entreprise. En effet, même pour les auteurs considérant que l'art. 102 al. 1 CP érige en infraction l'omission de l'entreprise de se doter d'une organisation adéquate, lorsque l'infraction de base est prescrite et que les personnes physiques qui l'ont commise ne peuvent plus être recherchées pénalement, l'impossibilité de leur imputer cette infraction ne résulte pas du manque d'organisation, ce qui exclut aussi la responsabilité subsidiaire de l'entreprise.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3.3.</w:t>
      </w:r>
      <w:r w:rsidRPr="003231FF">
        <w:rPr>
          <w:rFonts w:ascii="Times New Roman" w:eastAsia="Times New Roman" w:hAnsi="Times New Roman" w:cs="Times New Roman"/>
          <w:sz w:val="24"/>
          <w:szCs w:val="24"/>
          <w:lang w:val="fr-FR" w:eastAsia="en-GB"/>
        </w:rPr>
        <w:t xml:space="preserv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objecte, en substance, que si la prescription de l'action pénale empêche les poursuites contre les personnes physiques puis le jugement de celles-ci, elle ne s'opposerait, en revanche, pas, dans une procédure continuée contre la seule entreprise, à rechercher si un manque d'organisation engagerait la responsabilité de l'entité collective au regard de l'art. 102 al. 1 CP. En d'autres termes, deux causes pourraient, en apparence, concourir à la non-imputabilité de l'infraction à une ou plusieurs personnes physiques, mais la prescription ne ferait qu'occulter la cause réelle résidant dans la désorganisation. Sur ce point précis, les principaux auteurs affirmant que cette disposition constitue une infraction pénale partiraient d'une conception erronée de l' « impossibilité d'imputer à une personne physique » en admettant qu'il s'agirait déjà de l'impossibilité d'enquêter (à laquelle fait obstacle la prescription). Selon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il faudrait considérer plus généralement l'impossibilité de constater, fût-ce abstraitement, qu'une personne physique au moins remplit toutes les conditions objectives et subjectives de l'infraction. On ne pourrait, en l'espèce, au stade du classement, exclure un tel manque d'organisation et son caractère causal par rapport à l'impossibilité d'imputer l'infraction à une personne physique déterminée.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3.4.</w:t>
      </w:r>
      <w:r w:rsidRPr="003231FF">
        <w:rPr>
          <w:rFonts w:ascii="Times New Roman" w:eastAsia="Times New Roman" w:hAnsi="Times New Roman" w:cs="Times New Roman"/>
          <w:sz w:val="24"/>
          <w:szCs w:val="24"/>
          <w:lang w:val="fr-FR" w:eastAsia="en-GB"/>
        </w:rPr>
        <w:t xml:space="preserve"> La question de la prescription dans le cadre de l'art. 102 al. 1 CP est discutée en doctrine. Sa solution dépend notamment de l'analyse faite de la nature de la norme, elle-même objet de débats nourris.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3.4.1.</w:t>
      </w:r>
      <w:r w:rsidRPr="003231FF">
        <w:rPr>
          <w:rFonts w:ascii="Times New Roman" w:eastAsia="Times New Roman" w:hAnsi="Times New Roman" w:cs="Times New Roman"/>
          <w:sz w:val="24"/>
          <w:szCs w:val="24"/>
          <w:lang w:val="fr-FR" w:eastAsia="en-GB"/>
        </w:rPr>
        <w:t xml:space="preserve"> Selon un premier courant, cette disposition constituerait une norme d'imputation à l'entreprise de l'infraction commise par une personne physique (dite infraction « de base »;  </w:t>
      </w:r>
      <w:proofErr w:type="spellStart"/>
      <w:r w:rsidRPr="003231FF">
        <w:rPr>
          <w:rFonts w:ascii="Times New Roman" w:eastAsia="Times New Roman" w:hAnsi="Times New Roman" w:cs="Times New Roman"/>
          <w:i/>
          <w:iCs/>
          <w:sz w:val="24"/>
          <w:szCs w:val="24"/>
          <w:lang w:val="fr-FR" w:eastAsia="en-GB"/>
        </w:rPr>
        <w:t>Anlasstat</w:t>
      </w:r>
      <w:proofErr w:type="spellEnd"/>
      <w:r w:rsidRPr="003231FF">
        <w:rPr>
          <w:rFonts w:ascii="Times New Roman" w:eastAsia="Times New Roman" w:hAnsi="Times New Roman" w:cs="Times New Roman"/>
          <w:sz w:val="24"/>
          <w:szCs w:val="24"/>
          <w:lang w:val="fr-FR" w:eastAsia="en-GB"/>
        </w:rPr>
        <w:t xml:space="preserve"> »; v. p. ex.: </w:t>
      </w:r>
      <w:proofErr w:type="spellStart"/>
      <w:r w:rsidRPr="003231FF">
        <w:rPr>
          <w:rFonts w:ascii="Times New Roman" w:eastAsia="Times New Roman" w:hAnsi="Times New Roman" w:cs="Times New Roman"/>
          <w:sz w:val="24"/>
          <w:szCs w:val="24"/>
          <w:lang w:val="fr-FR" w:eastAsia="en-GB"/>
        </w:rPr>
        <w:t>Niklaus</w:t>
      </w:r>
      <w:proofErr w:type="spellEnd"/>
      <w:r w:rsidRPr="003231FF">
        <w:rPr>
          <w:rFonts w:ascii="Times New Roman" w:eastAsia="Times New Roman" w:hAnsi="Times New Roman" w:cs="Times New Roman"/>
          <w:sz w:val="24"/>
          <w:szCs w:val="24"/>
          <w:lang w:val="fr-FR" w:eastAsia="en-GB"/>
        </w:rPr>
        <w:t xml:space="preserve"> Schmid, </w:t>
      </w:r>
      <w:proofErr w:type="spellStart"/>
      <w:r w:rsidRPr="003231FF">
        <w:rPr>
          <w:rFonts w:ascii="Times New Roman" w:eastAsia="Times New Roman" w:hAnsi="Times New Roman" w:cs="Times New Roman"/>
          <w:sz w:val="24"/>
          <w:szCs w:val="24"/>
          <w:lang w:val="fr-FR" w:eastAsia="en-GB"/>
        </w:rPr>
        <w:t>Strafbarkeit</w:t>
      </w:r>
      <w:proofErr w:type="spellEnd"/>
      <w:r w:rsidRPr="003231FF">
        <w:rPr>
          <w:rFonts w:ascii="Times New Roman" w:eastAsia="Times New Roman" w:hAnsi="Times New Roman" w:cs="Times New Roman"/>
          <w:sz w:val="24"/>
          <w:szCs w:val="24"/>
          <w:lang w:val="fr-FR" w:eastAsia="en-GB"/>
        </w:rPr>
        <w:t xml:space="preserve"> des </w:t>
      </w:r>
      <w:proofErr w:type="spellStart"/>
      <w:r w:rsidRPr="003231FF">
        <w:rPr>
          <w:rFonts w:ascii="Times New Roman" w:eastAsia="Times New Roman" w:hAnsi="Times New Roman" w:cs="Times New Roman"/>
          <w:sz w:val="24"/>
          <w:szCs w:val="24"/>
          <w:lang w:val="fr-FR" w:eastAsia="en-GB"/>
        </w:rPr>
        <w:t>Unternehmens</w:t>
      </w:r>
      <w:proofErr w:type="spellEnd"/>
      <w:r w:rsidRPr="003231FF">
        <w:rPr>
          <w:rFonts w:ascii="Times New Roman" w:eastAsia="Times New Roman" w:hAnsi="Times New Roman" w:cs="Times New Roman"/>
          <w:sz w:val="24"/>
          <w:szCs w:val="24"/>
          <w:lang w:val="fr-FR" w:eastAsia="en-GB"/>
        </w:rPr>
        <w:t xml:space="preserve">: Die </w:t>
      </w:r>
      <w:proofErr w:type="spellStart"/>
      <w:r w:rsidRPr="003231FF">
        <w:rPr>
          <w:rFonts w:ascii="Times New Roman" w:eastAsia="Times New Roman" w:hAnsi="Times New Roman" w:cs="Times New Roman"/>
          <w:sz w:val="24"/>
          <w:szCs w:val="24"/>
          <w:lang w:val="fr-FR" w:eastAsia="en-GB"/>
        </w:rPr>
        <w:t>Prozessuale</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Seite</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Recht</w:t>
      </w:r>
      <w:proofErr w:type="spellEnd"/>
      <w:r w:rsidRPr="003231FF">
        <w:rPr>
          <w:rFonts w:ascii="Times New Roman" w:eastAsia="Times New Roman" w:hAnsi="Times New Roman" w:cs="Times New Roman"/>
          <w:sz w:val="24"/>
          <w:szCs w:val="24"/>
          <w:lang w:val="fr-FR" w:eastAsia="en-GB"/>
        </w:rPr>
        <w:t xml:space="preserve"> 2003 p. 201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Alain </w:t>
      </w:r>
      <w:proofErr w:type="spellStart"/>
      <w:r w:rsidRPr="003231FF">
        <w:rPr>
          <w:rFonts w:ascii="Times New Roman" w:eastAsia="Times New Roman" w:hAnsi="Times New Roman" w:cs="Times New Roman"/>
          <w:sz w:val="24"/>
          <w:szCs w:val="24"/>
          <w:lang w:val="fr-FR" w:eastAsia="en-GB"/>
        </w:rPr>
        <w:t>Macaluso</w:t>
      </w:r>
      <w:proofErr w:type="spellEnd"/>
      <w:r w:rsidRPr="003231FF">
        <w:rPr>
          <w:rFonts w:ascii="Times New Roman" w:eastAsia="Times New Roman" w:hAnsi="Times New Roman" w:cs="Times New Roman"/>
          <w:sz w:val="24"/>
          <w:szCs w:val="24"/>
          <w:lang w:val="fr-FR" w:eastAsia="en-GB"/>
        </w:rPr>
        <w:t xml:space="preserve">, La responsabilité pénale de l'entreprise, 2004, nos 508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p. 90 s.; Günther </w:t>
      </w:r>
      <w:proofErr w:type="spellStart"/>
      <w:r w:rsidRPr="003231FF">
        <w:rPr>
          <w:rFonts w:ascii="Times New Roman" w:eastAsia="Times New Roman" w:hAnsi="Times New Roman" w:cs="Times New Roman"/>
          <w:sz w:val="24"/>
          <w:szCs w:val="24"/>
          <w:lang w:val="fr-FR" w:eastAsia="en-GB"/>
        </w:rPr>
        <w:t>Arzt</w:t>
      </w:r>
      <w:proofErr w:type="spellEnd"/>
      <w:r w:rsidRPr="003231FF">
        <w:rPr>
          <w:rFonts w:ascii="Times New Roman" w:eastAsia="Times New Roman" w:hAnsi="Times New Roman" w:cs="Times New Roman"/>
          <w:sz w:val="24"/>
          <w:szCs w:val="24"/>
          <w:lang w:val="fr-FR" w:eastAsia="en-GB"/>
        </w:rPr>
        <w:t xml:space="preserve">, Die </w:t>
      </w:r>
      <w:proofErr w:type="spellStart"/>
      <w:r w:rsidRPr="003231FF">
        <w:rPr>
          <w:rFonts w:ascii="Times New Roman" w:eastAsia="Times New Roman" w:hAnsi="Times New Roman" w:cs="Times New Roman"/>
          <w:sz w:val="24"/>
          <w:szCs w:val="24"/>
          <w:lang w:val="fr-FR" w:eastAsia="en-GB"/>
        </w:rPr>
        <w:t>kommende</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Strafbarkeit</w:t>
      </w:r>
      <w:proofErr w:type="spellEnd"/>
      <w:r w:rsidRPr="003231FF">
        <w:rPr>
          <w:rFonts w:ascii="Times New Roman" w:eastAsia="Times New Roman" w:hAnsi="Times New Roman" w:cs="Times New Roman"/>
          <w:sz w:val="24"/>
          <w:szCs w:val="24"/>
          <w:lang w:val="fr-FR" w:eastAsia="en-GB"/>
        </w:rPr>
        <w:t xml:space="preserve"> der Bank </w:t>
      </w:r>
      <w:proofErr w:type="spellStart"/>
      <w:r w:rsidRPr="003231FF">
        <w:rPr>
          <w:rFonts w:ascii="Times New Roman" w:eastAsia="Times New Roman" w:hAnsi="Times New Roman" w:cs="Times New Roman"/>
          <w:sz w:val="24"/>
          <w:szCs w:val="24"/>
          <w:lang w:val="fr-FR" w:eastAsia="en-GB"/>
        </w:rPr>
        <w:t>als</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juristischer</w:t>
      </w:r>
      <w:proofErr w:type="spellEnd"/>
      <w:r w:rsidRPr="003231FF">
        <w:rPr>
          <w:rFonts w:ascii="Times New Roman" w:eastAsia="Times New Roman" w:hAnsi="Times New Roman" w:cs="Times New Roman"/>
          <w:sz w:val="24"/>
          <w:szCs w:val="24"/>
          <w:lang w:val="fr-FR" w:eastAsia="en-GB"/>
        </w:rPr>
        <w:t xml:space="preserve"> Person, in </w:t>
      </w:r>
      <w:proofErr w:type="spellStart"/>
      <w:r w:rsidRPr="003231FF">
        <w:rPr>
          <w:rFonts w:ascii="Times New Roman" w:eastAsia="Times New Roman" w:hAnsi="Times New Roman" w:cs="Times New Roman"/>
          <w:sz w:val="24"/>
          <w:szCs w:val="24"/>
          <w:lang w:val="fr-FR" w:eastAsia="en-GB"/>
        </w:rPr>
        <w:t>Banken</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und</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Bankrecht</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im</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Wandel</w:t>
      </w:r>
      <w:proofErr w:type="spellEnd"/>
      <w:r w:rsidRPr="003231FF">
        <w:rPr>
          <w:rFonts w:ascii="Times New Roman" w:eastAsia="Times New Roman" w:hAnsi="Times New Roman" w:cs="Times New Roman"/>
          <w:sz w:val="24"/>
          <w:szCs w:val="24"/>
          <w:lang w:val="fr-FR" w:eastAsia="en-GB"/>
        </w:rPr>
        <w:t xml:space="preserve">, 2004, p. 82). D'autres auteurs considèrent qu'il s'agirait d'une norme pénale  </w:t>
      </w:r>
      <w:r w:rsidRPr="003231FF">
        <w:rPr>
          <w:rFonts w:ascii="Times New Roman" w:eastAsia="Times New Roman" w:hAnsi="Times New Roman" w:cs="Times New Roman"/>
          <w:i/>
          <w:iCs/>
          <w:sz w:val="24"/>
          <w:szCs w:val="24"/>
          <w:lang w:val="fr-FR" w:eastAsia="en-GB"/>
        </w:rPr>
        <w:t>sui generis</w:t>
      </w:r>
      <w:r w:rsidRPr="003231FF">
        <w:rPr>
          <w:rFonts w:ascii="Times New Roman" w:eastAsia="Times New Roman" w:hAnsi="Times New Roman" w:cs="Times New Roman"/>
          <w:sz w:val="24"/>
          <w:szCs w:val="24"/>
          <w:lang w:val="fr-FR" w:eastAsia="en-GB"/>
        </w:rPr>
        <w:t xml:space="preserve">, envisagée soit comme un cas spécifique de participation, soit comme une règle mixte de sanction et d'imputation (v. p. ex.: Matthias Forster, Die </w:t>
      </w:r>
      <w:proofErr w:type="spellStart"/>
      <w:r w:rsidRPr="003231FF">
        <w:rPr>
          <w:rFonts w:ascii="Times New Roman" w:eastAsia="Times New Roman" w:hAnsi="Times New Roman" w:cs="Times New Roman"/>
          <w:sz w:val="24"/>
          <w:szCs w:val="24"/>
          <w:lang w:val="fr-FR" w:eastAsia="en-GB"/>
        </w:rPr>
        <w:t>Strafrechtliche</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Verantwortlichkeit</w:t>
      </w:r>
      <w:proofErr w:type="spellEnd"/>
      <w:r w:rsidRPr="003231FF">
        <w:rPr>
          <w:rFonts w:ascii="Times New Roman" w:eastAsia="Times New Roman" w:hAnsi="Times New Roman" w:cs="Times New Roman"/>
          <w:sz w:val="24"/>
          <w:szCs w:val="24"/>
          <w:lang w:val="fr-FR" w:eastAsia="en-GB"/>
        </w:rPr>
        <w:t xml:space="preserve"> des </w:t>
      </w:r>
      <w:proofErr w:type="spellStart"/>
      <w:r w:rsidRPr="003231FF">
        <w:rPr>
          <w:rFonts w:ascii="Times New Roman" w:eastAsia="Times New Roman" w:hAnsi="Times New Roman" w:cs="Times New Roman"/>
          <w:sz w:val="24"/>
          <w:szCs w:val="24"/>
          <w:lang w:val="fr-FR" w:eastAsia="en-GB"/>
        </w:rPr>
        <w:t>Unternehmens</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nach</w:t>
      </w:r>
      <w:proofErr w:type="spellEnd"/>
      <w:r w:rsidRPr="003231FF">
        <w:rPr>
          <w:rFonts w:ascii="Times New Roman" w:eastAsia="Times New Roman" w:hAnsi="Times New Roman" w:cs="Times New Roman"/>
          <w:sz w:val="24"/>
          <w:szCs w:val="24"/>
          <w:lang w:val="fr-FR" w:eastAsia="en-GB"/>
        </w:rPr>
        <w:t xml:space="preserve"> Art. 102 </w:t>
      </w:r>
      <w:proofErr w:type="spellStart"/>
      <w:r w:rsidRPr="003231FF">
        <w:rPr>
          <w:rFonts w:ascii="Times New Roman" w:eastAsia="Times New Roman" w:hAnsi="Times New Roman" w:cs="Times New Roman"/>
          <w:sz w:val="24"/>
          <w:szCs w:val="24"/>
          <w:lang w:val="fr-FR" w:eastAsia="en-GB"/>
        </w:rPr>
        <w:t>StGB</w:t>
      </w:r>
      <w:proofErr w:type="spellEnd"/>
      <w:r w:rsidRPr="003231FF">
        <w:rPr>
          <w:rFonts w:ascii="Times New Roman" w:eastAsia="Times New Roman" w:hAnsi="Times New Roman" w:cs="Times New Roman"/>
          <w:sz w:val="24"/>
          <w:szCs w:val="24"/>
          <w:lang w:val="fr-FR" w:eastAsia="en-GB"/>
        </w:rPr>
        <w:t xml:space="preserve">, 2006, p. 73 </w:t>
      </w:r>
      <w:proofErr w:type="gramStart"/>
      <w:r w:rsidRPr="003231FF">
        <w:rPr>
          <w:rFonts w:ascii="Times New Roman" w:eastAsia="Times New Roman" w:hAnsi="Times New Roman" w:cs="Times New Roman"/>
          <w:sz w:val="24"/>
          <w:szCs w:val="24"/>
          <w:lang w:val="fr-FR" w:eastAsia="en-GB"/>
        </w:rPr>
        <w:t>s.;</w:t>
      </w:r>
      <w:proofErr w:type="gramEnd"/>
      <w:r w:rsidRPr="003231FF">
        <w:rPr>
          <w:rFonts w:ascii="Times New Roman" w:eastAsia="Times New Roman" w:hAnsi="Times New Roman" w:cs="Times New Roman"/>
          <w:sz w:val="24"/>
          <w:szCs w:val="24"/>
          <w:lang w:val="fr-FR" w:eastAsia="en-GB"/>
        </w:rPr>
        <w:t xml:space="preserve"> v. aussi les références citées par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in </w:t>
      </w:r>
      <w:proofErr w:type="spellStart"/>
      <w:r w:rsidRPr="003231FF">
        <w:rPr>
          <w:rFonts w:ascii="Times New Roman" w:eastAsia="Times New Roman" w:hAnsi="Times New Roman" w:cs="Times New Roman"/>
          <w:sz w:val="24"/>
          <w:szCs w:val="24"/>
          <w:lang w:val="fr-FR" w:eastAsia="en-GB"/>
        </w:rPr>
        <w:t>Basler</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Kommentar</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Strafrecht</w:t>
      </w:r>
      <w:proofErr w:type="spellEnd"/>
      <w:r w:rsidRPr="003231FF">
        <w:rPr>
          <w:rFonts w:ascii="Times New Roman" w:eastAsia="Times New Roman" w:hAnsi="Times New Roman" w:cs="Times New Roman"/>
          <w:sz w:val="24"/>
          <w:szCs w:val="24"/>
          <w:lang w:val="fr-FR" w:eastAsia="en-GB"/>
        </w:rPr>
        <w:t xml:space="preserve"> I, 3e éd. 2013, art. 102 CP n° 19).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discute pas ces conceptions. On peut se limiter à relever que conçue comme un cas particulier de participation et/ou d'imputation d'une infraction de base, la règle devrait, logiquement, suivre le régime de prescription de </w:t>
      </w:r>
      <w:r w:rsidRPr="003231FF">
        <w:rPr>
          <w:rFonts w:ascii="Times New Roman" w:eastAsia="Times New Roman" w:hAnsi="Times New Roman" w:cs="Times New Roman"/>
          <w:sz w:val="24"/>
          <w:szCs w:val="24"/>
          <w:lang w:val="fr-FR" w:eastAsia="en-GB"/>
        </w:rPr>
        <w:lastRenderedPageBreak/>
        <w:t xml:space="preserve">cette dernière infraction (v. parmi d'autres: Alain </w:t>
      </w:r>
      <w:proofErr w:type="spellStart"/>
      <w:r w:rsidRPr="003231FF">
        <w:rPr>
          <w:rFonts w:ascii="Times New Roman" w:eastAsia="Times New Roman" w:hAnsi="Times New Roman" w:cs="Times New Roman"/>
          <w:sz w:val="24"/>
          <w:szCs w:val="24"/>
          <w:lang w:val="fr-FR" w:eastAsia="en-GB"/>
        </w:rPr>
        <w:t>Macaluso</w:t>
      </w:r>
      <w:proofErr w:type="spellEnd"/>
      <w:r w:rsidRPr="003231FF">
        <w:rPr>
          <w:rFonts w:ascii="Times New Roman" w:eastAsia="Times New Roman" w:hAnsi="Times New Roman" w:cs="Times New Roman"/>
          <w:sz w:val="24"/>
          <w:szCs w:val="24"/>
          <w:lang w:val="fr-FR" w:eastAsia="en-GB"/>
        </w:rPr>
        <w:t xml:space="preserve">, op. </w:t>
      </w:r>
      <w:proofErr w:type="spellStart"/>
      <w:proofErr w:type="gram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w:t>
      </w:r>
      <w:proofErr w:type="gramEnd"/>
      <w:r w:rsidRPr="003231FF">
        <w:rPr>
          <w:rFonts w:ascii="Times New Roman" w:eastAsia="Times New Roman" w:hAnsi="Times New Roman" w:cs="Times New Roman"/>
          <w:sz w:val="24"/>
          <w:szCs w:val="24"/>
          <w:lang w:val="fr-FR" w:eastAsia="en-GB"/>
        </w:rPr>
        <w:t xml:space="preserve"> n° 1107 p. 189).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peut donc rien déduire en sa faveur de ces théories sur le plan de la prescription.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3.4.2.</w:t>
      </w:r>
      <w:r w:rsidRPr="003231FF">
        <w:rPr>
          <w:rFonts w:ascii="Times New Roman" w:eastAsia="Times New Roman" w:hAnsi="Times New Roman" w:cs="Times New Roman"/>
          <w:sz w:val="24"/>
          <w:szCs w:val="24"/>
          <w:lang w:val="fr-FR" w:eastAsia="en-GB"/>
        </w:rPr>
        <w:t xml:space="preserve"> Selon le dernier courant de doctrine, la norme instituerait une infraction pénale propre à l'entreprise. L'infraction de base constituerait une condition objective de </w:t>
      </w:r>
      <w:proofErr w:type="spellStart"/>
      <w:r w:rsidRPr="003231FF">
        <w:rPr>
          <w:rFonts w:ascii="Times New Roman" w:eastAsia="Times New Roman" w:hAnsi="Times New Roman" w:cs="Times New Roman"/>
          <w:sz w:val="24"/>
          <w:szCs w:val="24"/>
          <w:lang w:val="fr-FR" w:eastAsia="en-GB"/>
        </w:rPr>
        <w:t>punissabilité</w:t>
      </w:r>
      <w:proofErr w:type="spellEnd"/>
      <w:r w:rsidRPr="003231FF">
        <w:rPr>
          <w:rFonts w:ascii="Times New Roman" w:eastAsia="Times New Roman" w:hAnsi="Times New Roman" w:cs="Times New Roman"/>
          <w:sz w:val="24"/>
          <w:szCs w:val="24"/>
          <w:lang w:val="fr-FR" w:eastAsia="en-GB"/>
        </w:rPr>
        <w:t>. L'état de fait punissable résiderait dans le déficit organisationnel de l'entité collective, qui aurait pour conséquence l'impossibilité d'imputer l'infraction de base à des personnes physiques, que celles-ci ne puissent être identifiées au sein de l'entreprise ou que l'organisation mise en place, en raison du partage des responsabilités et compétences, ne permette pas de réunir sur une seule tête les conditions objectives et subjectives de l'infraction de base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102 CP nos 18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et les références citées sous n° 19; Stefan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al., </w:t>
      </w:r>
      <w:proofErr w:type="spellStart"/>
      <w:r w:rsidRPr="003231FF">
        <w:rPr>
          <w:rFonts w:ascii="Times New Roman" w:eastAsia="Times New Roman" w:hAnsi="Times New Roman" w:cs="Times New Roman"/>
          <w:sz w:val="24"/>
          <w:szCs w:val="24"/>
          <w:lang w:val="fr-FR" w:eastAsia="en-GB"/>
        </w:rPr>
        <w:t>Praxiskommentar</w:t>
      </w:r>
      <w:proofErr w:type="spellEnd"/>
      <w:r w:rsidRPr="003231FF">
        <w:rPr>
          <w:rFonts w:ascii="Times New Roman" w:eastAsia="Times New Roman" w:hAnsi="Times New Roman" w:cs="Times New Roman"/>
          <w:sz w:val="24"/>
          <w:szCs w:val="24"/>
          <w:lang w:val="fr-FR" w:eastAsia="en-GB"/>
        </w:rPr>
        <w:t>, 2e éd. 2013, art. 102 CP n° 7b). Selon ces auteurs, l'infraction constituerait une contravention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op. </w:t>
      </w:r>
      <w:proofErr w:type="spellStart"/>
      <w:proofErr w:type="gram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w:t>
      </w:r>
      <w:proofErr w:type="gramEnd"/>
      <w:r w:rsidRPr="003231FF">
        <w:rPr>
          <w:rFonts w:ascii="Times New Roman" w:eastAsia="Times New Roman" w:hAnsi="Times New Roman" w:cs="Times New Roman"/>
          <w:sz w:val="24"/>
          <w:szCs w:val="24"/>
          <w:lang w:val="fr-FR" w:eastAsia="en-GB"/>
        </w:rPr>
        <w:t xml:space="preserve"> art. 102 CP n° 51;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al., loc.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voire un délit (Matthias </w:t>
      </w:r>
      <w:proofErr w:type="spellStart"/>
      <w:r w:rsidRPr="003231FF">
        <w:rPr>
          <w:rFonts w:ascii="Times New Roman" w:eastAsia="Times New Roman" w:hAnsi="Times New Roman" w:cs="Times New Roman"/>
          <w:sz w:val="24"/>
          <w:szCs w:val="24"/>
          <w:lang w:val="fr-FR" w:eastAsia="en-GB"/>
        </w:rPr>
        <w:t>Heiniger</w:t>
      </w:r>
      <w:proofErr w:type="spellEnd"/>
      <w:r w:rsidRPr="003231FF">
        <w:rPr>
          <w:rFonts w:ascii="Times New Roman" w:eastAsia="Times New Roman" w:hAnsi="Times New Roman" w:cs="Times New Roman"/>
          <w:sz w:val="24"/>
          <w:szCs w:val="24"/>
          <w:lang w:val="fr-FR" w:eastAsia="en-GB"/>
        </w:rPr>
        <w:t xml:space="preserve">, Der Konzern </w:t>
      </w:r>
      <w:proofErr w:type="spellStart"/>
      <w:r w:rsidRPr="003231FF">
        <w:rPr>
          <w:rFonts w:ascii="Times New Roman" w:eastAsia="Times New Roman" w:hAnsi="Times New Roman" w:cs="Times New Roman"/>
          <w:sz w:val="24"/>
          <w:szCs w:val="24"/>
          <w:lang w:val="fr-FR" w:eastAsia="en-GB"/>
        </w:rPr>
        <w:t>im</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Unternehmensstrafrecht</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gemäss</w:t>
      </w:r>
      <w:proofErr w:type="spellEnd"/>
      <w:r w:rsidRPr="003231FF">
        <w:rPr>
          <w:rFonts w:ascii="Times New Roman" w:eastAsia="Times New Roman" w:hAnsi="Times New Roman" w:cs="Times New Roman"/>
          <w:sz w:val="24"/>
          <w:szCs w:val="24"/>
          <w:lang w:val="fr-FR" w:eastAsia="en-GB"/>
        </w:rPr>
        <w:t xml:space="preserve"> Art. 102 </w:t>
      </w:r>
      <w:proofErr w:type="spellStart"/>
      <w:r w:rsidRPr="003231FF">
        <w:rPr>
          <w:rFonts w:ascii="Times New Roman" w:eastAsia="Times New Roman" w:hAnsi="Times New Roman" w:cs="Times New Roman"/>
          <w:sz w:val="24"/>
          <w:szCs w:val="24"/>
          <w:lang w:val="fr-FR" w:eastAsia="en-GB"/>
        </w:rPr>
        <w:t>StGB</w:t>
      </w:r>
      <w:proofErr w:type="spellEnd"/>
      <w:r w:rsidRPr="003231FF">
        <w:rPr>
          <w:rFonts w:ascii="Times New Roman" w:eastAsia="Times New Roman" w:hAnsi="Times New Roman" w:cs="Times New Roman"/>
          <w:sz w:val="24"/>
          <w:szCs w:val="24"/>
          <w:lang w:val="fr-FR" w:eastAsia="en-GB"/>
        </w:rPr>
        <w:t xml:space="preserve">, 2011, nos 290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p. 117 s., n° 307 p. 124 et n° 316 p. 128). Le comportement visé par la norme procéderait, en règle générale, de l'omission de prendre les mesures organisationnelles nécessaires (un comportement actif étant envisageable dans de rares cas) permettant d'identifier les personnes physiques responsables au sein de l'entreprise. L'infraction devrait être appréhendée comme une infraction continue  </w:t>
      </w:r>
      <w:r w:rsidRPr="003231FF">
        <w:rPr>
          <w:rFonts w:ascii="Times New Roman" w:eastAsia="Times New Roman" w:hAnsi="Times New Roman" w:cs="Times New Roman"/>
          <w:i/>
          <w:iCs/>
          <w:sz w:val="24"/>
          <w:szCs w:val="24"/>
          <w:lang w:val="fr-FR" w:eastAsia="en-GB"/>
        </w:rPr>
        <w:t>(</w:t>
      </w:r>
      <w:proofErr w:type="spellStart"/>
      <w:r w:rsidRPr="003231FF">
        <w:rPr>
          <w:rFonts w:ascii="Times New Roman" w:eastAsia="Times New Roman" w:hAnsi="Times New Roman" w:cs="Times New Roman"/>
          <w:i/>
          <w:iCs/>
          <w:sz w:val="24"/>
          <w:szCs w:val="24"/>
          <w:lang w:val="fr-FR" w:eastAsia="en-GB"/>
        </w:rPr>
        <w:t>Dauerdelikt</w:t>
      </w:r>
      <w:proofErr w:type="spellEnd"/>
      <w:r w:rsidRPr="003231FF">
        <w:rPr>
          <w:rFonts w:ascii="Times New Roman" w:eastAsia="Times New Roman" w:hAnsi="Times New Roman" w:cs="Times New Roman"/>
          <w:i/>
          <w:iCs/>
          <w:sz w:val="24"/>
          <w:szCs w:val="24"/>
          <w:lang w:val="fr-FR" w:eastAsia="en-GB"/>
        </w:rPr>
        <w:t>;</w:t>
      </w:r>
      <w:r w:rsidRPr="003231FF">
        <w:rPr>
          <w:rFonts w:ascii="Times New Roman" w:eastAsia="Times New Roman" w:hAnsi="Times New Roman" w:cs="Times New Roman"/>
          <w:sz w:val="24"/>
          <w:szCs w:val="24"/>
          <w:lang w:val="fr-FR" w:eastAsia="en-GB"/>
        </w:rPr>
        <w:t>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102 CP n° 47; </w:t>
      </w:r>
      <w:proofErr w:type="spellStart"/>
      <w:r w:rsidRPr="003231FF">
        <w:rPr>
          <w:rFonts w:ascii="Times New Roman" w:eastAsia="Times New Roman" w:hAnsi="Times New Roman" w:cs="Times New Roman"/>
          <w:sz w:val="24"/>
          <w:szCs w:val="24"/>
          <w:lang w:val="fr-FR" w:eastAsia="en-GB"/>
        </w:rPr>
        <w:t>Heiniger</w:t>
      </w:r>
      <w:proofErr w:type="spell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n° 317 p. 128; contra: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al.,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102 CP n° 7c), se prescrivant comme une contravention (ou comme un délit: </w:t>
      </w:r>
      <w:proofErr w:type="spellStart"/>
      <w:r w:rsidRPr="003231FF">
        <w:rPr>
          <w:rFonts w:ascii="Times New Roman" w:eastAsia="Times New Roman" w:hAnsi="Times New Roman" w:cs="Times New Roman"/>
          <w:sz w:val="24"/>
          <w:szCs w:val="24"/>
          <w:lang w:val="fr-FR" w:eastAsia="en-GB"/>
        </w:rPr>
        <w:t>Heiniger</w:t>
      </w:r>
      <w:proofErr w:type="spell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n° 316 p. 128; v. aussi: Gilbert </w:t>
      </w:r>
      <w:proofErr w:type="spellStart"/>
      <w:r w:rsidRPr="003231FF">
        <w:rPr>
          <w:rFonts w:ascii="Times New Roman" w:eastAsia="Times New Roman" w:hAnsi="Times New Roman" w:cs="Times New Roman"/>
          <w:sz w:val="24"/>
          <w:szCs w:val="24"/>
          <w:lang w:val="fr-FR" w:eastAsia="en-GB"/>
        </w:rPr>
        <w:t>Kolly</w:t>
      </w:r>
      <w:proofErr w:type="spellEnd"/>
      <w:r w:rsidRPr="003231FF">
        <w:rPr>
          <w:rFonts w:ascii="Times New Roman" w:eastAsia="Times New Roman" w:hAnsi="Times New Roman" w:cs="Times New Roman"/>
          <w:sz w:val="24"/>
          <w:szCs w:val="24"/>
          <w:lang w:val="fr-FR" w:eastAsia="en-GB"/>
        </w:rPr>
        <w:t>, in Commentaire romand, Code pénal I, 2009, art. 97 CP n° 45) à compter du jour où l'entreprise a remédié au défaut d'organisation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loc.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Heiniger</w:t>
      </w:r>
      <w:proofErr w:type="spell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n° 317 p. 128; dans le même sens: Message du Conseil fédéral concernant la modification du Code pénal et du Code pénal militaire [allongement des délais de prescription]; FF 2012 8533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ch. 1.3.4 p. 8551). Toutefois, selon les principaux tenants de cette approche, l'infraction réprimée par l'art. 102 al. 1 CP ne pourrait plus être réalisée une fois celle de base prescrite, dès lors que l'impossibilité d'imputer cette dernière à une personne physique ne résulterait alors plus du défaut (même avéré) d'organisation mais de la survenance de la prescription de cette première infraction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op. </w:t>
      </w:r>
      <w:proofErr w:type="spellStart"/>
      <w:proofErr w:type="gram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w:t>
      </w:r>
      <w:proofErr w:type="gramEnd"/>
      <w:r w:rsidRPr="003231FF">
        <w:rPr>
          <w:rFonts w:ascii="Times New Roman" w:eastAsia="Times New Roman" w:hAnsi="Times New Roman" w:cs="Times New Roman"/>
          <w:sz w:val="24"/>
          <w:szCs w:val="24"/>
          <w:lang w:val="fr-FR" w:eastAsia="en-GB"/>
        </w:rPr>
        <w:t xml:space="preserve"> art. 102 CP n° 50; les mêmes, </w:t>
      </w:r>
      <w:proofErr w:type="spellStart"/>
      <w:r w:rsidRPr="003231FF">
        <w:rPr>
          <w:rFonts w:ascii="Times New Roman" w:eastAsia="Times New Roman" w:hAnsi="Times New Roman" w:cs="Times New Roman"/>
          <w:sz w:val="24"/>
          <w:szCs w:val="24"/>
          <w:lang w:val="fr-FR" w:eastAsia="en-GB"/>
        </w:rPr>
        <w:t>Strafrechtliche</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Verantwortlichkeit</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im</w:t>
      </w:r>
      <w:proofErr w:type="spellEnd"/>
      <w:r w:rsidRPr="003231FF">
        <w:rPr>
          <w:rFonts w:ascii="Times New Roman" w:eastAsia="Times New Roman" w:hAnsi="Times New Roman" w:cs="Times New Roman"/>
          <w:sz w:val="24"/>
          <w:szCs w:val="24"/>
          <w:lang w:val="fr-FR" w:eastAsia="en-GB"/>
        </w:rPr>
        <w:t xml:space="preserve"> Konzern, in </w:t>
      </w:r>
      <w:proofErr w:type="spellStart"/>
      <w:r w:rsidRPr="003231FF">
        <w:rPr>
          <w:rFonts w:ascii="Times New Roman" w:eastAsia="Times New Roman" w:hAnsi="Times New Roman" w:cs="Times New Roman"/>
          <w:sz w:val="24"/>
          <w:szCs w:val="24"/>
          <w:lang w:val="fr-FR" w:eastAsia="en-GB"/>
        </w:rPr>
        <w:t>Verantwortlichkeit</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im</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Unternehmen</w:t>
      </w:r>
      <w:proofErr w:type="spellEnd"/>
      <w:r w:rsidRPr="003231FF">
        <w:rPr>
          <w:rFonts w:ascii="Times New Roman" w:eastAsia="Times New Roman" w:hAnsi="Times New Roman" w:cs="Times New Roman"/>
          <w:sz w:val="24"/>
          <w:szCs w:val="24"/>
          <w:lang w:val="fr-FR" w:eastAsia="en-GB"/>
        </w:rPr>
        <w:t xml:space="preserve">, 2007, p. 165 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3.4.3.</w:t>
      </w:r>
      <w:r w:rsidRPr="003231FF">
        <w:rPr>
          <w:rFonts w:ascii="Times New Roman" w:eastAsia="Times New Roman" w:hAnsi="Times New Roman" w:cs="Times New Roman"/>
          <w:sz w:val="24"/>
          <w:szCs w:val="24"/>
          <w:lang w:val="fr-FR" w:eastAsia="en-GB"/>
        </w:rPr>
        <w:t xml:space="preserve"> Quels que soient ses mérites sur un plan général, cette théorie occulte, dans le contexte de la prescription, que le législateur ne s'est pas limité à prescrire aux entreprises de pourvoir adéquatement à leur organisation interne et à sanctionner d'une amende l'omission de ces mesures. Il a soumis l'application de l'art. 102 al. 1 CP à la triple condition de la réalisation d'une infraction de base, de l'existence de carences d'organisation et que celles-ci empêchent d'imputer celle-là à une personne physique déterminée au sein de l'entreprise. Du reste, Niggli et </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qualifient, dans un autre contexte, l'état de fait visé par l'art. 102 al. 1 CP comme infraction de résultat  </w:t>
      </w:r>
      <w:r w:rsidRPr="003231FF">
        <w:rPr>
          <w:rFonts w:ascii="Times New Roman" w:eastAsia="Times New Roman" w:hAnsi="Times New Roman" w:cs="Times New Roman"/>
          <w:i/>
          <w:iCs/>
          <w:sz w:val="24"/>
          <w:szCs w:val="24"/>
          <w:lang w:val="fr-FR" w:eastAsia="en-GB"/>
        </w:rPr>
        <w:t>(</w:t>
      </w:r>
      <w:proofErr w:type="spellStart"/>
      <w:r w:rsidRPr="003231FF">
        <w:rPr>
          <w:rFonts w:ascii="Times New Roman" w:eastAsia="Times New Roman" w:hAnsi="Times New Roman" w:cs="Times New Roman"/>
          <w:i/>
          <w:iCs/>
          <w:sz w:val="24"/>
          <w:szCs w:val="24"/>
          <w:lang w:val="fr-FR" w:eastAsia="en-GB"/>
        </w:rPr>
        <w:t>Erfolgsdelikt</w:t>
      </w:r>
      <w:proofErr w:type="spellEnd"/>
      <w:r w:rsidRPr="003231FF">
        <w:rPr>
          <w:rFonts w:ascii="Times New Roman" w:eastAsia="Times New Roman" w:hAnsi="Times New Roman" w:cs="Times New Roman"/>
          <w:i/>
          <w:iCs/>
          <w:sz w:val="24"/>
          <w:szCs w:val="24"/>
          <w:lang w:val="fr-FR" w:eastAsia="en-GB"/>
        </w:rPr>
        <w:t>)</w:t>
      </w:r>
      <w:r w:rsidRPr="003231FF">
        <w:rPr>
          <w:rFonts w:ascii="Times New Roman" w:eastAsia="Times New Roman" w:hAnsi="Times New Roman" w:cs="Times New Roman"/>
          <w:sz w:val="24"/>
          <w:szCs w:val="24"/>
          <w:lang w:val="fr-FR" w:eastAsia="en-GB"/>
        </w:rPr>
        <w:t>, celui-ci résidant précisément dans l'impossibilité d'imputer l'infraction de base à une personne physique déterminée (Niggli/</w:t>
      </w:r>
      <w:proofErr w:type="spellStart"/>
      <w:r w:rsidRPr="003231FF">
        <w:rPr>
          <w:rFonts w:ascii="Times New Roman" w:eastAsia="Times New Roman" w:hAnsi="Times New Roman" w:cs="Times New Roman"/>
          <w:sz w:val="24"/>
          <w:szCs w:val="24"/>
          <w:lang w:val="fr-FR" w:eastAsia="en-GB"/>
        </w:rPr>
        <w:t>Gfeller</w:t>
      </w:r>
      <w:proofErr w:type="spellEnd"/>
      <w:r w:rsidRPr="003231FF">
        <w:rPr>
          <w:rFonts w:ascii="Times New Roman" w:eastAsia="Times New Roman" w:hAnsi="Times New Roman" w:cs="Times New Roman"/>
          <w:sz w:val="24"/>
          <w:szCs w:val="24"/>
          <w:lang w:val="fr-FR" w:eastAsia="en-GB"/>
        </w:rPr>
        <w:t xml:space="preserve">, op. </w:t>
      </w:r>
      <w:proofErr w:type="spellStart"/>
      <w:proofErr w:type="gram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w:t>
      </w:r>
      <w:proofErr w:type="gramEnd"/>
      <w:r w:rsidRPr="003231FF">
        <w:rPr>
          <w:rFonts w:ascii="Times New Roman" w:eastAsia="Times New Roman" w:hAnsi="Times New Roman" w:cs="Times New Roman"/>
          <w:sz w:val="24"/>
          <w:szCs w:val="24"/>
          <w:lang w:val="fr-FR" w:eastAsia="en-GB"/>
        </w:rPr>
        <w:t xml:space="preserve"> art. 102 CP n° 53). Certes, </w:t>
      </w:r>
      <w:proofErr w:type="spellStart"/>
      <w:r w:rsidRPr="003231FF">
        <w:rPr>
          <w:rFonts w:ascii="Times New Roman" w:eastAsia="Times New Roman" w:hAnsi="Times New Roman" w:cs="Times New Roman"/>
          <w:sz w:val="24"/>
          <w:szCs w:val="24"/>
          <w:lang w:val="fr-FR" w:eastAsia="en-GB"/>
        </w:rPr>
        <w:t>Heiniger</w:t>
      </w:r>
      <w:proofErr w:type="spellEnd"/>
      <w:r w:rsidRPr="003231FF">
        <w:rPr>
          <w:rFonts w:ascii="Times New Roman" w:eastAsia="Times New Roman" w:hAnsi="Times New Roman" w:cs="Times New Roman"/>
          <w:sz w:val="24"/>
          <w:szCs w:val="24"/>
          <w:lang w:val="fr-FR" w:eastAsia="en-GB"/>
        </w:rPr>
        <w:t xml:space="preserve"> appréhende l'état de fait réprimé comme un délit de mise en danger abstrait au motif qu'il est reproché à l'entreprise de n'avoir pas maintenu une organisation adéquate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n° 274 p. 109). Cette dernière approche méconnaît cependant, elle aussi, que le manque d'organisation dans le contexte de la commission de l'infraction de base doit empêcher l'imputation de cette infraction précise à une personne physique déterminée et atteint ainsi concrètement l'administration de la justice considérée comme bien juridiquement protégé. En d'autres termes, la désorganisation n'est déterminante qu'autant </w:t>
      </w:r>
      <w:r w:rsidRPr="003231FF">
        <w:rPr>
          <w:rFonts w:ascii="Times New Roman" w:eastAsia="Times New Roman" w:hAnsi="Times New Roman" w:cs="Times New Roman"/>
          <w:sz w:val="24"/>
          <w:szCs w:val="24"/>
          <w:lang w:val="fr-FR" w:eastAsia="en-GB"/>
        </w:rPr>
        <w:lastRenderedPageBreak/>
        <w:t xml:space="preserve">qu'elle induit l'absence de preuve permettant l'imputation à une personne physique. On ne voit donc pas de motif d'ignorer cet aspect de l'art. 102 al. 1 CP s'agissant de déterminer l'effet de la prescription sur l'application de cette norme (en ce sens: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w:t>
      </w:r>
      <w:proofErr w:type="gramStart"/>
      <w:r w:rsidRPr="003231FF">
        <w:rPr>
          <w:rFonts w:ascii="Times New Roman" w:eastAsia="Times New Roman" w:hAnsi="Times New Roman" w:cs="Times New Roman"/>
          <w:sz w:val="24"/>
          <w:szCs w:val="24"/>
          <w:lang w:val="fr-FR" w:eastAsia="en-GB"/>
        </w:rPr>
        <w:t>al.,</w:t>
      </w:r>
      <w:proofErr w:type="gramEnd"/>
      <w:r w:rsidRPr="003231FF">
        <w:rPr>
          <w:rFonts w:ascii="Times New Roman" w:eastAsia="Times New Roman" w:hAnsi="Times New Roman" w:cs="Times New Roman"/>
          <w:sz w:val="24"/>
          <w:szCs w:val="24"/>
          <w:lang w:val="fr-FR" w:eastAsia="en-GB"/>
        </w:rPr>
        <w:t xml:space="preserve">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102 CP n° 7c).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En prenant en considération cette exigence légale d'un résultat concret, il apparaît d'emblée que l'art. 102 al. 1 CP ne peut être appréhendé comme une infraction continue. En effet, une fois l'infraction de base commise dans des conditions d'organisation internes à l'entreprise ne permettant pas l'identification de son auteur (ou la réunion sur une seule tête de toutes les conditions de </w:t>
      </w:r>
      <w:proofErr w:type="spellStart"/>
      <w:r w:rsidRPr="003231FF">
        <w:rPr>
          <w:rFonts w:ascii="Times New Roman" w:eastAsia="Times New Roman" w:hAnsi="Times New Roman" w:cs="Times New Roman"/>
          <w:sz w:val="24"/>
          <w:szCs w:val="24"/>
          <w:lang w:val="fr-FR" w:eastAsia="en-GB"/>
        </w:rPr>
        <w:t>punissabilité</w:t>
      </w:r>
      <w:proofErr w:type="spellEnd"/>
      <w:r w:rsidRPr="003231FF">
        <w:rPr>
          <w:rFonts w:ascii="Times New Roman" w:eastAsia="Times New Roman" w:hAnsi="Times New Roman" w:cs="Times New Roman"/>
          <w:sz w:val="24"/>
          <w:szCs w:val="24"/>
          <w:lang w:val="fr-FR" w:eastAsia="en-GB"/>
        </w:rPr>
        <w:t xml:space="preserve"> de l'infraction de base), les correctifs susceptibles d'être mis en place postérieurement (définition claire des postes, compétences et responsabilités; tenue de plans de travail nominatifs précis; instauration de carnets de course pour les véhicules d'entreprise, etc.) ne seraient jamais de nature à supprimer le résultat (impossibilité d'imputer l'infraction de base à une personne physique). La prescription ne commencerait donc jamais à courir. Aussi, dans la conception selon laquelle l'art. 102 al. 1 CP constituerait une infraction (par opposition à une norme d'imputation), il faudrait logiquement, pour tenir compte de l'ensemble des conditions posées par la loi, considérer que cette infraction de résultat est réalisée dès la commission de l'infraction de base dans le cadre d'une organisation déficiente de l'entreprise ne permettant pas d'en identifier la personne physique responsable et que cette condition demeure (et demeurera) réalisée indépendamment de toute action ou omission de l'entreprise. Il s'agirait, partant, typiquement d'une infraction de situation  </w:t>
      </w:r>
      <w:r w:rsidRPr="003231FF">
        <w:rPr>
          <w:rFonts w:ascii="Times New Roman" w:eastAsia="Times New Roman" w:hAnsi="Times New Roman" w:cs="Times New Roman"/>
          <w:i/>
          <w:iCs/>
          <w:sz w:val="24"/>
          <w:szCs w:val="24"/>
          <w:lang w:val="fr-FR" w:eastAsia="en-GB"/>
        </w:rPr>
        <w:t>(</w:t>
      </w:r>
      <w:proofErr w:type="spellStart"/>
      <w:r w:rsidRPr="003231FF">
        <w:rPr>
          <w:rFonts w:ascii="Times New Roman" w:eastAsia="Times New Roman" w:hAnsi="Times New Roman" w:cs="Times New Roman"/>
          <w:i/>
          <w:iCs/>
          <w:sz w:val="24"/>
          <w:szCs w:val="24"/>
          <w:lang w:val="fr-FR" w:eastAsia="en-GB"/>
        </w:rPr>
        <w:t>Zustandsdelikt</w:t>
      </w:r>
      <w:proofErr w:type="spellEnd"/>
      <w:r w:rsidRPr="003231FF">
        <w:rPr>
          <w:rFonts w:ascii="Times New Roman" w:eastAsia="Times New Roman" w:hAnsi="Times New Roman" w:cs="Times New Roman"/>
          <w:i/>
          <w:iCs/>
          <w:sz w:val="24"/>
          <w:szCs w:val="24"/>
          <w:lang w:val="fr-FR" w:eastAsia="en-GB"/>
        </w:rPr>
        <w:t>)</w:t>
      </w:r>
      <w:r w:rsidRPr="003231FF">
        <w:rPr>
          <w:rFonts w:ascii="Times New Roman" w:eastAsia="Times New Roman" w:hAnsi="Times New Roman" w:cs="Times New Roman"/>
          <w:sz w:val="24"/>
          <w:szCs w:val="24"/>
          <w:lang w:val="fr-FR" w:eastAsia="en-GB"/>
        </w:rPr>
        <w:t xml:space="preserve">, pour laquelle le délai de prescription courrait aussitôt l'ensemble des éléments constitutifs réalisés, soit au moment déjà de la commission de l'infraction de base dans des conditions n'en permettant pas d'identifier l'auteur (v. sur la prescription des infractions de situation, parmi d'autres: Gilbert </w:t>
      </w:r>
      <w:proofErr w:type="spellStart"/>
      <w:r w:rsidRPr="003231FF">
        <w:rPr>
          <w:rFonts w:ascii="Times New Roman" w:eastAsia="Times New Roman" w:hAnsi="Times New Roman" w:cs="Times New Roman"/>
          <w:sz w:val="24"/>
          <w:szCs w:val="24"/>
          <w:lang w:val="fr-FR" w:eastAsia="en-GB"/>
        </w:rPr>
        <w:t>Kolly</w:t>
      </w:r>
      <w:proofErr w:type="spellEnd"/>
      <w:r w:rsidRPr="003231FF">
        <w:rPr>
          <w:rFonts w:ascii="Times New Roman" w:eastAsia="Times New Roman" w:hAnsi="Times New Roman" w:cs="Times New Roman"/>
          <w:sz w:val="24"/>
          <w:szCs w:val="24"/>
          <w:lang w:val="fr-FR" w:eastAsia="en-GB"/>
        </w:rPr>
        <w:t xml:space="preserve">, in Commentaire romand, Code pénal, 2009, art. 98 CP n° 11;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al.,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98 CP n° 6; v. aussi en relation avec l'art. 102 al. 1 CP: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al., op. </w:t>
      </w:r>
      <w:proofErr w:type="spellStart"/>
      <w:r w:rsidRPr="003231FF">
        <w:rPr>
          <w:rFonts w:ascii="Times New Roman" w:eastAsia="Times New Roman" w:hAnsi="Times New Roman" w:cs="Times New Roman"/>
          <w:sz w:val="24"/>
          <w:szCs w:val="24"/>
          <w:lang w:val="fr-FR" w:eastAsia="en-GB"/>
        </w:rPr>
        <w:t>cit</w:t>
      </w:r>
      <w:proofErr w:type="spellEnd"/>
      <w:r w:rsidRPr="003231FF">
        <w:rPr>
          <w:rFonts w:ascii="Times New Roman" w:eastAsia="Times New Roman" w:hAnsi="Times New Roman" w:cs="Times New Roman"/>
          <w:sz w:val="24"/>
          <w:szCs w:val="24"/>
          <w:lang w:val="fr-FR" w:eastAsia="en-GB"/>
        </w:rPr>
        <w:t xml:space="preserve">., art. 102 CP n° 7c).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3.4.4.</w:t>
      </w:r>
      <w:r w:rsidRPr="003231FF">
        <w:rPr>
          <w:rFonts w:ascii="Times New Roman" w:eastAsia="Times New Roman" w:hAnsi="Times New Roman" w:cs="Times New Roman"/>
          <w:sz w:val="24"/>
          <w:szCs w:val="24"/>
          <w:lang w:val="fr-FR" w:eastAsia="en-GB"/>
        </w:rPr>
        <w:t xml:space="preserve"> En conclusion, si l'on ne devait pas admettre, avec ce courant de doctrine, que les conditions de l'art. 102 al. 1 CP (considéré comme une contravention ou un délit), ne peuvent plus être réalisées une fois l'infraction de base prescrite, il faudrait en tous les cas retenir, avec </w:t>
      </w:r>
      <w:proofErr w:type="spellStart"/>
      <w:r w:rsidRPr="003231FF">
        <w:rPr>
          <w:rFonts w:ascii="Times New Roman" w:eastAsia="Times New Roman" w:hAnsi="Times New Roman" w:cs="Times New Roman"/>
          <w:sz w:val="24"/>
          <w:szCs w:val="24"/>
          <w:lang w:val="fr-FR" w:eastAsia="en-GB"/>
        </w:rPr>
        <w:t>Trechsel</w:t>
      </w:r>
      <w:proofErr w:type="spellEnd"/>
      <w:r w:rsidRPr="003231FF">
        <w:rPr>
          <w:rFonts w:ascii="Times New Roman" w:eastAsia="Times New Roman" w:hAnsi="Times New Roman" w:cs="Times New Roman"/>
          <w:sz w:val="24"/>
          <w:szCs w:val="24"/>
          <w:lang w:val="fr-FR" w:eastAsia="en-GB"/>
        </w:rPr>
        <w:t xml:space="preserve"> et </w:t>
      </w:r>
      <w:proofErr w:type="gramStart"/>
      <w:r w:rsidRPr="003231FF">
        <w:rPr>
          <w:rFonts w:ascii="Times New Roman" w:eastAsia="Times New Roman" w:hAnsi="Times New Roman" w:cs="Times New Roman"/>
          <w:sz w:val="24"/>
          <w:szCs w:val="24"/>
          <w:lang w:val="fr-FR" w:eastAsia="en-GB"/>
        </w:rPr>
        <w:t>al.,</w:t>
      </w:r>
      <w:proofErr w:type="gramEnd"/>
      <w:r w:rsidRPr="003231FF">
        <w:rPr>
          <w:rFonts w:ascii="Times New Roman" w:eastAsia="Times New Roman" w:hAnsi="Times New Roman" w:cs="Times New Roman"/>
          <w:sz w:val="24"/>
          <w:szCs w:val="24"/>
          <w:lang w:val="fr-FR" w:eastAsia="en-GB"/>
        </w:rPr>
        <w:t xml:space="preserve"> que le délai de prescription de l'infraction réprimée par l'art. 102 al. 1 CP courrait, lorsque la désorganisation préexiste à l'infraction de base, au plus tard du jour de la commission de celle-ci. Sous réserve de la question de la durée du délai de prescription, on aboutit ainsi à la même solution que celle préconisée par les auteurs soutenant qu'il s'agit d'une norme d'imputation ou d'une norme mixte. Il s'ensuit, en l'espèce, que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peut rien déduire non plus en sa faveur de l'argumentation qu'elle développe à propos de la notion d'imputation retenue par les auteurs qualifiant la norme comme une contravention ou un délit.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invoque encore la violation de son droit à une enquête effective découlant du droit à la vie garanti par </w:t>
      </w:r>
      <w:proofErr w:type="gramStart"/>
      <w:r w:rsidRPr="003231FF">
        <w:rPr>
          <w:rFonts w:ascii="Times New Roman" w:eastAsia="Times New Roman" w:hAnsi="Times New Roman" w:cs="Times New Roman"/>
          <w:sz w:val="24"/>
          <w:szCs w:val="24"/>
          <w:lang w:val="fr-FR" w:eastAsia="en-GB"/>
        </w:rPr>
        <w:t>les art</w:t>
      </w:r>
      <w:proofErr w:type="gramEnd"/>
      <w:r w:rsidRPr="003231FF">
        <w:rPr>
          <w:rFonts w:ascii="Times New Roman" w:eastAsia="Times New Roman" w:hAnsi="Times New Roman" w:cs="Times New Roman"/>
          <w:sz w:val="24"/>
          <w:szCs w:val="24"/>
          <w:lang w:val="fr-FR" w:eastAsia="en-GB"/>
        </w:rPr>
        <w:t xml:space="preserve">. 10 </w:t>
      </w:r>
      <w:proofErr w:type="spellStart"/>
      <w:r w:rsidRPr="003231FF">
        <w:rPr>
          <w:rFonts w:ascii="Times New Roman" w:eastAsia="Times New Roman" w:hAnsi="Times New Roman" w:cs="Times New Roman"/>
          <w:sz w:val="24"/>
          <w:szCs w:val="24"/>
          <w:lang w:val="fr-FR" w:eastAsia="en-GB"/>
        </w:rPr>
        <w:t>Cst</w:t>
      </w:r>
      <w:proofErr w:type="spellEnd"/>
      <w:r w:rsidRPr="003231FF">
        <w:rPr>
          <w:rFonts w:ascii="Times New Roman" w:eastAsia="Times New Roman" w:hAnsi="Times New Roman" w:cs="Times New Roman"/>
          <w:sz w:val="24"/>
          <w:szCs w:val="24"/>
          <w:lang w:val="fr-FR" w:eastAsia="en-GB"/>
        </w:rPr>
        <w:t xml:space="preserve">. et 2 CEDH. En se référant à diverses décisions de la Cour européenne des droits de l'Homme, elle reproche à la cour cantonale d'avoir jugé que ce droit pourrait être mis en échec par la seule prescription de l'infraction en droit interne. </w:t>
      </w:r>
      <w:proofErr w:type="gramStart"/>
      <w:r w:rsidRPr="003231FF">
        <w:rPr>
          <w:rFonts w:ascii="Times New Roman" w:eastAsia="Times New Roman" w:hAnsi="Times New Roman" w:cs="Times New Roman"/>
          <w:sz w:val="24"/>
          <w:szCs w:val="24"/>
          <w:lang w:val="fr-FR" w:eastAsia="en-GB"/>
        </w:rPr>
        <w:t>Elle objecte</w:t>
      </w:r>
      <w:proofErr w:type="gramEnd"/>
      <w:r w:rsidRPr="003231FF">
        <w:rPr>
          <w:rFonts w:ascii="Times New Roman" w:eastAsia="Times New Roman" w:hAnsi="Times New Roman" w:cs="Times New Roman"/>
          <w:sz w:val="24"/>
          <w:szCs w:val="24"/>
          <w:lang w:val="fr-FR" w:eastAsia="en-GB"/>
        </w:rPr>
        <w:t xml:space="preserve"> que l'obligation d'enquête effective déduite de l'art. 2 CEDH, qui existerait même lorsque le décès est survenu à l'étranger (arrêt CEDH  </w:t>
      </w:r>
      <w:proofErr w:type="spellStart"/>
      <w:r w:rsidRPr="003231FF">
        <w:rPr>
          <w:rFonts w:ascii="Times New Roman" w:eastAsia="Times New Roman" w:hAnsi="Times New Roman" w:cs="Times New Roman"/>
          <w:i/>
          <w:iCs/>
          <w:sz w:val="24"/>
          <w:szCs w:val="24"/>
          <w:lang w:val="fr-FR" w:eastAsia="en-GB"/>
        </w:rPr>
        <w:t>Rantsev</w:t>
      </w:r>
      <w:proofErr w:type="spellEnd"/>
      <w:r w:rsidRPr="003231FF">
        <w:rPr>
          <w:rFonts w:ascii="Times New Roman" w:eastAsia="Times New Roman" w:hAnsi="Times New Roman" w:cs="Times New Roman"/>
          <w:i/>
          <w:iCs/>
          <w:sz w:val="24"/>
          <w:szCs w:val="24"/>
          <w:lang w:val="fr-FR" w:eastAsia="en-GB"/>
        </w:rPr>
        <w:t xml:space="preserve"> c. Chypre et Russie</w:t>
      </w:r>
      <w:r w:rsidRPr="003231FF">
        <w:rPr>
          <w:rFonts w:ascii="Times New Roman" w:eastAsia="Times New Roman" w:hAnsi="Times New Roman" w:cs="Times New Roman"/>
          <w:sz w:val="24"/>
          <w:szCs w:val="24"/>
          <w:lang w:val="fr-FR" w:eastAsia="en-GB"/>
        </w:rPr>
        <w:t xml:space="preserve"> du 7 janvier 2010; Requête n° 25965/04), perdurerait pendant toute la période où l'on peut raisonnablement attendre des autorités qu'elles prennent des mesures pour élucider les </w:t>
      </w:r>
      <w:r w:rsidRPr="003231FF">
        <w:rPr>
          <w:rFonts w:ascii="Times New Roman" w:eastAsia="Times New Roman" w:hAnsi="Times New Roman" w:cs="Times New Roman"/>
          <w:sz w:val="24"/>
          <w:szCs w:val="24"/>
          <w:lang w:val="fr-FR" w:eastAsia="en-GB"/>
        </w:rPr>
        <w:lastRenderedPageBreak/>
        <w:t xml:space="preserve">circonstances d'un décès et établir les responsabilités éventuelles (arrêts CEDH  </w:t>
      </w:r>
      <w:proofErr w:type="spellStart"/>
      <w:r w:rsidRPr="003231FF">
        <w:rPr>
          <w:rFonts w:ascii="Times New Roman" w:eastAsia="Times New Roman" w:hAnsi="Times New Roman" w:cs="Times New Roman"/>
          <w:i/>
          <w:iCs/>
          <w:sz w:val="24"/>
          <w:szCs w:val="24"/>
          <w:lang w:val="fr-FR" w:eastAsia="en-GB"/>
        </w:rPr>
        <w:t>Janowiec</w:t>
      </w:r>
      <w:proofErr w:type="spellEnd"/>
      <w:r w:rsidRPr="003231FF">
        <w:rPr>
          <w:rFonts w:ascii="Times New Roman" w:eastAsia="Times New Roman" w:hAnsi="Times New Roman" w:cs="Times New Roman"/>
          <w:i/>
          <w:iCs/>
          <w:sz w:val="24"/>
          <w:szCs w:val="24"/>
          <w:lang w:val="fr-FR" w:eastAsia="en-GB"/>
        </w:rPr>
        <w:t xml:space="preserve"> et autres c. Russie</w:t>
      </w:r>
      <w:r w:rsidRPr="003231FF">
        <w:rPr>
          <w:rFonts w:ascii="Times New Roman" w:eastAsia="Times New Roman" w:hAnsi="Times New Roman" w:cs="Times New Roman"/>
          <w:sz w:val="24"/>
          <w:szCs w:val="24"/>
          <w:lang w:val="fr-FR" w:eastAsia="en-GB"/>
        </w:rPr>
        <w:t xml:space="preserve"> du 16 avril 2012 [5 </w:t>
      </w:r>
      <w:r w:rsidRPr="003231FF">
        <w:rPr>
          <w:rFonts w:ascii="Times New Roman" w:eastAsia="Times New Roman" w:hAnsi="Times New Roman" w:cs="Times New Roman"/>
          <w:sz w:val="24"/>
          <w:szCs w:val="24"/>
          <w:vertAlign w:val="superscript"/>
          <w:lang w:val="fr-FR" w:eastAsia="en-GB"/>
        </w:rPr>
        <w:t>e</w:t>
      </w:r>
      <w:r w:rsidRPr="003231FF">
        <w:rPr>
          <w:rFonts w:ascii="Times New Roman" w:eastAsia="Times New Roman" w:hAnsi="Times New Roman" w:cs="Times New Roman"/>
          <w:sz w:val="24"/>
          <w:szCs w:val="24"/>
          <w:lang w:val="fr-FR" w:eastAsia="en-GB"/>
        </w:rPr>
        <w:t xml:space="preserve"> Section], Requêtes nos 55508/07 et 29520/09, § 130; S  </w:t>
      </w:r>
      <w:proofErr w:type="spellStart"/>
      <w:r w:rsidRPr="003231FF">
        <w:rPr>
          <w:rFonts w:ascii="Times New Roman" w:eastAsia="Times New Roman" w:hAnsi="Times New Roman" w:cs="Times New Roman"/>
          <w:i/>
          <w:iCs/>
          <w:sz w:val="24"/>
          <w:szCs w:val="24"/>
          <w:lang w:val="fr-FR" w:eastAsia="en-GB"/>
        </w:rPr>
        <w:t>ilih</w:t>
      </w:r>
      <w:proofErr w:type="spellEnd"/>
      <w:r w:rsidRPr="003231FF">
        <w:rPr>
          <w:rFonts w:ascii="Times New Roman" w:eastAsia="Times New Roman" w:hAnsi="Times New Roman" w:cs="Times New Roman"/>
          <w:i/>
          <w:iCs/>
          <w:sz w:val="24"/>
          <w:szCs w:val="24"/>
          <w:lang w:val="fr-FR" w:eastAsia="en-GB"/>
        </w:rPr>
        <w:t xml:space="preserve"> c. Slovénie</w:t>
      </w:r>
      <w:r w:rsidRPr="003231FF">
        <w:rPr>
          <w:rFonts w:ascii="Times New Roman" w:eastAsia="Times New Roman" w:hAnsi="Times New Roman" w:cs="Times New Roman"/>
          <w:sz w:val="24"/>
          <w:szCs w:val="24"/>
          <w:lang w:val="fr-FR" w:eastAsia="en-GB"/>
        </w:rPr>
        <w:t xml:space="preserve"> du 9 avril 2009, Requête n° 71463/01, § 157). Elle relève également que, dans l'affaire  </w:t>
      </w:r>
      <w:r w:rsidRPr="003231FF">
        <w:rPr>
          <w:rFonts w:ascii="Times New Roman" w:eastAsia="Times New Roman" w:hAnsi="Times New Roman" w:cs="Times New Roman"/>
          <w:i/>
          <w:iCs/>
          <w:sz w:val="24"/>
          <w:szCs w:val="24"/>
          <w:lang w:val="fr-FR" w:eastAsia="en-GB"/>
        </w:rPr>
        <w:t>El-</w:t>
      </w:r>
      <w:proofErr w:type="spellStart"/>
      <w:r w:rsidRPr="003231FF">
        <w:rPr>
          <w:rFonts w:ascii="Times New Roman" w:eastAsia="Times New Roman" w:hAnsi="Times New Roman" w:cs="Times New Roman"/>
          <w:i/>
          <w:iCs/>
          <w:sz w:val="24"/>
          <w:szCs w:val="24"/>
          <w:lang w:val="fr-FR" w:eastAsia="en-GB"/>
        </w:rPr>
        <w:t>Masri</w:t>
      </w:r>
      <w:proofErr w:type="spellEnd"/>
      <w:r w:rsidRPr="003231FF">
        <w:rPr>
          <w:rFonts w:ascii="Times New Roman" w:eastAsia="Times New Roman" w:hAnsi="Times New Roman" w:cs="Times New Roman"/>
          <w:i/>
          <w:iCs/>
          <w:sz w:val="24"/>
          <w:szCs w:val="24"/>
          <w:lang w:val="fr-FR" w:eastAsia="en-GB"/>
        </w:rPr>
        <w:t xml:space="preserve"> c. l'ex-République Yougoslave de Macédoine</w:t>
      </w:r>
      <w:r w:rsidRPr="003231FF">
        <w:rPr>
          <w:rFonts w:ascii="Times New Roman" w:eastAsia="Times New Roman" w:hAnsi="Times New Roman" w:cs="Times New Roman"/>
          <w:sz w:val="24"/>
          <w:szCs w:val="24"/>
          <w:lang w:val="fr-FR" w:eastAsia="en-GB"/>
        </w:rPr>
        <w:t xml:space="preserve"> (arrêt du 13 décembre 2012; Requête n°39630/09), il aurait été jugé que le fait qu'une plainte avait été déposée peu avant l'échéance de la prescription de l'action pénale n'aurait pas fait obstacle au droit d'exiger une telle enquête des autorités compétentes.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4.1.</w:t>
      </w:r>
      <w:r w:rsidRPr="003231FF">
        <w:rPr>
          <w:rFonts w:ascii="Times New Roman" w:eastAsia="Times New Roman" w:hAnsi="Times New Roman" w:cs="Times New Roman"/>
          <w:sz w:val="24"/>
          <w:szCs w:val="24"/>
          <w:lang w:val="fr-FR" w:eastAsia="en-GB"/>
        </w:rPr>
        <w:t xml:space="preserv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n'expose pas le contenu de l'art. 10 </w:t>
      </w:r>
      <w:proofErr w:type="spellStart"/>
      <w:r w:rsidRPr="003231FF">
        <w:rPr>
          <w:rFonts w:ascii="Times New Roman" w:eastAsia="Times New Roman" w:hAnsi="Times New Roman" w:cs="Times New Roman"/>
          <w:sz w:val="24"/>
          <w:szCs w:val="24"/>
          <w:lang w:val="fr-FR" w:eastAsia="en-GB"/>
        </w:rPr>
        <w:t>Cst</w:t>
      </w:r>
      <w:proofErr w:type="spellEnd"/>
      <w:r w:rsidRPr="003231FF">
        <w:rPr>
          <w:rFonts w:ascii="Times New Roman" w:eastAsia="Times New Roman" w:hAnsi="Times New Roman" w:cs="Times New Roman"/>
          <w:sz w:val="24"/>
          <w:szCs w:val="24"/>
          <w:lang w:val="fr-FR" w:eastAsia="en-GB"/>
        </w:rPr>
        <w:t xml:space="preserve">., moins encore ce qu'elle entend déduire, au plan procédural, de cette norme qui garantit le droit à la vie et la liberté personnelle. Elle ne tente pas, en particulier, de démontrer que cette disposition lui offrirait, sur ce plan, des garanties plus étendues que les règles conventionnelles qu'elle invoque également. Faute de toute motivation répondant aux exigences de l'art. 106 al. 2 LTF, il n'y a pas lieu d'examiner la cause sous cet angle.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w:t>
      </w:r>
      <w:r w:rsidRPr="003231FF">
        <w:rPr>
          <w:rFonts w:ascii="Times New Roman" w:eastAsia="Times New Roman" w:hAnsi="Times New Roman" w:cs="Times New Roman"/>
          <w:sz w:val="24"/>
          <w:szCs w:val="24"/>
          <w:lang w:val="fr-FR" w:eastAsia="en-GB"/>
        </w:rPr>
        <w:t xml:space="preserve"> Selon la jurisprudence de la Cour européenne des droits de l'Homme, combinée avec le devoir général incombant à l'Etat en vertu de l'art. 1 CEDH de « reconnaître à toute personne relevant de sa juridiction les droits et libertés définis dans la Convention », l'obligation de protéger le droit à la vie qu'impose l'art. 2 CEDH, comporte un volet procédural, comprenant le droit à une enquête effective lorsque le recours à la force a entraîné la mort d'une personne, même dans des circonstances non imputables à l'Etat. Ce droit tend à rendre effective l'application des dispositions du droit interne protégeant le droit à la vie (parmi d'autres: v. arrêt  </w:t>
      </w:r>
      <w:proofErr w:type="spellStart"/>
      <w:r w:rsidRPr="003231FF">
        <w:rPr>
          <w:rFonts w:ascii="Times New Roman" w:eastAsia="Times New Roman" w:hAnsi="Times New Roman" w:cs="Times New Roman"/>
          <w:i/>
          <w:iCs/>
          <w:sz w:val="24"/>
          <w:szCs w:val="24"/>
          <w:lang w:val="fr-FR" w:eastAsia="en-GB"/>
        </w:rPr>
        <w:t>Rantsev</w:t>
      </w:r>
      <w:proofErr w:type="spellEnd"/>
      <w:r w:rsidRPr="003231FF">
        <w:rPr>
          <w:rFonts w:ascii="Times New Roman" w:eastAsia="Times New Roman" w:hAnsi="Times New Roman" w:cs="Times New Roman"/>
          <w:sz w:val="24"/>
          <w:szCs w:val="24"/>
          <w:lang w:val="fr-FR" w:eastAsia="en-GB"/>
        </w:rPr>
        <w:t xml:space="preserve">, précité, § 232).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4.2.1.</w:t>
      </w:r>
      <w:r w:rsidRPr="003231FF">
        <w:rPr>
          <w:rFonts w:ascii="Times New Roman" w:eastAsia="Times New Roman" w:hAnsi="Times New Roman" w:cs="Times New Roman"/>
          <w:sz w:val="24"/>
          <w:szCs w:val="24"/>
          <w:lang w:val="fr-FR" w:eastAsia="en-GB"/>
        </w:rPr>
        <w:t xml:space="preserve"> Etant tout d'abord rappelé </w:t>
      </w:r>
      <w:proofErr w:type="gramStart"/>
      <w:r w:rsidRPr="003231FF">
        <w:rPr>
          <w:rFonts w:ascii="Times New Roman" w:eastAsia="Times New Roman" w:hAnsi="Times New Roman" w:cs="Times New Roman"/>
          <w:sz w:val="24"/>
          <w:szCs w:val="24"/>
          <w:lang w:val="fr-FR" w:eastAsia="en-GB"/>
        </w:rPr>
        <w:t>que A</w:t>
      </w:r>
      <w:proofErr w:type="gramEnd"/>
      <w:r w:rsidRPr="003231FF">
        <w:rPr>
          <w:rFonts w:ascii="Times New Roman" w:eastAsia="Times New Roman" w:hAnsi="Times New Roman" w:cs="Times New Roman"/>
          <w:sz w:val="24"/>
          <w:szCs w:val="24"/>
          <w:lang w:val="fr-FR" w:eastAsia="en-GB"/>
        </w:rPr>
        <w:t xml:space="preserve">.________ est décédé en Colombie, dont il était ressortissant, il ne va pas de soi que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puisse se prévaloir des droits que « Les Hautes Parties contractantes reconnaissent à toute personne  </w:t>
      </w:r>
      <w:r w:rsidRPr="003231FF">
        <w:rPr>
          <w:rFonts w:ascii="Times New Roman" w:eastAsia="Times New Roman" w:hAnsi="Times New Roman" w:cs="Times New Roman"/>
          <w:i/>
          <w:iCs/>
          <w:sz w:val="24"/>
          <w:szCs w:val="24"/>
          <w:lang w:val="fr-FR" w:eastAsia="en-GB"/>
        </w:rPr>
        <w:t>relevant de leur juridiction</w:t>
      </w:r>
      <w:r w:rsidRPr="003231FF">
        <w:rPr>
          <w:rFonts w:ascii="Times New Roman" w:eastAsia="Times New Roman" w:hAnsi="Times New Roman" w:cs="Times New Roman"/>
          <w:sz w:val="24"/>
          <w:szCs w:val="24"/>
          <w:lang w:val="fr-FR" w:eastAsia="en-GB"/>
        </w:rPr>
        <w:t xml:space="preserve"> » au sens de l'art. 1 CEDH et déduire de la garantie du droit à la vie offerte par l'art. 2 CEDH une prétention à une enquête effective à l'égard des autorités suisses. Du reste, selon la jurisprudence de la Cour européenne, contrairement à la lecture qu'en donne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l'art. 2 en corrélation avec l'art. 1 CEDH ne permettrait d'imposer à la Suisse une obligation procédurale d'enquêter effectivement sur un décès survenu à l'étranger qu'en présence de circonstances particulières (arrêts  </w:t>
      </w:r>
      <w:proofErr w:type="spellStart"/>
      <w:r w:rsidRPr="003231FF">
        <w:rPr>
          <w:rFonts w:ascii="Times New Roman" w:eastAsia="Times New Roman" w:hAnsi="Times New Roman" w:cs="Times New Roman"/>
          <w:i/>
          <w:iCs/>
          <w:sz w:val="24"/>
          <w:szCs w:val="24"/>
          <w:lang w:val="fr-FR" w:eastAsia="en-GB"/>
        </w:rPr>
        <w:t>Rantsev</w:t>
      </w:r>
      <w:proofErr w:type="spellEnd"/>
      <w:r w:rsidRPr="003231FF">
        <w:rPr>
          <w:rFonts w:ascii="Times New Roman" w:eastAsia="Times New Roman" w:hAnsi="Times New Roman" w:cs="Times New Roman"/>
          <w:sz w:val="24"/>
          <w:szCs w:val="24"/>
          <w:lang w:val="fr-FR" w:eastAsia="en-GB"/>
        </w:rPr>
        <w:t xml:space="preserve">, précité, § 243;  </w:t>
      </w:r>
      <w:r w:rsidRPr="003231FF">
        <w:rPr>
          <w:rFonts w:ascii="Times New Roman" w:eastAsia="Times New Roman" w:hAnsi="Times New Roman" w:cs="Times New Roman"/>
          <w:i/>
          <w:iCs/>
          <w:sz w:val="24"/>
          <w:szCs w:val="24"/>
          <w:lang w:val="fr-FR" w:eastAsia="en-GB"/>
        </w:rPr>
        <w:t>Al-</w:t>
      </w:r>
      <w:proofErr w:type="spellStart"/>
      <w:r w:rsidRPr="003231FF">
        <w:rPr>
          <w:rFonts w:ascii="Times New Roman" w:eastAsia="Times New Roman" w:hAnsi="Times New Roman" w:cs="Times New Roman"/>
          <w:i/>
          <w:iCs/>
          <w:sz w:val="24"/>
          <w:szCs w:val="24"/>
          <w:lang w:val="fr-FR" w:eastAsia="en-GB"/>
        </w:rPr>
        <w:t>Adsani</w:t>
      </w:r>
      <w:proofErr w:type="spellEnd"/>
      <w:r w:rsidRPr="003231FF">
        <w:rPr>
          <w:rFonts w:ascii="Times New Roman" w:eastAsia="Times New Roman" w:hAnsi="Times New Roman" w:cs="Times New Roman"/>
          <w:i/>
          <w:iCs/>
          <w:sz w:val="24"/>
          <w:szCs w:val="24"/>
          <w:lang w:val="fr-FR" w:eastAsia="en-GB"/>
        </w:rPr>
        <w:t xml:space="preserve"> c. Royaume-Uni</w:t>
      </w:r>
      <w:r w:rsidRPr="003231FF">
        <w:rPr>
          <w:rFonts w:ascii="Times New Roman" w:eastAsia="Times New Roman" w:hAnsi="Times New Roman" w:cs="Times New Roman"/>
          <w:sz w:val="24"/>
          <w:szCs w:val="24"/>
          <w:lang w:val="fr-FR" w:eastAsia="en-GB"/>
        </w:rPr>
        <w:t xml:space="preserve"> du 21 novembre 2001, Requête n° 35763/97, § 38).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n'expose pas précisément, dans ce contexte, en quoi de telles circonstances seraient réalisées en l'espèce. Insuffisamment motivé, le grief de violation de l'art. 2 CEDH apparaît irrecevable dans cette mesure (art. 106 al. 2 LTF).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4.2.2.</w:t>
      </w:r>
      <w:r w:rsidRPr="003231FF">
        <w:rPr>
          <w:rFonts w:ascii="Times New Roman" w:eastAsia="Times New Roman" w:hAnsi="Times New Roman" w:cs="Times New Roman"/>
          <w:sz w:val="24"/>
          <w:szCs w:val="24"/>
          <w:lang w:val="fr-FR" w:eastAsia="en-GB"/>
        </w:rPr>
        <w:t xml:space="preserve"> Quoi qu'il en soit,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tente pas de démontrer qu'il aurait incombé aux autorités suisses d'entreprendre d'  </w:t>
      </w:r>
      <w:r w:rsidRPr="003231FF">
        <w:rPr>
          <w:rFonts w:ascii="Times New Roman" w:eastAsia="Times New Roman" w:hAnsi="Times New Roman" w:cs="Times New Roman"/>
          <w:i/>
          <w:iCs/>
          <w:sz w:val="24"/>
          <w:szCs w:val="24"/>
          <w:lang w:val="fr-FR" w:eastAsia="en-GB"/>
        </w:rPr>
        <w:t>office</w:t>
      </w:r>
      <w:r w:rsidRPr="003231FF">
        <w:rPr>
          <w:rFonts w:ascii="Times New Roman" w:eastAsia="Times New Roman" w:hAnsi="Times New Roman" w:cs="Times New Roman"/>
          <w:sz w:val="24"/>
          <w:szCs w:val="24"/>
          <w:lang w:val="fr-FR" w:eastAsia="en-GB"/>
        </w:rPr>
        <w:t xml:space="preserve"> des démarches pour élucider les faits avant le dépôt de sa plainte (13 mars 2012), respectivement de celle (de contenu identique) formée par </w:t>
      </w:r>
      <w:proofErr w:type="spellStart"/>
      <w:r w:rsidRPr="003231FF">
        <w:rPr>
          <w:rFonts w:ascii="Times New Roman" w:eastAsia="Times New Roman" w:hAnsi="Times New Roman" w:cs="Times New Roman"/>
          <w:sz w:val="24"/>
          <w:szCs w:val="24"/>
          <w:lang w:val="fr-FR" w:eastAsia="en-GB"/>
        </w:rPr>
        <w:t>European</w:t>
      </w:r>
      <w:proofErr w:type="spellEnd"/>
      <w:r w:rsidRPr="003231FF">
        <w:rPr>
          <w:rFonts w:ascii="Times New Roman" w:eastAsia="Times New Roman" w:hAnsi="Times New Roman" w:cs="Times New Roman"/>
          <w:sz w:val="24"/>
          <w:szCs w:val="24"/>
          <w:lang w:val="fr-FR" w:eastAsia="en-GB"/>
        </w:rPr>
        <w:t xml:space="preserve"> Center for </w:t>
      </w:r>
      <w:proofErr w:type="spellStart"/>
      <w:r w:rsidRPr="003231FF">
        <w:rPr>
          <w:rFonts w:ascii="Times New Roman" w:eastAsia="Times New Roman" w:hAnsi="Times New Roman" w:cs="Times New Roman"/>
          <w:sz w:val="24"/>
          <w:szCs w:val="24"/>
          <w:lang w:val="fr-FR" w:eastAsia="en-GB"/>
        </w:rPr>
        <w:t>constitutional</w:t>
      </w:r>
      <w:proofErr w:type="spellEnd"/>
      <w:r w:rsidRPr="003231FF">
        <w:rPr>
          <w:rFonts w:ascii="Times New Roman" w:eastAsia="Times New Roman" w:hAnsi="Times New Roman" w:cs="Times New Roman"/>
          <w:sz w:val="24"/>
          <w:szCs w:val="24"/>
          <w:lang w:val="fr-FR" w:eastAsia="en-GB"/>
        </w:rPr>
        <w:t xml:space="preserve"> and </w:t>
      </w:r>
      <w:proofErr w:type="spellStart"/>
      <w:r w:rsidRPr="003231FF">
        <w:rPr>
          <w:rFonts w:ascii="Times New Roman" w:eastAsia="Times New Roman" w:hAnsi="Times New Roman" w:cs="Times New Roman"/>
          <w:sz w:val="24"/>
          <w:szCs w:val="24"/>
          <w:lang w:val="fr-FR" w:eastAsia="en-GB"/>
        </w:rPr>
        <w:t>Human</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Rights</w:t>
      </w:r>
      <w:proofErr w:type="spellEnd"/>
      <w:r w:rsidRPr="003231FF">
        <w:rPr>
          <w:rFonts w:ascii="Times New Roman" w:eastAsia="Times New Roman" w:hAnsi="Times New Roman" w:cs="Times New Roman"/>
          <w:sz w:val="24"/>
          <w:szCs w:val="24"/>
          <w:lang w:val="fr-FR" w:eastAsia="en-GB"/>
        </w:rPr>
        <w:t xml:space="preserve"> et D.________ (5 mars 2012). Sous l'angle de la responsabilité pour un homicide intentionnel, les faits ont été l'objet de diverses procédures en Colombie qui, pour </w:t>
      </w:r>
      <w:proofErr w:type="gramStart"/>
      <w:r w:rsidRPr="003231FF">
        <w:rPr>
          <w:rFonts w:ascii="Times New Roman" w:eastAsia="Times New Roman" w:hAnsi="Times New Roman" w:cs="Times New Roman"/>
          <w:sz w:val="24"/>
          <w:szCs w:val="24"/>
          <w:lang w:val="fr-FR" w:eastAsia="en-GB"/>
        </w:rPr>
        <w:t>certaines tout</w:t>
      </w:r>
      <w:proofErr w:type="gramEnd"/>
      <w:r w:rsidRPr="003231FF">
        <w:rPr>
          <w:rFonts w:ascii="Times New Roman" w:eastAsia="Times New Roman" w:hAnsi="Times New Roman" w:cs="Times New Roman"/>
          <w:sz w:val="24"/>
          <w:szCs w:val="24"/>
          <w:lang w:val="fr-FR" w:eastAsia="en-GB"/>
        </w:rPr>
        <w:t xml:space="preserve"> au moins, ont abouti à des condamnations de paramilitaires. Cela étant, il faut partir de ce que les faits dénoncés aux autorités suisses concernent, comme on l'a vu (supra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2), exclusivement des responsabilités pour des omissions par négligence (à l'égard de personnes physiques), respectivement des lacunes organisationnelles (à l'égard de l'entreprise) qui ne sont, de surcroît, pas imputables à des agents de l'Etat. Dans de telles configurations, l'obligation procédurale déduite </w:t>
      </w:r>
      <w:proofErr w:type="gramStart"/>
      <w:r w:rsidRPr="003231FF">
        <w:rPr>
          <w:rFonts w:ascii="Times New Roman" w:eastAsia="Times New Roman" w:hAnsi="Times New Roman" w:cs="Times New Roman"/>
          <w:sz w:val="24"/>
          <w:szCs w:val="24"/>
          <w:lang w:val="fr-FR" w:eastAsia="en-GB"/>
        </w:rPr>
        <w:t>des art</w:t>
      </w:r>
      <w:proofErr w:type="gramEnd"/>
      <w:r w:rsidRPr="003231FF">
        <w:rPr>
          <w:rFonts w:ascii="Times New Roman" w:eastAsia="Times New Roman" w:hAnsi="Times New Roman" w:cs="Times New Roman"/>
          <w:sz w:val="24"/>
          <w:szCs w:val="24"/>
          <w:lang w:val="fr-FR" w:eastAsia="en-GB"/>
        </w:rPr>
        <w:t xml:space="preserve">. 1 et 2 CEDH peut entrer en jeu lorsque les proches du défunt engagent une procédure (arrêts S  </w:t>
      </w:r>
      <w:proofErr w:type="spellStart"/>
      <w:r w:rsidRPr="003231FF">
        <w:rPr>
          <w:rFonts w:ascii="Times New Roman" w:eastAsia="Times New Roman" w:hAnsi="Times New Roman" w:cs="Times New Roman"/>
          <w:i/>
          <w:iCs/>
          <w:sz w:val="24"/>
          <w:szCs w:val="24"/>
          <w:lang w:val="fr-FR" w:eastAsia="en-GB"/>
        </w:rPr>
        <w:t>ilih</w:t>
      </w:r>
      <w:proofErr w:type="spellEnd"/>
      <w:r w:rsidRPr="003231FF">
        <w:rPr>
          <w:rFonts w:ascii="Times New Roman" w:eastAsia="Times New Roman" w:hAnsi="Times New Roman" w:cs="Times New Roman"/>
          <w:sz w:val="24"/>
          <w:szCs w:val="24"/>
          <w:lang w:val="fr-FR" w:eastAsia="en-GB"/>
        </w:rPr>
        <w:t xml:space="preserve">, </w:t>
      </w:r>
      <w:r w:rsidRPr="003231FF">
        <w:rPr>
          <w:rFonts w:ascii="Times New Roman" w:eastAsia="Times New Roman" w:hAnsi="Times New Roman" w:cs="Times New Roman"/>
          <w:sz w:val="24"/>
          <w:szCs w:val="24"/>
          <w:lang w:val="fr-FR" w:eastAsia="en-GB"/>
        </w:rPr>
        <w:lastRenderedPageBreak/>
        <w:t xml:space="preserve">précité, § 156;  </w:t>
      </w:r>
      <w:proofErr w:type="spellStart"/>
      <w:r w:rsidRPr="003231FF">
        <w:rPr>
          <w:rFonts w:ascii="Times New Roman" w:eastAsia="Times New Roman" w:hAnsi="Times New Roman" w:cs="Times New Roman"/>
          <w:i/>
          <w:iCs/>
          <w:sz w:val="24"/>
          <w:szCs w:val="24"/>
          <w:lang w:val="fr-FR" w:eastAsia="en-GB"/>
        </w:rPr>
        <w:t>Calvelli</w:t>
      </w:r>
      <w:proofErr w:type="spellEnd"/>
      <w:r w:rsidRPr="003231FF">
        <w:rPr>
          <w:rFonts w:ascii="Times New Roman" w:eastAsia="Times New Roman" w:hAnsi="Times New Roman" w:cs="Times New Roman"/>
          <w:i/>
          <w:iCs/>
          <w:sz w:val="24"/>
          <w:szCs w:val="24"/>
          <w:lang w:val="fr-FR" w:eastAsia="en-GB"/>
        </w:rPr>
        <w:t xml:space="preserve"> et </w:t>
      </w:r>
      <w:proofErr w:type="spellStart"/>
      <w:r w:rsidRPr="003231FF">
        <w:rPr>
          <w:rFonts w:ascii="Times New Roman" w:eastAsia="Times New Roman" w:hAnsi="Times New Roman" w:cs="Times New Roman"/>
          <w:i/>
          <w:iCs/>
          <w:sz w:val="24"/>
          <w:szCs w:val="24"/>
          <w:lang w:val="fr-FR" w:eastAsia="en-GB"/>
        </w:rPr>
        <w:t>Ciglio</w:t>
      </w:r>
      <w:proofErr w:type="spellEnd"/>
      <w:r w:rsidRPr="003231FF">
        <w:rPr>
          <w:rFonts w:ascii="Times New Roman" w:eastAsia="Times New Roman" w:hAnsi="Times New Roman" w:cs="Times New Roman"/>
          <w:i/>
          <w:iCs/>
          <w:sz w:val="24"/>
          <w:szCs w:val="24"/>
          <w:lang w:val="fr-FR" w:eastAsia="en-GB"/>
        </w:rPr>
        <w:t xml:space="preserve"> c. Italie</w:t>
      </w:r>
      <w:r w:rsidRPr="003231FF">
        <w:rPr>
          <w:rFonts w:ascii="Times New Roman" w:eastAsia="Times New Roman" w:hAnsi="Times New Roman" w:cs="Times New Roman"/>
          <w:sz w:val="24"/>
          <w:szCs w:val="24"/>
          <w:lang w:val="fr-FR" w:eastAsia="en-GB"/>
        </w:rPr>
        <w:t xml:space="preserve"> du 17 janvier 2002, Requête n° 32967/96, § 51;  </w:t>
      </w:r>
      <w:r w:rsidRPr="003231FF">
        <w:rPr>
          <w:rFonts w:ascii="Times New Roman" w:eastAsia="Times New Roman" w:hAnsi="Times New Roman" w:cs="Times New Roman"/>
          <w:i/>
          <w:iCs/>
          <w:sz w:val="24"/>
          <w:szCs w:val="24"/>
          <w:lang w:val="fr-FR" w:eastAsia="en-GB"/>
        </w:rPr>
        <w:t>Vo c. France</w:t>
      </w:r>
      <w:r w:rsidRPr="003231FF">
        <w:rPr>
          <w:rFonts w:ascii="Times New Roman" w:eastAsia="Times New Roman" w:hAnsi="Times New Roman" w:cs="Times New Roman"/>
          <w:sz w:val="24"/>
          <w:szCs w:val="24"/>
          <w:lang w:val="fr-FR" w:eastAsia="en-GB"/>
        </w:rPr>
        <w:t xml:space="preserve"> du 8 juillet 2004, Requête n° 53924/00, § 94) et il n'est, du reste, pas établi en l'espèce que les autorités suisses auraient eu connaissance des faits survenus en Colombie de telle manière qu'il leur aurait incombé d'entreprendre une enquête sur d'éventuelles responsabilités en Suisse avant réception des plaintes des 5 et 13 mars 2012.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4.2.3.</w:t>
      </w:r>
      <w:r w:rsidRPr="003231FF">
        <w:rPr>
          <w:rFonts w:ascii="Times New Roman" w:eastAsia="Times New Roman" w:hAnsi="Times New Roman" w:cs="Times New Roman"/>
          <w:sz w:val="24"/>
          <w:szCs w:val="24"/>
          <w:lang w:val="fr-FR" w:eastAsia="en-GB"/>
        </w:rPr>
        <w:t xml:space="preserve"> Le décès de l'époux de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est survenu au plus tard le 11 septembre 2005. Les plaintes pour homicide par négligence n'ont été adressées aux autorités suisses que quelque 6 ans et demi plus tard, respectivement 6 mois avant l'échéance du délai de prescription, lequel n'est interrompu que par un jugement de première instance (ancien art. 70 al. 1 let. c et al. 3 CP en vigueur du 1 </w:t>
      </w:r>
      <w:r w:rsidRPr="003231FF">
        <w:rPr>
          <w:rFonts w:ascii="Times New Roman" w:eastAsia="Times New Roman" w:hAnsi="Times New Roman" w:cs="Times New Roman"/>
          <w:sz w:val="24"/>
          <w:szCs w:val="24"/>
          <w:vertAlign w:val="superscript"/>
          <w:lang w:val="fr-FR" w:eastAsia="en-GB"/>
        </w:rPr>
        <w:t>er</w:t>
      </w:r>
      <w:r w:rsidRPr="003231FF">
        <w:rPr>
          <w:rFonts w:ascii="Times New Roman" w:eastAsia="Times New Roman" w:hAnsi="Times New Roman" w:cs="Times New Roman"/>
          <w:sz w:val="24"/>
          <w:szCs w:val="24"/>
          <w:lang w:val="fr-FR" w:eastAsia="en-GB"/>
        </w:rPr>
        <w:t xml:space="preserve"> octobre 2002 au 31 décembre 2006; art. 97 al. 1 let. c et 3 CP, dans sa teneur en vigueur jusqu'au 31 décembre 2013, en corrélation avec l'art. 117 CP). Il y a donc lieu, comme l'a fait la cour cantonale, de se demander si l'art. 2 CEDH peut imposer à un Etat partie d'instruire après échéance du délai de prescription.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4.2.4.</w:t>
      </w:r>
      <w:r w:rsidRPr="003231FF">
        <w:rPr>
          <w:rFonts w:ascii="Times New Roman" w:eastAsia="Times New Roman" w:hAnsi="Times New Roman" w:cs="Times New Roman"/>
          <w:sz w:val="24"/>
          <w:szCs w:val="24"/>
          <w:lang w:val="fr-FR" w:eastAsia="en-GB"/>
        </w:rPr>
        <w:t> Sous cet angle, il convient, tout d'abord, de relever que, selon la jurisprudence, la prescription de l'action pénale, qui trouve sa justification dans les effets de l'écoulement du temps sur la disponibilité des preuves et sur le besoin de sanctionner ainsi que dans des impératifs d'économie de la procédure (</w:t>
      </w:r>
      <w:hyperlink r:id="rId13" w:anchor="page297" w:history="1">
        <w:r w:rsidRPr="003231FF">
          <w:rPr>
            <w:rFonts w:ascii="Times New Roman" w:eastAsia="Times New Roman" w:hAnsi="Times New Roman" w:cs="Times New Roman"/>
            <w:color w:val="0000FF"/>
            <w:sz w:val="24"/>
            <w:szCs w:val="24"/>
            <w:u w:val="single"/>
            <w:lang w:val="fr-FR" w:eastAsia="en-GB"/>
          </w:rPr>
          <w:t>ATF 134 IV 297</w:t>
        </w:r>
      </w:hyperlink>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4.3.4 p. 304 s.), constitue un motif objectif permettant de ne pas entrer en matière sur une plainte ou une dénonciation. Les obligations déduites </w:t>
      </w:r>
      <w:proofErr w:type="gramStart"/>
      <w:r w:rsidRPr="003231FF">
        <w:rPr>
          <w:rFonts w:ascii="Times New Roman" w:eastAsia="Times New Roman" w:hAnsi="Times New Roman" w:cs="Times New Roman"/>
          <w:sz w:val="24"/>
          <w:szCs w:val="24"/>
          <w:lang w:val="fr-FR" w:eastAsia="en-GB"/>
        </w:rPr>
        <w:t>des art</w:t>
      </w:r>
      <w:proofErr w:type="gramEnd"/>
      <w:r w:rsidRPr="003231FF">
        <w:rPr>
          <w:rFonts w:ascii="Times New Roman" w:eastAsia="Times New Roman" w:hAnsi="Times New Roman" w:cs="Times New Roman"/>
          <w:sz w:val="24"/>
          <w:szCs w:val="24"/>
          <w:lang w:val="fr-FR" w:eastAsia="en-GB"/>
        </w:rPr>
        <w:t xml:space="preserve">. 2, 3 et 8 CEDH, notamment l'obligation de poursuivre les auteurs d'atteintes aux droits protégés par cette convention, ne sont pas violés dans cette hypothèse. Ces obligations conventionnelles connaissent, en effet, des exceptions et la CEDH n'impose pas nécessairement que la protection des droits qu'elle consacre intervienne dans le cadre d'une procédure pénale (en relation avec l'interdiction de la torture et des traitements inhumains et dégradants: arrêt 6B_479/2013 du 30 janvier 2014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3). Dans cette perspective, on peut, ensuite, souligner que le délai de prescription de l'action pénale pour un homicide par négligence (7 ans en l'espèce; désormais 10 ans: art. 97 al. 1 let. c dans sa teneur en vigueur depuis le 1 </w:t>
      </w:r>
      <w:r w:rsidRPr="003231FF">
        <w:rPr>
          <w:rFonts w:ascii="Times New Roman" w:eastAsia="Times New Roman" w:hAnsi="Times New Roman" w:cs="Times New Roman"/>
          <w:sz w:val="24"/>
          <w:szCs w:val="24"/>
          <w:vertAlign w:val="superscript"/>
          <w:lang w:val="fr-FR" w:eastAsia="en-GB"/>
        </w:rPr>
        <w:t>er</w:t>
      </w:r>
      <w:r w:rsidRPr="003231FF">
        <w:rPr>
          <w:rFonts w:ascii="Times New Roman" w:eastAsia="Times New Roman" w:hAnsi="Times New Roman" w:cs="Times New Roman"/>
          <w:sz w:val="24"/>
          <w:szCs w:val="24"/>
          <w:lang w:val="fr-FR" w:eastAsia="en-GB"/>
        </w:rPr>
        <w:t xml:space="preserve"> janvier 2014) n'est pas particulièrement bref. Son récent allongement n'a été justifié que par les difficultés rencontrées dans le contexte d'affaires économiques soumises au délai de prescription de 7 ans et la volonté de ne pas créer une catégorie distincte de « criminalité économique » (Message, précité, concernant l'allongement des délais de prescription; FF 2012 8533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Il n'apparaît donc pas que le système légal fasse, en lui-même, obstacle à la mise en </w:t>
      </w:r>
      <w:proofErr w:type="spellStart"/>
      <w:r w:rsidRPr="003231FF">
        <w:rPr>
          <w:rFonts w:ascii="Times New Roman" w:eastAsia="Times New Roman" w:hAnsi="Times New Roman" w:cs="Times New Roman"/>
          <w:sz w:val="24"/>
          <w:szCs w:val="24"/>
          <w:lang w:val="fr-FR" w:eastAsia="en-GB"/>
        </w:rPr>
        <w:t>oeuvre</w:t>
      </w:r>
      <w:proofErr w:type="spellEnd"/>
      <w:r w:rsidRPr="003231FF">
        <w:rPr>
          <w:rFonts w:ascii="Times New Roman" w:eastAsia="Times New Roman" w:hAnsi="Times New Roman" w:cs="Times New Roman"/>
          <w:sz w:val="24"/>
          <w:szCs w:val="24"/>
          <w:lang w:val="fr-FR" w:eastAsia="en-GB"/>
        </w:rPr>
        <w:t xml:space="preserve"> d'une enquête effective dans les affaires d'homicide par négligence.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4.2.5.</w:t>
      </w:r>
      <w:r w:rsidRPr="003231FF">
        <w:rPr>
          <w:rFonts w:ascii="Times New Roman" w:eastAsia="Times New Roman" w:hAnsi="Times New Roman" w:cs="Times New Roman"/>
          <w:sz w:val="24"/>
          <w:szCs w:val="24"/>
          <w:lang w:val="fr-FR" w:eastAsia="en-GB"/>
        </w:rPr>
        <w:t xml:space="preserve"> La question est, dès lors, plutôt de savoir si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qui a dénoncé les faits 6 mois avant l'échéance du délai de prescription, peut se prévaloir de son droit à une enquête effective nonobstant la survenance de cet obstacle de droit interne à la poursuite pénale au motif qu'une telle obligation perdurerait pendant toute la période où l'on peut raisonnablement attendre des autorités qu'elles prennent des mesures pour élucider les circonstances d'un décès et établir les responsabilités éventuelles.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4.2.6.</w:t>
      </w:r>
      <w:r w:rsidRPr="003231FF">
        <w:rPr>
          <w:rFonts w:ascii="Times New Roman" w:eastAsia="Times New Roman" w:hAnsi="Times New Roman" w:cs="Times New Roman"/>
          <w:sz w:val="24"/>
          <w:szCs w:val="24"/>
          <w:lang w:val="fr-FR" w:eastAsia="en-GB"/>
        </w:rPr>
        <w:t xml:space="preserv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invoque, tout d'abord, en vain, dans ce contexte, l'affaire  </w:t>
      </w:r>
      <w:r w:rsidRPr="003231FF">
        <w:rPr>
          <w:rFonts w:ascii="Times New Roman" w:eastAsia="Times New Roman" w:hAnsi="Times New Roman" w:cs="Times New Roman"/>
          <w:i/>
          <w:iCs/>
          <w:sz w:val="24"/>
          <w:szCs w:val="24"/>
          <w:lang w:val="fr-FR" w:eastAsia="en-GB"/>
        </w:rPr>
        <w:t>El-</w:t>
      </w:r>
      <w:proofErr w:type="spellStart"/>
      <w:r w:rsidRPr="003231FF">
        <w:rPr>
          <w:rFonts w:ascii="Times New Roman" w:eastAsia="Times New Roman" w:hAnsi="Times New Roman" w:cs="Times New Roman"/>
          <w:i/>
          <w:iCs/>
          <w:sz w:val="24"/>
          <w:szCs w:val="24"/>
          <w:lang w:val="fr-FR" w:eastAsia="en-GB"/>
        </w:rPr>
        <w:t>Masri</w:t>
      </w:r>
      <w:proofErr w:type="spellEnd"/>
      <w:r w:rsidRPr="003231FF">
        <w:rPr>
          <w:rFonts w:ascii="Times New Roman" w:eastAsia="Times New Roman" w:hAnsi="Times New Roman" w:cs="Times New Roman"/>
          <w:sz w:val="24"/>
          <w:szCs w:val="24"/>
          <w:lang w:val="fr-FR" w:eastAsia="en-GB"/>
        </w:rPr>
        <w:t xml:space="preserve">, précitée. Dans ce cas, en effet, la question de la prescription ne pouvait jouer un rôle qu'en ce qui concerne la recevabilité de la plainte au regard du droit interne pour apprécier l'existence d'un recours effectif. Le délai de prescription (5 ans) était cependant interrompu par toute mesure procédurale prise en vue de la poursuite de l'auteur et de telles mesures avaient été prises, même si elles ont été jugées insuffisantes (§§ 79, 80, 143, 187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et 193). La prescription ne faisait, dès lors, pas obstacle, dans ce cas, à l'instruction pénale. Par ailleurs, </w:t>
      </w:r>
      <w:r w:rsidRPr="003231FF">
        <w:rPr>
          <w:rFonts w:ascii="Times New Roman" w:eastAsia="Times New Roman" w:hAnsi="Times New Roman" w:cs="Times New Roman"/>
          <w:sz w:val="24"/>
          <w:szCs w:val="24"/>
          <w:lang w:val="fr-FR" w:eastAsia="en-GB"/>
        </w:rPr>
        <w:lastRenderedPageBreak/>
        <w:t xml:space="preserve">et plus généralement, les principes qu'invoque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ont été développés à propos de problématiques tout autres, essentiellement relatives à des questions de procédure touchant à la Convention européenne des droits de l'Homme elle-même. Il ressort en effet de la jurisprudence à laquelle se réfère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que ces développements ont trait à l'applicabilité  </w:t>
      </w:r>
      <w:proofErr w:type="spellStart"/>
      <w:r w:rsidRPr="003231FF">
        <w:rPr>
          <w:rFonts w:ascii="Times New Roman" w:eastAsia="Times New Roman" w:hAnsi="Times New Roman" w:cs="Times New Roman"/>
          <w:i/>
          <w:iCs/>
          <w:sz w:val="24"/>
          <w:szCs w:val="24"/>
          <w:lang w:val="fr-FR" w:eastAsia="en-GB"/>
        </w:rPr>
        <w:t>ratione</w:t>
      </w:r>
      <w:proofErr w:type="spellEnd"/>
      <w:r w:rsidRPr="003231FF">
        <w:rPr>
          <w:rFonts w:ascii="Times New Roman" w:eastAsia="Times New Roman" w:hAnsi="Times New Roman" w:cs="Times New Roman"/>
          <w:i/>
          <w:iCs/>
          <w:sz w:val="24"/>
          <w:szCs w:val="24"/>
          <w:lang w:val="fr-FR" w:eastAsia="en-GB"/>
        </w:rPr>
        <w:t xml:space="preserve"> </w:t>
      </w:r>
      <w:proofErr w:type="spellStart"/>
      <w:r w:rsidRPr="003231FF">
        <w:rPr>
          <w:rFonts w:ascii="Times New Roman" w:eastAsia="Times New Roman" w:hAnsi="Times New Roman" w:cs="Times New Roman"/>
          <w:i/>
          <w:iCs/>
          <w:sz w:val="24"/>
          <w:szCs w:val="24"/>
          <w:lang w:val="fr-FR" w:eastAsia="en-GB"/>
        </w:rPr>
        <w:t>temporis</w:t>
      </w:r>
      <w:proofErr w:type="spellEnd"/>
      <w:r w:rsidRPr="003231FF">
        <w:rPr>
          <w:rFonts w:ascii="Times New Roman" w:eastAsia="Times New Roman" w:hAnsi="Times New Roman" w:cs="Times New Roman"/>
          <w:sz w:val="24"/>
          <w:szCs w:val="24"/>
          <w:lang w:val="fr-FR" w:eastAsia="en-GB"/>
        </w:rPr>
        <w:t xml:space="preserve"> de la convention en cas d'atteinte à la vie antérieure à son entrée en vigueur pour l'Etat partie concerné (v. arrêts S  </w:t>
      </w:r>
      <w:proofErr w:type="spellStart"/>
      <w:r w:rsidRPr="003231FF">
        <w:rPr>
          <w:rFonts w:ascii="Times New Roman" w:eastAsia="Times New Roman" w:hAnsi="Times New Roman" w:cs="Times New Roman"/>
          <w:i/>
          <w:iCs/>
          <w:sz w:val="24"/>
          <w:szCs w:val="24"/>
          <w:lang w:val="fr-FR" w:eastAsia="en-GB"/>
        </w:rPr>
        <w:t>ilih</w:t>
      </w:r>
      <w:proofErr w:type="spellEnd"/>
      <w:r w:rsidRPr="003231FF">
        <w:rPr>
          <w:rFonts w:ascii="Times New Roman" w:eastAsia="Times New Roman" w:hAnsi="Times New Roman" w:cs="Times New Roman"/>
          <w:sz w:val="24"/>
          <w:szCs w:val="24"/>
          <w:lang w:val="fr-FR" w:eastAsia="en-GB"/>
        </w:rPr>
        <w:t xml:space="preserve">, précité, §§ 148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spéc</w:t>
      </w:r>
      <w:proofErr w:type="spellEnd"/>
      <w:r w:rsidRPr="003231FF">
        <w:rPr>
          <w:rFonts w:ascii="Times New Roman" w:eastAsia="Times New Roman" w:hAnsi="Times New Roman" w:cs="Times New Roman"/>
          <w:sz w:val="24"/>
          <w:szCs w:val="24"/>
          <w:lang w:val="fr-FR" w:eastAsia="en-GB"/>
        </w:rPr>
        <w:t xml:space="preserve">. § 157;  </w:t>
      </w:r>
      <w:proofErr w:type="spellStart"/>
      <w:r w:rsidRPr="003231FF">
        <w:rPr>
          <w:rFonts w:ascii="Times New Roman" w:eastAsia="Times New Roman" w:hAnsi="Times New Roman" w:cs="Times New Roman"/>
          <w:i/>
          <w:iCs/>
          <w:sz w:val="24"/>
          <w:szCs w:val="24"/>
          <w:lang w:val="fr-FR" w:eastAsia="en-GB"/>
        </w:rPr>
        <w:t>Janowiec</w:t>
      </w:r>
      <w:proofErr w:type="spellEnd"/>
      <w:r w:rsidRPr="003231FF">
        <w:rPr>
          <w:rFonts w:ascii="Times New Roman" w:eastAsia="Times New Roman" w:hAnsi="Times New Roman" w:cs="Times New Roman"/>
          <w:sz w:val="24"/>
          <w:szCs w:val="24"/>
          <w:lang w:val="fr-FR" w:eastAsia="en-GB"/>
        </w:rPr>
        <w:t xml:space="preserve"> [5 </w:t>
      </w:r>
      <w:r w:rsidRPr="003231FF">
        <w:rPr>
          <w:rFonts w:ascii="Times New Roman" w:eastAsia="Times New Roman" w:hAnsi="Times New Roman" w:cs="Times New Roman"/>
          <w:sz w:val="24"/>
          <w:szCs w:val="24"/>
          <w:vertAlign w:val="superscript"/>
          <w:lang w:val="fr-FR" w:eastAsia="en-GB"/>
        </w:rPr>
        <w:t>e</w:t>
      </w:r>
      <w:r w:rsidRPr="003231FF">
        <w:rPr>
          <w:rFonts w:ascii="Times New Roman" w:eastAsia="Times New Roman" w:hAnsi="Times New Roman" w:cs="Times New Roman"/>
          <w:sz w:val="24"/>
          <w:szCs w:val="24"/>
          <w:lang w:val="fr-FR" w:eastAsia="en-GB"/>
        </w:rPr>
        <w:t xml:space="preserve"> Section], précité, §§ 128 </w:t>
      </w:r>
      <w:proofErr w:type="spellStart"/>
      <w:r w:rsidRPr="003231FF">
        <w:rPr>
          <w:rFonts w:ascii="Times New Roman" w:eastAsia="Times New Roman" w:hAnsi="Times New Roman" w:cs="Times New Roman"/>
          <w:sz w:val="24"/>
          <w:szCs w:val="24"/>
          <w:lang w:val="fr-FR" w:eastAsia="en-GB"/>
        </w:rPr>
        <w:t>ss</w:t>
      </w:r>
      <w:proofErr w:type="spellEnd"/>
      <w:r w:rsidRPr="003231FF">
        <w:rPr>
          <w:rFonts w:ascii="Times New Roman" w:eastAsia="Times New Roman" w:hAnsi="Times New Roman" w:cs="Times New Roman"/>
          <w:sz w:val="24"/>
          <w:szCs w:val="24"/>
          <w:lang w:val="fr-FR" w:eastAsia="en-GB"/>
        </w:rPr>
        <w:t xml:space="preserve">, </w:t>
      </w:r>
      <w:proofErr w:type="spellStart"/>
      <w:r w:rsidRPr="003231FF">
        <w:rPr>
          <w:rFonts w:ascii="Times New Roman" w:eastAsia="Times New Roman" w:hAnsi="Times New Roman" w:cs="Times New Roman"/>
          <w:sz w:val="24"/>
          <w:szCs w:val="24"/>
          <w:lang w:val="fr-FR" w:eastAsia="en-GB"/>
        </w:rPr>
        <w:t>spéc</w:t>
      </w:r>
      <w:proofErr w:type="spellEnd"/>
      <w:r w:rsidRPr="003231FF">
        <w:rPr>
          <w:rFonts w:ascii="Times New Roman" w:eastAsia="Times New Roman" w:hAnsi="Times New Roman" w:cs="Times New Roman"/>
          <w:sz w:val="24"/>
          <w:szCs w:val="24"/>
          <w:lang w:val="fr-FR" w:eastAsia="en-GB"/>
        </w:rPr>
        <w:t xml:space="preserve">. § 130), ou à celle de savoir, au regard du délai de 6 mois prévu par l'art. 35 CEDH, dans quelles circonstances et dans quel laps de temps une obligation de rouvrir une instruction sur une affaire déjà jugée pourrait être déduite des </w:t>
      </w:r>
      <w:proofErr w:type="gramStart"/>
      <w:r w:rsidRPr="003231FF">
        <w:rPr>
          <w:rFonts w:ascii="Times New Roman" w:eastAsia="Times New Roman" w:hAnsi="Times New Roman" w:cs="Times New Roman"/>
          <w:sz w:val="24"/>
          <w:szCs w:val="24"/>
          <w:lang w:val="fr-FR" w:eastAsia="en-GB"/>
        </w:rPr>
        <w:t>art</w:t>
      </w:r>
      <w:proofErr w:type="gramEnd"/>
      <w:r w:rsidRPr="003231FF">
        <w:rPr>
          <w:rFonts w:ascii="Times New Roman" w:eastAsia="Times New Roman" w:hAnsi="Times New Roman" w:cs="Times New Roman"/>
          <w:sz w:val="24"/>
          <w:szCs w:val="24"/>
          <w:lang w:val="fr-FR" w:eastAsia="en-GB"/>
        </w:rPr>
        <w:t xml:space="preserve">. 1 et 2 CEDH (v. p. ex.: arrêt  </w:t>
      </w:r>
      <w:proofErr w:type="spellStart"/>
      <w:r w:rsidRPr="003231FF">
        <w:rPr>
          <w:rFonts w:ascii="Times New Roman" w:eastAsia="Times New Roman" w:hAnsi="Times New Roman" w:cs="Times New Roman"/>
          <w:i/>
          <w:iCs/>
          <w:sz w:val="24"/>
          <w:szCs w:val="24"/>
          <w:lang w:val="fr-FR" w:eastAsia="en-GB"/>
        </w:rPr>
        <w:t>Brecknell</w:t>
      </w:r>
      <w:proofErr w:type="spellEnd"/>
      <w:r w:rsidRPr="003231FF">
        <w:rPr>
          <w:rFonts w:ascii="Times New Roman" w:eastAsia="Times New Roman" w:hAnsi="Times New Roman" w:cs="Times New Roman"/>
          <w:i/>
          <w:iCs/>
          <w:sz w:val="24"/>
          <w:szCs w:val="24"/>
          <w:lang w:val="fr-FR" w:eastAsia="en-GB"/>
        </w:rPr>
        <w:t xml:space="preserve"> c. Royaume-Uni</w:t>
      </w:r>
      <w:r w:rsidRPr="003231FF">
        <w:rPr>
          <w:rFonts w:ascii="Times New Roman" w:eastAsia="Times New Roman" w:hAnsi="Times New Roman" w:cs="Times New Roman"/>
          <w:sz w:val="24"/>
          <w:szCs w:val="24"/>
          <w:lang w:val="fr-FR" w:eastAsia="en-GB"/>
        </w:rPr>
        <w:t xml:space="preserve"> du 9 avril 2009, Requête n° 32457/04, §§ 66-72). On ne saurait, en particulier, déduire de ces arrêts que les Etats parties à la convention ne peuvent jamais s'affranchir de l'obligation d'instruire en invoquant la prescription de l'action pénale lorsque le droit interne connaît cette institution. Il s'ensuit qu'en se limitant à invoquer ces principes jurisprudentiels, mais sans expliquer ce qui justifierait de les transposer à la question litigieuse en l'espèce,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développe aucune motivation pertinente pour l'issue du litige.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4.2.7.</w:t>
      </w:r>
      <w:r w:rsidRPr="003231FF">
        <w:rPr>
          <w:rFonts w:ascii="Times New Roman" w:eastAsia="Times New Roman" w:hAnsi="Times New Roman" w:cs="Times New Roman"/>
          <w:sz w:val="24"/>
          <w:szCs w:val="24"/>
          <w:lang w:val="fr-FR" w:eastAsia="en-GB"/>
        </w:rPr>
        <w:t xml:space="preserve"> Au demeurant, compte tenu de la nature de la présente affaire, du nombre des personnes dénoncées et des reproches élevés à leur encontre, portant sur leur implication, au sein d'une société multinationale, dans des faits survenus en corrélation avec l'exploitation d'une filiale en Colombie, dans un contexte politique complexe, il est manifeste qu'aucun jugement au fond n'aurait pu être rendu avant l'échéance du délai de prescription. Rien n'indique, en revanche, que tel eût aussi été le cas si les autorités judiciaires avaient été saisies plus tôt de la plainte et que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n'aurait, alors, pas pu bénéficier d'un recours effectif. Or, eu égard à la situation de la victime, à son rôle de responsable syndical en particulier, aux conflits ayant existé avec B.________ </w:t>
      </w:r>
      <w:proofErr w:type="spellStart"/>
      <w:r w:rsidRPr="003231FF">
        <w:rPr>
          <w:rFonts w:ascii="Times New Roman" w:eastAsia="Times New Roman" w:hAnsi="Times New Roman" w:cs="Times New Roman"/>
          <w:sz w:val="24"/>
          <w:szCs w:val="24"/>
          <w:lang w:val="fr-FR" w:eastAsia="en-GB"/>
        </w:rPr>
        <w:t>Ltda</w:t>
      </w:r>
      <w:proofErr w:type="spellEnd"/>
      <w:r w:rsidRPr="003231FF">
        <w:rPr>
          <w:rFonts w:ascii="Times New Roman" w:eastAsia="Times New Roman" w:hAnsi="Times New Roman" w:cs="Times New Roman"/>
          <w:sz w:val="24"/>
          <w:szCs w:val="24"/>
          <w:lang w:val="fr-FR" w:eastAsia="en-GB"/>
        </w:rPr>
        <w:t xml:space="preserve"> et aux liens de celle-ci avec C.________ SA, dans le contexte politique existant en Colombie,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a nécessairement dû disposer assez tôt de l'ensemble des éléments de fait sur lesquels elle a fondé sa plainte adressée aux autorités suisses. Elle allègue, du reste, dans cet écrit, que « Le juge colombien M.________, qui a condamné les auteurs directs de l'assassinat de A.________ [...] par un arrêt du 26 novembre 2007, [avait exigé] du ministère public dans cette même décision [...] d'examiner spécialement le rôle de la société C.________» (plainte, p. 2). Ainsi, même en tenant compte des difficultés liées à l'éloignement géographique, au fait de devoir agir dans un autre Etat, dans une langue étrangère, et à la complexité des faits,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doit se laisser opposer qu'elle n'a pas agi en temps utile pour permettre aux autorités suisses de mener à bien une instruction pénale en conformité du droit national.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S'agissant des seules responsabilités qui entrent en ligne de compte en Suisse, il faut admettre que, plus de six années après les faits, dans la mesure où les responsabilités quant à l'usage de la force qui a conduit à l'homicide ont été clarifiées en Colombie ou y font encore l'objet de procédures, on ne pouvait raisonnablement attendre des autorités suisses qu'elles entreprennent de vastes mesures d'instruction afin d'élucider les seules responsabilités subsidiaires, procédant d'omissions par négligence, susceptibles d'être imputées aux personnes dénoncées en Suisse, sans aucune perspective d'aboutir à un jugement pénal.</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4.3.</w:t>
      </w:r>
      <w:r w:rsidRPr="003231FF">
        <w:rPr>
          <w:rFonts w:ascii="Times New Roman" w:eastAsia="Times New Roman" w:hAnsi="Times New Roman" w:cs="Times New Roman"/>
          <w:sz w:val="24"/>
          <w:szCs w:val="24"/>
          <w:lang w:val="fr-FR" w:eastAsia="en-GB"/>
        </w:rPr>
        <w:t xml:space="preserve"> Il résulte de ce qui précède que les développements de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dans la mesure où ils sont recevables, ne démontrent pas que son droit à une enquête effective déduit des </w:t>
      </w:r>
      <w:proofErr w:type="gramStart"/>
      <w:r w:rsidRPr="003231FF">
        <w:rPr>
          <w:rFonts w:ascii="Times New Roman" w:eastAsia="Times New Roman" w:hAnsi="Times New Roman" w:cs="Times New Roman"/>
          <w:sz w:val="24"/>
          <w:szCs w:val="24"/>
          <w:lang w:val="fr-FR" w:eastAsia="en-GB"/>
        </w:rPr>
        <w:t>art</w:t>
      </w:r>
      <w:proofErr w:type="gramEnd"/>
      <w:r w:rsidRPr="003231FF">
        <w:rPr>
          <w:rFonts w:ascii="Times New Roman" w:eastAsia="Times New Roman" w:hAnsi="Times New Roman" w:cs="Times New Roman"/>
          <w:sz w:val="24"/>
          <w:szCs w:val="24"/>
          <w:lang w:val="fr-FR" w:eastAsia="en-GB"/>
        </w:rPr>
        <w:t xml:space="preserve">. 1 et 2 CEDH aurait été violé.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5.</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lastRenderedPageBreak/>
        <w:t xml:space="preserve">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invoque encore la violation du principe de célérité des poursuites. Elle reproche au ministère public de n'avoir pas rendu « immédiatement » une ordonnance de non-entrée en matière, respectivement de ne pas avoir entrepris sans attendre les investigations nécessaires, puis d'avoir, après que la question du for eut été réglée, exigé la traduction en français de la plainte, ce qui, dans l'ensemble donnerait l'impression que les autorités pénales auraient souhaité attendre de pouvoir invoquer la prescription.</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conclut pas formellement à ce que soit constatée la violation alléguée du principe de célérité. Elle n'invoque pas, dans ce contexte, une quelconque violation de la CEDH (art. 106 al. 2 LTF). Elle n'en tire, non plus, aucune conséquence quant à la répartition des frais ou son droit à des dépens. Dans ces conditions, la décision de non-entrée en matière ayant mis un terme à la procédure et une autre issue judiciaire n'étant pas concrètement envisageable (v. supra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xml:space="preserve">. 4.2.7),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démontre pas disposer d'un intérêt actuel et pratique à soulever ce grief. Le recours est irrecevable sur ce point (arrêt 4A_744/2011 du 12 juillet 2012 </w:t>
      </w:r>
      <w:proofErr w:type="spellStart"/>
      <w:r w:rsidRPr="003231FF">
        <w:rPr>
          <w:rFonts w:ascii="Times New Roman" w:eastAsia="Times New Roman" w:hAnsi="Times New Roman" w:cs="Times New Roman"/>
          <w:sz w:val="24"/>
          <w:szCs w:val="24"/>
          <w:lang w:val="fr-FR" w:eastAsia="en-GB"/>
        </w:rPr>
        <w:t>consid</w:t>
      </w:r>
      <w:proofErr w:type="spellEnd"/>
      <w:r w:rsidRPr="003231FF">
        <w:rPr>
          <w:rFonts w:ascii="Times New Roman" w:eastAsia="Times New Roman" w:hAnsi="Times New Roman" w:cs="Times New Roman"/>
          <w:sz w:val="24"/>
          <w:szCs w:val="24"/>
          <w:lang w:val="fr-FR" w:eastAsia="en-GB"/>
        </w:rPr>
        <w:t>. 11.1).</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Au demeurant, il ressort de l'arrêt du Tribunal pénal fédéral du 14 novembre 2012 que la compétence des autorités pénales vaudoises est donnée.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qui avait saisi les autorités </w:t>
      </w:r>
      <w:proofErr w:type="spellStart"/>
      <w:r w:rsidRPr="003231FF">
        <w:rPr>
          <w:rFonts w:ascii="Times New Roman" w:eastAsia="Times New Roman" w:hAnsi="Times New Roman" w:cs="Times New Roman"/>
          <w:sz w:val="24"/>
          <w:szCs w:val="24"/>
          <w:lang w:val="fr-FR" w:eastAsia="en-GB"/>
        </w:rPr>
        <w:t>zougoises</w:t>
      </w:r>
      <w:proofErr w:type="spellEnd"/>
      <w:r w:rsidRPr="003231FF">
        <w:rPr>
          <w:rFonts w:ascii="Times New Roman" w:eastAsia="Times New Roman" w:hAnsi="Times New Roman" w:cs="Times New Roman"/>
          <w:sz w:val="24"/>
          <w:szCs w:val="24"/>
          <w:lang w:val="fr-FR" w:eastAsia="en-GB"/>
        </w:rPr>
        <w:t xml:space="preserve"> doit ainsi se laisser opposer qu'elle a elle-même recouru s'agissant de la fixation </w:t>
      </w:r>
      <w:proofErr w:type="spellStart"/>
      <w:r w:rsidRPr="003231FF">
        <w:rPr>
          <w:rFonts w:ascii="Times New Roman" w:eastAsia="Times New Roman" w:hAnsi="Times New Roman" w:cs="Times New Roman"/>
          <w:sz w:val="24"/>
          <w:szCs w:val="24"/>
          <w:lang w:val="fr-FR" w:eastAsia="en-GB"/>
        </w:rPr>
        <w:t>intercantonale</w:t>
      </w:r>
      <w:proofErr w:type="spellEnd"/>
      <w:r w:rsidRPr="003231FF">
        <w:rPr>
          <w:rFonts w:ascii="Times New Roman" w:eastAsia="Times New Roman" w:hAnsi="Times New Roman" w:cs="Times New Roman"/>
          <w:sz w:val="24"/>
          <w:szCs w:val="24"/>
          <w:lang w:val="fr-FR" w:eastAsia="en-GB"/>
        </w:rPr>
        <w:t xml:space="preserve"> du for et que le temps écoulé durant la procédure de recours n'est, partant, pas imputable à une inaction ou un manque de diligence des autorités pénales. A ce moment de la procédure, la prescription étant déjà acquise (10 ou 11 septembre 2012),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ne saurait, pour le surplus, reprocher aux autorités vaudoises d'avoir pris prétexte de la langue dans laquelle était rédigée la plainte pour reporter encore le début des investigations. Supposé recevable, le grief devrait, de toute manière, être rejeté.</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6.</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Les conclusions de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étaient dénuées de chances de succès. L'assistance judiciaire doit être refusée (art. 64 al. 1 LTF). Succombant,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 xml:space="preserve"> supporte les frais de la procédure qui seront fixés en tenant compte de sa situation économique qui n'apparaît pas favorable (art. 65 al. 2 et 66 al. 1 LTF).</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Par ces motifs, le Tribunal fédéral prononce :</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1.</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Le recours est rejeté dans la mesure où il est recevable.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2.</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La demande d'assistance judiciaire est rejetée.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3.</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xml:space="preserve">Les frais judiciaires, arrêtés à 1600 </w:t>
      </w:r>
      <w:proofErr w:type="spellStart"/>
      <w:r w:rsidRPr="003231FF">
        <w:rPr>
          <w:rFonts w:ascii="Times New Roman" w:eastAsia="Times New Roman" w:hAnsi="Times New Roman" w:cs="Times New Roman"/>
          <w:sz w:val="24"/>
          <w:szCs w:val="24"/>
          <w:lang w:val="fr-FR" w:eastAsia="en-GB"/>
        </w:rPr>
        <w:t>fr.</w:t>
      </w:r>
      <w:proofErr w:type="spellEnd"/>
      <w:r w:rsidRPr="003231FF">
        <w:rPr>
          <w:rFonts w:ascii="Times New Roman" w:eastAsia="Times New Roman" w:hAnsi="Times New Roman" w:cs="Times New Roman"/>
          <w:sz w:val="24"/>
          <w:szCs w:val="24"/>
          <w:lang w:val="fr-FR" w:eastAsia="en-GB"/>
        </w:rPr>
        <w:t xml:space="preserve">, sont mis à la charge de la </w:t>
      </w:r>
      <w:proofErr w:type="spellStart"/>
      <w:r w:rsidRPr="003231FF">
        <w:rPr>
          <w:rFonts w:ascii="Times New Roman" w:eastAsia="Times New Roman" w:hAnsi="Times New Roman" w:cs="Times New Roman"/>
          <w:sz w:val="24"/>
          <w:szCs w:val="24"/>
          <w:lang w:val="fr-FR" w:eastAsia="en-GB"/>
        </w:rPr>
        <w:t>recourante</w:t>
      </w:r>
      <w:proofErr w:type="spellEnd"/>
      <w:r w:rsidRPr="003231FF">
        <w:rPr>
          <w:rFonts w:ascii="Times New Roman" w:eastAsia="Times New Roman" w:hAnsi="Times New Roman" w:cs="Times New Roman"/>
          <w:sz w:val="24"/>
          <w:szCs w:val="24"/>
          <w:lang w:val="fr-FR" w:eastAsia="en-GB"/>
        </w:rPr>
        <w:t>.</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b/>
          <w:bCs/>
          <w:sz w:val="24"/>
          <w:szCs w:val="24"/>
          <w:lang w:val="fr-FR" w:eastAsia="en-GB"/>
        </w:rPr>
        <w:t>4.</w:t>
      </w:r>
      <w:r w:rsidRPr="003231FF">
        <w:rPr>
          <w:rFonts w:ascii="Times New Roman" w:eastAsia="Times New Roman" w:hAnsi="Times New Roman" w:cs="Times New Roman"/>
          <w:sz w:val="24"/>
          <w:szCs w:val="24"/>
          <w:lang w:val="fr-FR" w:eastAsia="en-GB"/>
        </w:rPr>
        <w:t xml:space="preserve">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Le présent arrêt est communiqué aux parties et au Tribunal cantonal du canton de Vaud, Chambre des recours pénale.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Lausanne, le 21 juillet 2014</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lastRenderedPageBreak/>
        <w:t>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Au nom de la Cour de droit pénal</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proofErr w:type="gramStart"/>
      <w:r w:rsidRPr="003231FF">
        <w:rPr>
          <w:rFonts w:ascii="Times New Roman" w:eastAsia="Times New Roman" w:hAnsi="Times New Roman" w:cs="Times New Roman"/>
          <w:sz w:val="24"/>
          <w:szCs w:val="24"/>
          <w:lang w:val="fr-FR" w:eastAsia="en-GB"/>
        </w:rPr>
        <w:t>du</w:t>
      </w:r>
      <w:proofErr w:type="gramEnd"/>
      <w:r w:rsidRPr="003231FF">
        <w:rPr>
          <w:rFonts w:ascii="Times New Roman" w:eastAsia="Times New Roman" w:hAnsi="Times New Roman" w:cs="Times New Roman"/>
          <w:sz w:val="24"/>
          <w:szCs w:val="24"/>
          <w:lang w:val="fr-FR" w:eastAsia="en-GB"/>
        </w:rPr>
        <w:t xml:space="preserve"> Tribunal fédéral suisse</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Le Président :       Le Greffier :</w:t>
      </w:r>
    </w:p>
    <w:p w:rsidR="003231FF" w:rsidRPr="003231FF" w:rsidRDefault="003231FF" w:rsidP="003231FF">
      <w:pPr>
        <w:spacing w:after="0" w:line="240" w:lineRule="auto"/>
        <w:rPr>
          <w:rFonts w:ascii="Times New Roman" w:eastAsia="Times New Roman" w:hAnsi="Times New Roman" w:cs="Times New Roman"/>
          <w:sz w:val="24"/>
          <w:szCs w:val="24"/>
          <w:lang w:val="fr-FR" w:eastAsia="en-GB"/>
        </w:rPr>
      </w:pPr>
      <w:r w:rsidRPr="003231FF">
        <w:rPr>
          <w:rFonts w:ascii="Times New Roman" w:eastAsia="Times New Roman" w:hAnsi="Times New Roman" w:cs="Times New Roman"/>
          <w:sz w:val="24"/>
          <w:szCs w:val="24"/>
          <w:lang w:val="fr-FR" w:eastAsia="en-GB"/>
        </w:rPr>
        <w:t> </w:t>
      </w:r>
    </w:p>
    <w:p w:rsidR="003231FF" w:rsidRPr="003231FF" w:rsidRDefault="003231FF" w:rsidP="003231FF">
      <w:pPr>
        <w:spacing w:after="0" w:line="240" w:lineRule="auto"/>
        <w:rPr>
          <w:rFonts w:ascii="Times New Roman" w:eastAsia="Times New Roman" w:hAnsi="Times New Roman" w:cs="Times New Roman"/>
          <w:sz w:val="24"/>
          <w:szCs w:val="24"/>
          <w:lang w:eastAsia="en-GB"/>
        </w:rPr>
      </w:pPr>
      <w:proofErr w:type="spellStart"/>
      <w:r w:rsidRPr="003231FF">
        <w:rPr>
          <w:rFonts w:ascii="Times New Roman" w:eastAsia="Times New Roman" w:hAnsi="Times New Roman" w:cs="Times New Roman"/>
          <w:sz w:val="24"/>
          <w:szCs w:val="24"/>
          <w:lang w:eastAsia="en-GB"/>
        </w:rPr>
        <w:t>Mathys</w:t>
      </w:r>
      <w:proofErr w:type="spellEnd"/>
      <w:r w:rsidRPr="003231FF">
        <w:rPr>
          <w:rFonts w:ascii="Times New Roman" w:eastAsia="Times New Roman" w:hAnsi="Times New Roman" w:cs="Times New Roman"/>
          <w:sz w:val="24"/>
          <w:szCs w:val="24"/>
          <w:lang w:eastAsia="en-GB"/>
        </w:rPr>
        <w:t>       </w:t>
      </w:r>
      <w:proofErr w:type="spellStart"/>
      <w:r w:rsidRPr="003231FF">
        <w:rPr>
          <w:rFonts w:ascii="Times New Roman" w:eastAsia="Times New Roman" w:hAnsi="Times New Roman" w:cs="Times New Roman"/>
          <w:sz w:val="24"/>
          <w:szCs w:val="24"/>
          <w:lang w:eastAsia="en-GB"/>
        </w:rPr>
        <w:t>Vallat</w:t>
      </w:r>
      <w:proofErr w:type="spellEnd"/>
    </w:p>
    <w:p w:rsidR="00B209E5" w:rsidRPr="003231FF" w:rsidRDefault="00B209E5" w:rsidP="003231FF"/>
    <w:sectPr w:rsidR="00B209E5" w:rsidRPr="00323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65"/>
    <w:rsid w:val="003231FF"/>
    <w:rsid w:val="00825C65"/>
    <w:rsid w:val="0088752C"/>
    <w:rsid w:val="00B209E5"/>
    <w:rsid w:val="00B4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9B360-57B9-4AA1-A300-B7E78E7E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9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23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407">
      <w:bodyDiv w:val="1"/>
      <w:marLeft w:val="0"/>
      <w:marRight w:val="0"/>
      <w:marTop w:val="0"/>
      <w:marBottom w:val="0"/>
      <w:divBdr>
        <w:top w:val="none" w:sz="0" w:space="0" w:color="auto"/>
        <w:left w:val="none" w:sz="0" w:space="0" w:color="auto"/>
        <w:bottom w:val="none" w:sz="0" w:space="0" w:color="auto"/>
        <w:right w:val="none" w:sz="0" w:space="0" w:color="auto"/>
      </w:divBdr>
      <w:divsChild>
        <w:div w:id="1259169576">
          <w:marLeft w:val="0"/>
          <w:marRight w:val="0"/>
          <w:marTop w:val="0"/>
          <w:marBottom w:val="0"/>
          <w:divBdr>
            <w:top w:val="none" w:sz="0" w:space="0" w:color="auto"/>
            <w:left w:val="none" w:sz="0" w:space="0" w:color="auto"/>
            <w:bottom w:val="none" w:sz="0" w:space="0" w:color="auto"/>
            <w:right w:val="none" w:sz="0" w:space="0" w:color="auto"/>
          </w:divBdr>
        </w:div>
      </w:divsChild>
    </w:div>
    <w:div w:id="1421948741">
      <w:bodyDiv w:val="1"/>
      <w:marLeft w:val="0"/>
      <w:marRight w:val="0"/>
      <w:marTop w:val="0"/>
      <w:marBottom w:val="0"/>
      <w:divBdr>
        <w:top w:val="none" w:sz="0" w:space="0" w:color="auto"/>
        <w:left w:val="none" w:sz="0" w:space="0" w:color="auto"/>
        <w:bottom w:val="none" w:sz="0" w:space="0" w:color="auto"/>
        <w:right w:val="none" w:sz="0" w:space="0" w:color="auto"/>
      </w:divBdr>
      <w:divsChild>
        <w:div w:id="1606185694">
          <w:marLeft w:val="0"/>
          <w:marRight w:val="0"/>
          <w:marTop w:val="0"/>
          <w:marBottom w:val="0"/>
          <w:divBdr>
            <w:top w:val="none" w:sz="0" w:space="0" w:color="auto"/>
            <w:left w:val="none" w:sz="0" w:space="0" w:color="auto"/>
            <w:bottom w:val="none" w:sz="0" w:space="0" w:color="auto"/>
            <w:right w:val="none" w:sz="0" w:space="0" w:color="auto"/>
          </w:divBdr>
        </w:div>
        <w:div w:id="1493568730">
          <w:marLeft w:val="0"/>
          <w:marRight w:val="0"/>
          <w:marTop w:val="0"/>
          <w:marBottom w:val="0"/>
          <w:divBdr>
            <w:top w:val="none" w:sz="0" w:space="0" w:color="auto"/>
            <w:left w:val="none" w:sz="0" w:space="0" w:color="auto"/>
            <w:bottom w:val="none" w:sz="0" w:space="0" w:color="auto"/>
            <w:right w:val="none" w:sz="0" w:space="0" w:color="auto"/>
          </w:divBdr>
        </w:div>
        <w:div w:id="542836867">
          <w:marLeft w:val="0"/>
          <w:marRight w:val="0"/>
          <w:marTop w:val="0"/>
          <w:marBottom w:val="0"/>
          <w:divBdr>
            <w:top w:val="none" w:sz="0" w:space="0" w:color="auto"/>
            <w:left w:val="none" w:sz="0" w:space="0" w:color="auto"/>
            <w:bottom w:val="none" w:sz="0" w:space="0" w:color="auto"/>
            <w:right w:val="none" w:sz="0" w:space="0" w:color="auto"/>
          </w:divBdr>
        </w:div>
        <w:div w:id="429283288">
          <w:marLeft w:val="0"/>
          <w:marRight w:val="0"/>
          <w:marTop w:val="0"/>
          <w:marBottom w:val="0"/>
          <w:divBdr>
            <w:top w:val="none" w:sz="0" w:space="0" w:color="auto"/>
            <w:left w:val="none" w:sz="0" w:space="0" w:color="auto"/>
            <w:bottom w:val="none" w:sz="0" w:space="0" w:color="auto"/>
            <w:right w:val="none" w:sz="0" w:space="0" w:color="auto"/>
          </w:divBdr>
        </w:div>
        <w:div w:id="676616787">
          <w:marLeft w:val="0"/>
          <w:marRight w:val="0"/>
          <w:marTop w:val="0"/>
          <w:marBottom w:val="0"/>
          <w:divBdr>
            <w:top w:val="none" w:sz="0" w:space="0" w:color="auto"/>
            <w:left w:val="none" w:sz="0" w:space="0" w:color="auto"/>
            <w:bottom w:val="none" w:sz="0" w:space="0" w:color="auto"/>
            <w:right w:val="none" w:sz="0" w:space="0" w:color="auto"/>
          </w:divBdr>
        </w:div>
        <w:div w:id="860631119">
          <w:marLeft w:val="0"/>
          <w:marRight w:val="0"/>
          <w:marTop w:val="0"/>
          <w:marBottom w:val="0"/>
          <w:divBdr>
            <w:top w:val="none" w:sz="0" w:space="0" w:color="auto"/>
            <w:left w:val="none" w:sz="0" w:space="0" w:color="auto"/>
            <w:bottom w:val="none" w:sz="0" w:space="0" w:color="auto"/>
            <w:right w:val="none" w:sz="0" w:space="0" w:color="auto"/>
          </w:divBdr>
        </w:div>
        <w:div w:id="465247385">
          <w:marLeft w:val="0"/>
          <w:marRight w:val="0"/>
          <w:marTop w:val="0"/>
          <w:marBottom w:val="0"/>
          <w:divBdr>
            <w:top w:val="none" w:sz="0" w:space="0" w:color="auto"/>
            <w:left w:val="none" w:sz="0" w:space="0" w:color="auto"/>
            <w:bottom w:val="none" w:sz="0" w:space="0" w:color="auto"/>
            <w:right w:val="none" w:sz="0" w:space="0" w:color="auto"/>
          </w:divBdr>
          <w:divsChild>
            <w:div w:id="1442526480">
              <w:marLeft w:val="0"/>
              <w:marRight w:val="0"/>
              <w:marTop w:val="0"/>
              <w:marBottom w:val="0"/>
              <w:divBdr>
                <w:top w:val="none" w:sz="0" w:space="0" w:color="auto"/>
                <w:left w:val="none" w:sz="0" w:space="0" w:color="auto"/>
                <w:bottom w:val="none" w:sz="0" w:space="0" w:color="auto"/>
                <w:right w:val="none" w:sz="0" w:space="0" w:color="auto"/>
              </w:divBdr>
            </w:div>
            <w:div w:id="1368674133">
              <w:marLeft w:val="0"/>
              <w:marRight w:val="0"/>
              <w:marTop w:val="0"/>
              <w:marBottom w:val="0"/>
              <w:divBdr>
                <w:top w:val="none" w:sz="0" w:space="0" w:color="auto"/>
                <w:left w:val="none" w:sz="0" w:space="0" w:color="auto"/>
                <w:bottom w:val="none" w:sz="0" w:space="0" w:color="auto"/>
                <w:right w:val="none" w:sz="0" w:space="0" w:color="auto"/>
              </w:divBdr>
            </w:div>
            <w:div w:id="286816536">
              <w:marLeft w:val="0"/>
              <w:marRight w:val="0"/>
              <w:marTop w:val="0"/>
              <w:marBottom w:val="0"/>
              <w:divBdr>
                <w:top w:val="none" w:sz="0" w:space="0" w:color="auto"/>
                <w:left w:val="none" w:sz="0" w:space="0" w:color="auto"/>
                <w:bottom w:val="none" w:sz="0" w:space="0" w:color="auto"/>
                <w:right w:val="none" w:sz="0" w:space="0" w:color="auto"/>
              </w:divBdr>
            </w:div>
            <w:div w:id="698704459">
              <w:marLeft w:val="0"/>
              <w:marRight w:val="0"/>
              <w:marTop w:val="0"/>
              <w:marBottom w:val="0"/>
              <w:divBdr>
                <w:top w:val="none" w:sz="0" w:space="0" w:color="auto"/>
                <w:left w:val="none" w:sz="0" w:space="0" w:color="auto"/>
                <w:bottom w:val="none" w:sz="0" w:space="0" w:color="auto"/>
                <w:right w:val="none" w:sz="0" w:space="0" w:color="auto"/>
              </w:divBdr>
            </w:div>
            <w:div w:id="1950816691">
              <w:marLeft w:val="0"/>
              <w:marRight w:val="0"/>
              <w:marTop w:val="0"/>
              <w:marBottom w:val="0"/>
              <w:divBdr>
                <w:top w:val="none" w:sz="0" w:space="0" w:color="auto"/>
                <w:left w:val="none" w:sz="0" w:space="0" w:color="auto"/>
                <w:bottom w:val="none" w:sz="0" w:space="0" w:color="auto"/>
                <w:right w:val="none" w:sz="0" w:space="0" w:color="auto"/>
              </w:divBdr>
            </w:div>
            <w:div w:id="1999728848">
              <w:marLeft w:val="0"/>
              <w:marRight w:val="0"/>
              <w:marTop w:val="0"/>
              <w:marBottom w:val="0"/>
              <w:divBdr>
                <w:top w:val="none" w:sz="0" w:space="0" w:color="auto"/>
                <w:left w:val="none" w:sz="0" w:space="0" w:color="auto"/>
                <w:bottom w:val="none" w:sz="0" w:space="0" w:color="auto"/>
                <w:right w:val="none" w:sz="0" w:space="0" w:color="auto"/>
              </w:divBdr>
            </w:div>
            <w:div w:id="2024700753">
              <w:marLeft w:val="0"/>
              <w:marRight w:val="0"/>
              <w:marTop w:val="0"/>
              <w:marBottom w:val="0"/>
              <w:divBdr>
                <w:top w:val="none" w:sz="0" w:space="0" w:color="auto"/>
                <w:left w:val="none" w:sz="0" w:space="0" w:color="auto"/>
                <w:bottom w:val="none" w:sz="0" w:space="0" w:color="auto"/>
                <w:right w:val="none" w:sz="0" w:space="0" w:color="auto"/>
              </w:divBdr>
            </w:div>
          </w:divsChild>
        </w:div>
        <w:div w:id="951782059">
          <w:marLeft w:val="0"/>
          <w:marRight w:val="0"/>
          <w:marTop w:val="0"/>
          <w:marBottom w:val="0"/>
          <w:divBdr>
            <w:top w:val="none" w:sz="0" w:space="0" w:color="auto"/>
            <w:left w:val="none" w:sz="0" w:space="0" w:color="auto"/>
            <w:bottom w:val="none" w:sz="0" w:space="0" w:color="auto"/>
            <w:right w:val="none" w:sz="0" w:space="0" w:color="auto"/>
          </w:divBdr>
        </w:div>
        <w:div w:id="1561942331">
          <w:marLeft w:val="0"/>
          <w:marRight w:val="0"/>
          <w:marTop w:val="0"/>
          <w:marBottom w:val="0"/>
          <w:divBdr>
            <w:top w:val="none" w:sz="0" w:space="0" w:color="auto"/>
            <w:left w:val="none" w:sz="0" w:space="0" w:color="auto"/>
            <w:bottom w:val="none" w:sz="0" w:space="0" w:color="auto"/>
            <w:right w:val="none" w:sz="0" w:space="0" w:color="auto"/>
          </w:divBdr>
        </w:div>
        <w:div w:id="1503550289">
          <w:marLeft w:val="0"/>
          <w:marRight w:val="0"/>
          <w:marTop w:val="0"/>
          <w:marBottom w:val="0"/>
          <w:divBdr>
            <w:top w:val="none" w:sz="0" w:space="0" w:color="auto"/>
            <w:left w:val="none" w:sz="0" w:space="0" w:color="auto"/>
            <w:bottom w:val="none" w:sz="0" w:space="0" w:color="auto"/>
            <w:right w:val="none" w:sz="0" w:space="0" w:color="auto"/>
          </w:divBdr>
        </w:div>
        <w:div w:id="1305698083">
          <w:marLeft w:val="0"/>
          <w:marRight w:val="0"/>
          <w:marTop w:val="0"/>
          <w:marBottom w:val="0"/>
          <w:divBdr>
            <w:top w:val="none" w:sz="0" w:space="0" w:color="auto"/>
            <w:left w:val="none" w:sz="0" w:space="0" w:color="auto"/>
            <w:bottom w:val="none" w:sz="0" w:space="0" w:color="auto"/>
            <w:right w:val="none" w:sz="0" w:space="0" w:color="auto"/>
          </w:divBdr>
        </w:div>
        <w:div w:id="1556427916">
          <w:marLeft w:val="0"/>
          <w:marRight w:val="0"/>
          <w:marTop w:val="0"/>
          <w:marBottom w:val="0"/>
          <w:divBdr>
            <w:top w:val="none" w:sz="0" w:space="0" w:color="auto"/>
            <w:left w:val="none" w:sz="0" w:space="0" w:color="auto"/>
            <w:bottom w:val="none" w:sz="0" w:space="0" w:color="auto"/>
            <w:right w:val="none" w:sz="0" w:space="0" w:color="auto"/>
          </w:divBdr>
        </w:div>
        <w:div w:id="1942564038">
          <w:marLeft w:val="0"/>
          <w:marRight w:val="0"/>
          <w:marTop w:val="0"/>
          <w:marBottom w:val="0"/>
          <w:divBdr>
            <w:top w:val="none" w:sz="0" w:space="0" w:color="auto"/>
            <w:left w:val="none" w:sz="0" w:space="0" w:color="auto"/>
            <w:bottom w:val="none" w:sz="0" w:space="0" w:color="auto"/>
            <w:right w:val="none" w:sz="0" w:space="0" w:color="auto"/>
          </w:divBdr>
        </w:div>
        <w:div w:id="806631054">
          <w:marLeft w:val="0"/>
          <w:marRight w:val="0"/>
          <w:marTop w:val="0"/>
          <w:marBottom w:val="0"/>
          <w:divBdr>
            <w:top w:val="none" w:sz="0" w:space="0" w:color="auto"/>
            <w:left w:val="none" w:sz="0" w:space="0" w:color="auto"/>
            <w:bottom w:val="none" w:sz="0" w:space="0" w:color="auto"/>
            <w:right w:val="none" w:sz="0" w:space="0" w:color="auto"/>
          </w:divBdr>
        </w:div>
        <w:div w:id="1973948279">
          <w:marLeft w:val="0"/>
          <w:marRight w:val="0"/>
          <w:marTop w:val="0"/>
          <w:marBottom w:val="0"/>
          <w:divBdr>
            <w:top w:val="none" w:sz="0" w:space="0" w:color="auto"/>
            <w:left w:val="none" w:sz="0" w:space="0" w:color="auto"/>
            <w:bottom w:val="none" w:sz="0" w:space="0" w:color="auto"/>
            <w:right w:val="none" w:sz="0" w:space="0" w:color="auto"/>
          </w:divBdr>
        </w:div>
        <w:div w:id="1645770327">
          <w:marLeft w:val="0"/>
          <w:marRight w:val="0"/>
          <w:marTop w:val="0"/>
          <w:marBottom w:val="0"/>
          <w:divBdr>
            <w:top w:val="none" w:sz="0" w:space="0" w:color="auto"/>
            <w:left w:val="none" w:sz="0" w:space="0" w:color="auto"/>
            <w:bottom w:val="none" w:sz="0" w:space="0" w:color="auto"/>
            <w:right w:val="none" w:sz="0" w:space="0" w:color="auto"/>
          </w:divBdr>
        </w:div>
        <w:div w:id="38211230">
          <w:marLeft w:val="0"/>
          <w:marRight w:val="0"/>
          <w:marTop w:val="0"/>
          <w:marBottom w:val="0"/>
          <w:divBdr>
            <w:top w:val="none" w:sz="0" w:space="0" w:color="auto"/>
            <w:left w:val="none" w:sz="0" w:space="0" w:color="auto"/>
            <w:bottom w:val="none" w:sz="0" w:space="0" w:color="auto"/>
            <w:right w:val="none" w:sz="0" w:space="0" w:color="auto"/>
          </w:divBdr>
        </w:div>
        <w:div w:id="1137409778">
          <w:marLeft w:val="0"/>
          <w:marRight w:val="0"/>
          <w:marTop w:val="0"/>
          <w:marBottom w:val="0"/>
          <w:divBdr>
            <w:top w:val="none" w:sz="0" w:space="0" w:color="auto"/>
            <w:left w:val="none" w:sz="0" w:space="0" w:color="auto"/>
            <w:bottom w:val="none" w:sz="0" w:space="0" w:color="auto"/>
            <w:right w:val="none" w:sz="0" w:space="0" w:color="auto"/>
          </w:divBdr>
        </w:div>
        <w:div w:id="1121068107">
          <w:marLeft w:val="0"/>
          <w:marRight w:val="0"/>
          <w:marTop w:val="0"/>
          <w:marBottom w:val="0"/>
          <w:divBdr>
            <w:top w:val="none" w:sz="0" w:space="0" w:color="auto"/>
            <w:left w:val="none" w:sz="0" w:space="0" w:color="auto"/>
            <w:bottom w:val="none" w:sz="0" w:space="0" w:color="auto"/>
            <w:right w:val="none" w:sz="0" w:space="0" w:color="auto"/>
          </w:divBdr>
        </w:div>
        <w:div w:id="1847938958">
          <w:marLeft w:val="0"/>
          <w:marRight w:val="0"/>
          <w:marTop w:val="0"/>
          <w:marBottom w:val="0"/>
          <w:divBdr>
            <w:top w:val="none" w:sz="0" w:space="0" w:color="auto"/>
            <w:left w:val="none" w:sz="0" w:space="0" w:color="auto"/>
            <w:bottom w:val="none" w:sz="0" w:space="0" w:color="auto"/>
            <w:right w:val="none" w:sz="0" w:space="0" w:color="auto"/>
          </w:divBdr>
        </w:div>
        <w:div w:id="552691637">
          <w:marLeft w:val="0"/>
          <w:marRight w:val="0"/>
          <w:marTop w:val="0"/>
          <w:marBottom w:val="0"/>
          <w:divBdr>
            <w:top w:val="none" w:sz="0" w:space="0" w:color="auto"/>
            <w:left w:val="none" w:sz="0" w:space="0" w:color="auto"/>
            <w:bottom w:val="none" w:sz="0" w:space="0" w:color="auto"/>
            <w:right w:val="none" w:sz="0" w:space="0" w:color="auto"/>
          </w:divBdr>
        </w:div>
        <w:div w:id="571700125">
          <w:marLeft w:val="0"/>
          <w:marRight w:val="0"/>
          <w:marTop w:val="0"/>
          <w:marBottom w:val="0"/>
          <w:divBdr>
            <w:top w:val="none" w:sz="0" w:space="0" w:color="auto"/>
            <w:left w:val="none" w:sz="0" w:space="0" w:color="auto"/>
            <w:bottom w:val="none" w:sz="0" w:space="0" w:color="auto"/>
            <w:right w:val="none" w:sz="0" w:space="0" w:color="auto"/>
          </w:divBdr>
        </w:div>
        <w:div w:id="1759137432">
          <w:marLeft w:val="0"/>
          <w:marRight w:val="0"/>
          <w:marTop w:val="0"/>
          <w:marBottom w:val="0"/>
          <w:divBdr>
            <w:top w:val="none" w:sz="0" w:space="0" w:color="auto"/>
            <w:left w:val="none" w:sz="0" w:space="0" w:color="auto"/>
            <w:bottom w:val="none" w:sz="0" w:space="0" w:color="auto"/>
            <w:right w:val="none" w:sz="0" w:space="0" w:color="auto"/>
          </w:divBdr>
        </w:div>
        <w:div w:id="801072985">
          <w:marLeft w:val="0"/>
          <w:marRight w:val="0"/>
          <w:marTop w:val="0"/>
          <w:marBottom w:val="0"/>
          <w:divBdr>
            <w:top w:val="none" w:sz="0" w:space="0" w:color="auto"/>
            <w:left w:val="none" w:sz="0" w:space="0" w:color="auto"/>
            <w:bottom w:val="none" w:sz="0" w:space="0" w:color="auto"/>
            <w:right w:val="none" w:sz="0" w:space="0" w:color="auto"/>
          </w:divBdr>
        </w:div>
        <w:div w:id="1674648978">
          <w:marLeft w:val="0"/>
          <w:marRight w:val="0"/>
          <w:marTop w:val="0"/>
          <w:marBottom w:val="0"/>
          <w:divBdr>
            <w:top w:val="none" w:sz="0" w:space="0" w:color="auto"/>
            <w:left w:val="none" w:sz="0" w:space="0" w:color="auto"/>
            <w:bottom w:val="none" w:sz="0" w:space="0" w:color="auto"/>
            <w:right w:val="none" w:sz="0" w:space="0" w:color="auto"/>
          </w:divBdr>
        </w:div>
        <w:div w:id="2121872957">
          <w:marLeft w:val="0"/>
          <w:marRight w:val="0"/>
          <w:marTop w:val="0"/>
          <w:marBottom w:val="0"/>
          <w:divBdr>
            <w:top w:val="none" w:sz="0" w:space="0" w:color="auto"/>
            <w:left w:val="none" w:sz="0" w:space="0" w:color="auto"/>
            <w:bottom w:val="none" w:sz="0" w:space="0" w:color="auto"/>
            <w:right w:val="none" w:sz="0" w:space="0" w:color="auto"/>
          </w:divBdr>
        </w:div>
        <w:div w:id="1736926801">
          <w:marLeft w:val="0"/>
          <w:marRight w:val="0"/>
          <w:marTop w:val="0"/>
          <w:marBottom w:val="0"/>
          <w:divBdr>
            <w:top w:val="none" w:sz="0" w:space="0" w:color="auto"/>
            <w:left w:val="none" w:sz="0" w:space="0" w:color="auto"/>
            <w:bottom w:val="none" w:sz="0" w:space="0" w:color="auto"/>
            <w:right w:val="none" w:sz="0" w:space="0" w:color="auto"/>
          </w:divBdr>
        </w:div>
        <w:div w:id="1498306083">
          <w:marLeft w:val="0"/>
          <w:marRight w:val="0"/>
          <w:marTop w:val="0"/>
          <w:marBottom w:val="0"/>
          <w:divBdr>
            <w:top w:val="none" w:sz="0" w:space="0" w:color="auto"/>
            <w:left w:val="none" w:sz="0" w:space="0" w:color="auto"/>
            <w:bottom w:val="none" w:sz="0" w:space="0" w:color="auto"/>
            <w:right w:val="none" w:sz="0" w:space="0" w:color="auto"/>
          </w:divBdr>
        </w:div>
        <w:div w:id="737172676">
          <w:marLeft w:val="0"/>
          <w:marRight w:val="0"/>
          <w:marTop w:val="0"/>
          <w:marBottom w:val="0"/>
          <w:divBdr>
            <w:top w:val="none" w:sz="0" w:space="0" w:color="auto"/>
            <w:left w:val="none" w:sz="0" w:space="0" w:color="auto"/>
            <w:bottom w:val="none" w:sz="0" w:space="0" w:color="auto"/>
            <w:right w:val="none" w:sz="0" w:space="0" w:color="auto"/>
          </w:divBdr>
        </w:div>
        <w:div w:id="1628463749">
          <w:marLeft w:val="0"/>
          <w:marRight w:val="0"/>
          <w:marTop w:val="0"/>
          <w:marBottom w:val="0"/>
          <w:divBdr>
            <w:top w:val="none" w:sz="0" w:space="0" w:color="auto"/>
            <w:left w:val="none" w:sz="0" w:space="0" w:color="auto"/>
            <w:bottom w:val="none" w:sz="0" w:space="0" w:color="auto"/>
            <w:right w:val="none" w:sz="0" w:space="0" w:color="auto"/>
          </w:divBdr>
        </w:div>
        <w:div w:id="472022779">
          <w:marLeft w:val="0"/>
          <w:marRight w:val="0"/>
          <w:marTop w:val="0"/>
          <w:marBottom w:val="0"/>
          <w:divBdr>
            <w:top w:val="none" w:sz="0" w:space="0" w:color="auto"/>
            <w:left w:val="none" w:sz="0" w:space="0" w:color="auto"/>
            <w:bottom w:val="none" w:sz="0" w:space="0" w:color="auto"/>
            <w:right w:val="none" w:sz="0" w:space="0" w:color="auto"/>
          </w:divBdr>
        </w:div>
        <w:div w:id="282805359">
          <w:marLeft w:val="0"/>
          <w:marRight w:val="0"/>
          <w:marTop w:val="0"/>
          <w:marBottom w:val="0"/>
          <w:divBdr>
            <w:top w:val="none" w:sz="0" w:space="0" w:color="auto"/>
            <w:left w:val="none" w:sz="0" w:space="0" w:color="auto"/>
            <w:bottom w:val="none" w:sz="0" w:space="0" w:color="auto"/>
            <w:right w:val="none" w:sz="0" w:space="0" w:color="auto"/>
          </w:divBdr>
        </w:div>
        <w:div w:id="1864398068">
          <w:marLeft w:val="0"/>
          <w:marRight w:val="0"/>
          <w:marTop w:val="0"/>
          <w:marBottom w:val="0"/>
          <w:divBdr>
            <w:top w:val="none" w:sz="0" w:space="0" w:color="auto"/>
            <w:left w:val="none" w:sz="0" w:space="0" w:color="auto"/>
            <w:bottom w:val="none" w:sz="0" w:space="0" w:color="auto"/>
            <w:right w:val="none" w:sz="0" w:space="0" w:color="auto"/>
          </w:divBdr>
        </w:div>
        <w:div w:id="1815904011">
          <w:marLeft w:val="0"/>
          <w:marRight w:val="0"/>
          <w:marTop w:val="0"/>
          <w:marBottom w:val="0"/>
          <w:divBdr>
            <w:top w:val="none" w:sz="0" w:space="0" w:color="auto"/>
            <w:left w:val="none" w:sz="0" w:space="0" w:color="auto"/>
            <w:bottom w:val="none" w:sz="0" w:space="0" w:color="auto"/>
            <w:right w:val="none" w:sz="0" w:space="0" w:color="auto"/>
          </w:divBdr>
        </w:div>
        <w:div w:id="1753770311">
          <w:marLeft w:val="0"/>
          <w:marRight w:val="0"/>
          <w:marTop w:val="0"/>
          <w:marBottom w:val="0"/>
          <w:divBdr>
            <w:top w:val="none" w:sz="0" w:space="0" w:color="auto"/>
            <w:left w:val="none" w:sz="0" w:space="0" w:color="auto"/>
            <w:bottom w:val="none" w:sz="0" w:space="0" w:color="auto"/>
            <w:right w:val="none" w:sz="0" w:space="0" w:color="auto"/>
          </w:divBdr>
        </w:div>
        <w:div w:id="19210923">
          <w:marLeft w:val="0"/>
          <w:marRight w:val="0"/>
          <w:marTop w:val="0"/>
          <w:marBottom w:val="0"/>
          <w:divBdr>
            <w:top w:val="none" w:sz="0" w:space="0" w:color="auto"/>
            <w:left w:val="none" w:sz="0" w:space="0" w:color="auto"/>
            <w:bottom w:val="none" w:sz="0" w:space="0" w:color="auto"/>
            <w:right w:val="none" w:sz="0" w:space="0" w:color="auto"/>
          </w:divBdr>
        </w:div>
        <w:div w:id="287207978">
          <w:marLeft w:val="0"/>
          <w:marRight w:val="0"/>
          <w:marTop w:val="0"/>
          <w:marBottom w:val="0"/>
          <w:divBdr>
            <w:top w:val="none" w:sz="0" w:space="0" w:color="auto"/>
            <w:left w:val="none" w:sz="0" w:space="0" w:color="auto"/>
            <w:bottom w:val="none" w:sz="0" w:space="0" w:color="auto"/>
            <w:right w:val="none" w:sz="0" w:space="0" w:color="auto"/>
          </w:divBdr>
        </w:div>
        <w:div w:id="1618675443">
          <w:marLeft w:val="0"/>
          <w:marRight w:val="0"/>
          <w:marTop w:val="0"/>
          <w:marBottom w:val="0"/>
          <w:divBdr>
            <w:top w:val="none" w:sz="0" w:space="0" w:color="auto"/>
            <w:left w:val="none" w:sz="0" w:space="0" w:color="auto"/>
            <w:bottom w:val="none" w:sz="0" w:space="0" w:color="auto"/>
            <w:right w:val="none" w:sz="0" w:space="0" w:color="auto"/>
          </w:divBdr>
        </w:div>
        <w:div w:id="613710794">
          <w:marLeft w:val="0"/>
          <w:marRight w:val="0"/>
          <w:marTop w:val="0"/>
          <w:marBottom w:val="0"/>
          <w:divBdr>
            <w:top w:val="none" w:sz="0" w:space="0" w:color="auto"/>
            <w:left w:val="none" w:sz="0" w:space="0" w:color="auto"/>
            <w:bottom w:val="none" w:sz="0" w:space="0" w:color="auto"/>
            <w:right w:val="none" w:sz="0" w:space="0" w:color="auto"/>
          </w:divBdr>
        </w:div>
        <w:div w:id="550264082">
          <w:marLeft w:val="0"/>
          <w:marRight w:val="0"/>
          <w:marTop w:val="0"/>
          <w:marBottom w:val="0"/>
          <w:divBdr>
            <w:top w:val="none" w:sz="0" w:space="0" w:color="auto"/>
            <w:left w:val="none" w:sz="0" w:space="0" w:color="auto"/>
            <w:bottom w:val="none" w:sz="0" w:space="0" w:color="auto"/>
            <w:right w:val="none" w:sz="0" w:space="0" w:color="auto"/>
          </w:divBdr>
        </w:div>
        <w:div w:id="683635957">
          <w:marLeft w:val="0"/>
          <w:marRight w:val="0"/>
          <w:marTop w:val="0"/>
          <w:marBottom w:val="0"/>
          <w:divBdr>
            <w:top w:val="none" w:sz="0" w:space="0" w:color="auto"/>
            <w:left w:val="none" w:sz="0" w:space="0" w:color="auto"/>
            <w:bottom w:val="none" w:sz="0" w:space="0" w:color="auto"/>
            <w:right w:val="none" w:sz="0" w:space="0" w:color="auto"/>
          </w:divBdr>
        </w:div>
        <w:div w:id="2005473104">
          <w:marLeft w:val="0"/>
          <w:marRight w:val="0"/>
          <w:marTop w:val="0"/>
          <w:marBottom w:val="0"/>
          <w:divBdr>
            <w:top w:val="none" w:sz="0" w:space="0" w:color="auto"/>
            <w:left w:val="none" w:sz="0" w:space="0" w:color="auto"/>
            <w:bottom w:val="none" w:sz="0" w:space="0" w:color="auto"/>
            <w:right w:val="none" w:sz="0" w:space="0" w:color="auto"/>
          </w:divBdr>
        </w:div>
        <w:div w:id="1769764249">
          <w:marLeft w:val="0"/>
          <w:marRight w:val="0"/>
          <w:marTop w:val="0"/>
          <w:marBottom w:val="0"/>
          <w:divBdr>
            <w:top w:val="none" w:sz="0" w:space="0" w:color="auto"/>
            <w:left w:val="none" w:sz="0" w:space="0" w:color="auto"/>
            <w:bottom w:val="none" w:sz="0" w:space="0" w:color="auto"/>
            <w:right w:val="none" w:sz="0" w:space="0" w:color="auto"/>
          </w:divBdr>
        </w:div>
        <w:div w:id="309024420">
          <w:marLeft w:val="0"/>
          <w:marRight w:val="0"/>
          <w:marTop w:val="0"/>
          <w:marBottom w:val="0"/>
          <w:divBdr>
            <w:top w:val="none" w:sz="0" w:space="0" w:color="auto"/>
            <w:left w:val="none" w:sz="0" w:space="0" w:color="auto"/>
            <w:bottom w:val="none" w:sz="0" w:space="0" w:color="auto"/>
            <w:right w:val="none" w:sz="0" w:space="0" w:color="auto"/>
          </w:divBdr>
        </w:div>
        <w:div w:id="1994749293">
          <w:marLeft w:val="0"/>
          <w:marRight w:val="0"/>
          <w:marTop w:val="0"/>
          <w:marBottom w:val="0"/>
          <w:divBdr>
            <w:top w:val="none" w:sz="0" w:space="0" w:color="auto"/>
            <w:left w:val="none" w:sz="0" w:space="0" w:color="auto"/>
            <w:bottom w:val="none" w:sz="0" w:space="0" w:color="auto"/>
            <w:right w:val="none" w:sz="0" w:space="0" w:color="auto"/>
          </w:divBdr>
        </w:div>
        <w:div w:id="1989892652">
          <w:marLeft w:val="0"/>
          <w:marRight w:val="0"/>
          <w:marTop w:val="0"/>
          <w:marBottom w:val="0"/>
          <w:divBdr>
            <w:top w:val="none" w:sz="0" w:space="0" w:color="auto"/>
            <w:left w:val="none" w:sz="0" w:space="0" w:color="auto"/>
            <w:bottom w:val="none" w:sz="0" w:space="0" w:color="auto"/>
            <w:right w:val="none" w:sz="0" w:space="0" w:color="auto"/>
          </w:divBdr>
        </w:div>
        <w:div w:id="2067531309">
          <w:marLeft w:val="0"/>
          <w:marRight w:val="0"/>
          <w:marTop w:val="0"/>
          <w:marBottom w:val="0"/>
          <w:divBdr>
            <w:top w:val="none" w:sz="0" w:space="0" w:color="auto"/>
            <w:left w:val="none" w:sz="0" w:space="0" w:color="auto"/>
            <w:bottom w:val="none" w:sz="0" w:space="0" w:color="auto"/>
            <w:right w:val="none" w:sz="0" w:space="0" w:color="auto"/>
          </w:divBdr>
        </w:div>
        <w:div w:id="109514615">
          <w:marLeft w:val="0"/>
          <w:marRight w:val="0"/>
          <w:marTop w:val="0"/>
          <w:marBottom w:val="0"/>
          <w:divBdr>
            <w:top w:val="none" w:sz="0" w:space="0" w:color="auto"/>
            <w:left w:val="none" w:sz="0" w:space="0" w:color="auto"/>
            <w:bottom w:val="none" w:sz="0" w:space="0" w:color="auto"/>
            <w:right w:val="none" w:sz="0" w:space="0" w:color="auto"/>
          </w:divBdr>
        </w:div>
        <w:div w:id="1342704947">
          <w:marLeft w:val="0"/>
          <w:marRight w:val="0"/>
          <w:marTop w:val="0"/>
          <w:marBottom w:val="0"/>
          <w:divBdr>
            <w:top w:val="none" w:sz="0" w:space="0" w:color="auto"/>
            <w:left w:val="none" w:sz="0" w:space="0" w:color="auto"/>
            <w:bottom w:val="none" w:sz="0" w:space="0" w:color="auto"/>
            <w:right w:val="none" w:sz="0" w:space="0" w:color="auto"/>
          </w:divBdr>
        </w:div>
        <w:div w:id="1664044435">
          <w:marLeft w:val="0"/>
          <w:marRight w:val="0"/>
          <w:marTop w:val="0"/>
          <w:marBottom w:val="0"/>
          <w:divBdr>
            <w:top w:val="none" w:sz="0" w:space="0" w:color="auto"/>
            <w:left w:val="none" w:sz="0" w:space="0" w:color="auto"/>
            <w:bottom w:val="none" w:sz="0" w:space="0" w:color="auto"/>
            <w:right w:val="none" w:sz="0" w:space="0" w:color="auto"/>
          </w:divBdr>
        </w:div>
        <w:div w:id="273631786">
          <w:marLeft w:val="0"/>
          <w:marRight w:val="0"/>
          <w:marTop w:val="0"/>
          <w:marBottom w:val="0"/>
          <w:divBdr>
            <w:top w:val="none" w:sz="0" w:space="0" w:color="auto"/>
            <w:left w:val="none" w:sz="0" w:space="0" w:color="auto"/>
            <w:bottom w:val="none" w:sz="0" w:space="0" w:color="auto"/>
            <w:right w:val="none" w:sz="0" w:space="0" w:color="auto"/>
          </w:divBdr>
        </w:div>
        <w:div w:id="1373337326">
          <w:marLeft w:val="0"/>
          <w:marRight w:val="0"/>
          <w:marTop w:val="0"/>
          <w:marBottom w:val="0"/>
          <w:divBdr>
            <w:top w:val="none" w:sz="0" w:space="0" w:color="auto"/>
            <w:left w:val="none" w:sz="0" w:space="0" w:color="auto"/>
            <w:bottom w:val="none" w:sz="0" w:space="0" w:color="auto"/>
            <w:right w:val="none" w:sz="0" w:space="0" w:color="auto"/>
          </w:divBdr>
        </w:div>
        <w:div w:id="892541033">
          <w:marLeft w:val="0"/>
          <w:marRight w:val="0"/>
          <w:marTop w:val="0"/>
          <w:marBottom w:val="0"/>
          <w:divBdr>
            <w:top w:val="none" w:sz="0" w:space="0" w:color="auto"/>
            <w:left w:val="none" w:sz="0" w:space="0" w:color="auto"/>
            <w:bottom w:val="none" w:sz="0" w:space="0" w:color="auto"/>
            <w:right w:val="none" w:sz="0" w:space="0" w:color="auto"/>
          </w:divBdr>
        </w:div>
        <w:div w:id="2070348927">
          <w:marLeft w:val="0"/>
          <w:marRight w:val="0"/>
          <w:marTop w:val="0"/>
          <w:marBottom w:val="0"/>
          <w:divBdr>
            <w:top w:val="none" w:sz="0" w:space="0" w:color="auto"/>
            <w:left w:val="none" w:sz="0" w:space="0" w:color="auto"/>
            <w:bottom w:val="none" w:sz="0" w:space="0" w:color="auto"/>
            <w:right w:val="none" w:sz="0" w:space="0" w:color="auto"/>
          </w:divBdr>
        </w:div>
        <w:div w:id="2041316979">
          <w:marLeft w:val="0"/>
          <w:marRight w:val="0"/>
          <w:marTop w:val="0"/>
          <w:marBottom w:val="0"/>
          <w:divBdr>
            <w:top w:val="none" w:sz="0" w:space="0" w:color="auto"/>
            <w:left w:val="none" w:sz="0" w:space="0" w:color="auto"/>
            <w:bottom w:val="none" w:sz="0" w:space="0" w:color="auto"/>
            <w:right w:val="none" w:sz="0" w:space="0" w:color="auto"/>
          </w:divBdr>
        </w:div>
        <w:div w:id="1635014600">
          <w:marLeft w:val="0"/>
          <w:marRight w:val="0"/>
          <w:marTop w:val="0"/>
          <w:marBottom w:val="0"/>
          <w:divBdr>
            <w:top w:val="none" w:sz="0" w:space="0" w:color="auto"/>
            <w:left w:val="none" w:sz="0" w:space="0" w:color="auto"/>
            <w:bottom w:val="none" w:sz="0" w:space="0" w:color="auto"/>
            <w:right w:val="none" w:sz="0" w:space="0" w:color="auto"/>
          </w:divBdr>
        </w:div>
        <w:div w:id="1037925104">
          <w:marLeft w:val="0"/>
          <w:marRight w:val="0"/>
          <w:marTop w:val="0"/>
          <w:marBottom w:val="0"/>
          <w:divBdr>
            <w:top w:val="none" w:sz="0" w:space="0" w:color="auto"/>
            <w:left w:val="none" w:sz="0" w:space="0" w:color="auto"/>
            <w:bottom w:val="none" w:sz="0" w:space="0" w:color="auto"/>
            <w:right w:val="none" w:sz="0" w:space="0" w:color="auto"/>
          </w:divBdr>
        </w:div>
        <w:div w:id="109668568">
          <w:marLeft w:val="0"/>
          <w:marRight w:val="0"/>
          <w:marTop w:val="0"/>
          <w:marBottom w:val="0"/>
          <w:divBdr>
            <w:top w:val="none" w:sz="0" w:space="0" w:color="auto"/>
            <w:left w:val="none" w:sz="0" w:space="0" w:color="auto"/>
            <w:bottom w:val="none" w:sz="0" w:space="0" w:color="auto"/>
            <w:right w:val="none" w:sz="0" w:space="0" w:color="auto"/>
          </w:divBdr>
        </w:div>
        <w:div w:id="1288077103">
          <w:marLeft w:val="0"/>
          <w:marRight w:val="0"/>
          <w:marTop w:val="0"/>
          <w:marBottom w:val="0"/>
          <w:divBdr>
            <w:top w:val="none" w:sz="0" w:space="0" w:color="auto"/>
            <w:left w:val="none" w:sz="0" w:space="0" w:color="auto"/>
            <w:bottom w:val="none" w:sz="0" w:space="0" w:color="auto"/>
            <w:right w:val="none" w:sz="0" w:space="0" w:color="auto"/>
          </w:divBdr>
        </w:div>
        <w:div w:id="1790783374">
          <w:marLeft w:val="0"/>
          <w:marRight w:val="0"/>
          <w:marTop w:val="0"/>
          <w:marBottom w:val="0"/>
          <w:divBdr>
            <w:top w:val="none" w:sz="0" w:space="0" w:color="auto"/>
            <w:left w:val="none" w:sz="0" w:space="0" w:color="auto"/>
            <w:bottom w:val="none" w:sz="0" w:space="0" w:color="auto"/>
            <w:right w:val="none" w:sz="0" w:space="0" w:color="auto"/>
          </w:divBdr>
        </w:div>
        <w:div w:id="1604068005">
          <w:marLeft w:val="0"/>
          <w:marRight w:val="0"/>
          <w:marTop w:val="0"/>
          <w:marBottom w:val="0"/>
          <w:divBdr>
            <w:top w:val="none" w:sz="0" w:space="0" w:color="auto"/>
            <w:left w:val="none" w:sz="0" w:space="0" w:color="auto"/>
            <w:bottom w:val="none" w:sz="0" w:space="0" w:color="auto"/>
            <w:right w:val="none" w:sz="0" w:space="0" w:color="auto"/>
          </w:divBdr>
        </w:div>
        <w:div w:id="472604000">
          <w:marLeft w:val="0"/>
          <w:marRight w:val="0"/>
          <w:marTop w:val="0"/>
          <w:marBottom w:val="0"/>
          <w:divBdr>
            <w:top w:val="none" w:sz="0" w:space="0" w:color="auto"/>
            <w:left w:val="none" w:sz="0" w:space="0" w:color="auto"/>
            <w:bottom w:val="none" w:sz="0" w:space="0" w:color="auto"/>
            <w:right w:val="none" w:sz="0" w:space="0" w:color="auto"/>
          </w:divBdr>
        </w:div>
        <w:div w:id="1130705968">
          <w:marLeft w:val="0"/>
          <w:marRight w:val="0"/>
          <w:marTop w:val="0"/>
          <w:marBottom w:val="0"/>
          <w:divBdr>
            <w:top w:val="none" w:sz="0" w:space="0" w:color="auto"/>
            <w:left w:val="none" w:sz="0" w:space="0" w:color="auto"/>
            <w:bottom w:val="none" w:sz="0" w:space="0" w:color="auto"/>
            <w:right w:val="none" w:sz="0" w:space="0" w:color="auto"/>
          </w:divBdr>
        </w:div>
        <w:div w:id="570778847">
          <w:marLeft w:val="0"/>
          <w:marRight w:val="0"/>
          <w:marTop w:val="0"/>
          <w:marBottom w:val="0"/>
          <w:divBdr>
            <w:top w:val="none" w:sz="0" w:space="0" w:color="auto"/>
            <w:left w:val="none" w:sz="0" w:space="0" w:color="auto"/>
            <w:bottom w:val="none" w:sz="0" w:space="0" w:color="auto"/>
            <w:right w:val="none" w:sz="0" w:space="0" w:color="auto"/>
          </w:divBdr>
        </w:div>
        <w:div w:id="1777866215">
          <w:marLeft w:val="0"/>
          <w:marRight w:val="0"/>
          <w:marTop w:val="0"/>
          <w:marBottom w:val="0"/>
          <w:divBdr>
            <w:top w:val="none" w:sz="0" w:space="0" w:color="auto"/>
            <w:left w:val="none" w:sz="0" w:space="0" w:color="auto"/>
            <w:bottom w:val="none" w:sz="0" w:space="0" w:color="auto"/>
            <w:right w:val="none" w:sz="0" w:space="0" w:color="auto"/>
          </w:divBdr>
        </w:div>
        <w:div w:id="1519847966">
          <w:marLeft w:val="0"/>
          <w:marRight w:val="0"/>
          <w:marTop w:val="0"/>
          <w:marBottom w:val="0"/>
          <w:divBdr>
            <w:top w:val="none" w:sz="0" w:space="0" w:color="auto"/>
            <w:left w:val="none" w:sz="0" w:space="0" w:color="auto"/>
            <w:bottom w:val="none" w:sz="0" w:space="0" w:color="auto"/>
            <w:right w:val="none" w:sz="0" w:space="0" w:color="auto"/>
          </w:divBdr>
        </w:div>
        <w:div w:id="545878312">
          <w:marLeft w:val="0"/>
          <w:marRight w:val="0"/>
          <w:marTop w:val="0"/>
          <w:marBottom w:val="0"/>
          <w:divBdr>
            <w:top w:val="none" w:sz="0" w:space="0" w:color="auto"/>
            <w:left w:val="none" w:sz="0" w:space="0" w:color="auto"/>
            <w:bottom w:val="none" w:sz="0" w:space="0" w:color="auto"/>
            <w:right w:val="none" w:sz="0" w:space="0" w:color="auto"/>
          </w:divBdr>
        </w:div>
        <w:div w:id="1090198394">
          <w:marLeft w:val="0"/>
          <w:marRight w:val="0"/>
          <w:marTop w:val="0"/>
          <w:marBottom w:val="0"/>
          <w:divBdr>
            <w:top w:val="none" w:sz="0" w:space="0" w:color="auto"/>
            <w:left w:val="none" w:sz="0" w:space="0" w:color="auto"/>
            <w:bottom w:val="none" w:sz="0" w:space="0" w:color="auto"/>
            <w:right w:val="none" w:sz="0" w:space="0" w:color="auto"/>
          </w:divBdr>
        </w:div>
        <w:div w:id="604381654">
          <w:marLeft w:val="0"/>
          <w:marRight w:val="0"/>
          <w:marTop w:val="0"/>
          <w:marBottom w:val="0"/>
          <w:divBdr>
            <w:top w:val="none" w:sz="0" w:space="0" w:color="auto"/>
            <w:left w:val="none" w:sz="0" w:space="0" w:color="auto"/>
            <w:bottom w:val="none" w:sz="0" w:space="0" w:color="auto"/>
            <w:right w:val="none" w:sz="0" w:space="0" w:color="auto"/>
          </w:divBdr>
        </w:div>
        <w:div w:id="862983820">
          <w:marLeft w:val="0"/>
          <w:marRight w:val="0"/>
          <w:marTop w:val="0"/>
          <w:marBottom w:val="0"/>
          <w:divBdr>
            <w:top w:val="none" w:sz="0" w:space="0" w:color="auto"/>
            <w:left w:val="none" w:sz="0" w:space="0" w:color="auto"/>
            <w:bottom w:val="none" w:sz="0" w:space="0" w:color="auto"/>
            <w:right w:val="none" w:sz="0" w:space="0" w:color="auto"/>
          </w:divBdr>
        </w:div>
        <w:div w:id="34433404">
          <w:marLeft w:val="0"/>
          <w:marRight w:val="0"/>
          <w:marTop w:val="0"/>
          <w:marBottom w:val="0"/>
          <w:divBdr>
            <w:top w:val="none" w:sz="0" w:space="0" w:color="auto"/>
            <w:left w:val="none" w:sz="0" w:space="0" w:color="auto"/>
            <w:bottom w:val="none" w:sz="0" w:space="0" w:color="auto"/>
            <w:right w:val="none" w:sz="0" w:space="0" w:color="auto"/>
          </w:divBdr>
        </w:div>
        <w:div w:id="1731229966">
          <w:marLeft w:val="0"/>
          <w:marRight w:val="0"/>
          <w:marTop w:val="0"/>
          <w:marBottom w:val="0"/>
          <w:divBdr>
            <w:top w:val="none" w:sz="0" w:space="0" w:color="auto"/>
            <w:left w:val="none" w:sz="0" w:space="0" w:color="auto"/>
            <w:bottom w:val="none" w:sz="0" w:space="0" w:color="auto"/>
            <w:right w:val="none" w:sz="0" w:space="0" w:color="auto"/>
          </w:divBdr>
        </w:div>
        <w:div w:id="1039866258">
          <w:marLeft w:val="0"/>
          <w:marRight w:val="0"/>
          <w:marTop w:val="0"/>
          <w:marBottom w:val="0"/>
          <w:divBdr>
            <w:top w:val="none" w:sz="0" w:space="0" w:color="auto"/>
            <w:left w:val="none" w:sz="0" w:space="0" w:color="auto"/>
            <w:bottom w:val="none" w:sz="0" w:space="0" w:color="auto"/>
            <w:right w:val="none" w:sz="0" w:space="0" w:color="auto"/>
          </w:divBdr>
        </w:div>
        <w:div w:id="233665287">
          <w:marLeft w:val="0"/>
          <w:marRight w:val="0"/>
          <w:marTop w:val="0"/>
          <w:marBottom w:val="0"/>
          <w:divBdr>
            <w:top w:val="none" w:sz="0" w:space="0" w:color="auto"/>
            <w:left w:val="none" w:sz="0" w:space="0" w:color="auto"/>
            <w:bottom w:val="none" w:sz="0" w:space="0" w:color="auto"/>
            <w:right w:val="none" w:sz="0" w:space="0" w:color="auto"/>
          </w:divBdr>
        </w:div>
        <w:div w:id="2070838803">
          <w:marLeft w:val="0"/>
          <w:marRight w:val="0"/>
          <w:marTop w:val="0"/>
          <w:marBottom w:val="0"/>
          <w:divBdr>
            <w:top w:val="none" w:sz="0" w:space="0" w:color="auto"/>
            <w:left w:val="none" w:sz="0" w:space="0" w:color="auto"/>
            <w:bottom w:val="none" w:sz="0" w:space="0" w:color="auto"/>
            <w:right w:val="none" w:sz="0" w:space="0" w:color="auto"/>
          </w:divBdr>
        </w:div>
        <w:div w:id="1033700155">
          <w:marLeft w:val="0"/>
          <w:marRight w:val="0"/>
          <w:marTop w:val="0"/>
          <w:marBottom w:val="0"/>
          <w:divBdr>
            <w:top w:val="none" w:sz="0" w:space="0" w:color="auto"/>
            <w:left w:val="none" w:sz="0" w:space="0" w:color="auto"/>
            <w:bottom w:val="none" w:sz="0" w:space="0" w:color="auto"/>
            <w:right w:val="none" w:sz="0" w:space="0" w:color="auto"/>
          </w:divBdr>
        </w:div>
        <w:div w:id="49427177">
          <w:marLeft w:val="0"/>
          <w:marRight w:val="0"/>
          <w:marTop w:val="0"/>
          <w:marBottom w:val="0"/>
          <w:divBdr>
            <w:top w:val="none" w:sz="0" w:space="0" w:color="auto"/>
            <w:left w:val="none" w:sz="0" w:space="0" w:color="auto"/>
            <w:bottom w:val="none" w:sz="0" w:space="0" w:color="auto"/>
            <w:right w:val="none" w:sz="0" w:space="0" w:color="auto"/>
          </w:divBdr>
        </w:div>
        <w:div w:id="727267864">
          <w:marLeft w:val="0"/>
          <w:marRight w:val="0"/>
          <w:marTop w:val="0"/>
          <w:marBottom w:val="0"/>
          <w:divBdr>
            <w:top w:val="none" w:sz="0" w:space="0" w:color="auto"/>
            <w:left w:val="none" w:sz="0" w:space="0" w:color="auto"/>
            <w:bottom w:val="none" w:sz="0" w:space="0" w:color="auto"/>
            <w:right w:val="none" w:sz="0" w:space="0" w:color="auto"/>
          </w:divBdr>
        </w:div>
        <w:div w:id="1227957297">
          <w:marLeft w:val="0"/>
          <w:marRight w:val="0"/>
          <w:marTop w:val="0"/>
          <w:marBottom w:val="0"/>
          <w:divBdr>
            <w:top w:val="none" w:sz="0" w:space="0" w:color="auto"/>
            <w:left w:val="none" w:sz="0" w:space="0" w:color="auto"/>
            <w:bottom w:val="none" w:sz="0" w:space="0" w:color="auto"/>
            <w:right w:val="none" w:sz="0" w:space="0" w:color="auto"/>
          </w:divBdr>
        </w:div>
        <w:div w:id="2034644672">
          <w:marLeft w:val="0"/>
          <w:marRight w:val="0"/>
          <w:marTop w:val="0"/>
          <w:marBottom w:val="0"/>
          <w:divBdr>
            <w:top w:val="none" w:sz="0" w:space="0" w:color="auto"/>
            <w:left w:val="none" w:sz="0" w:space="0" w:color="auto"/>
            <w:bottom w:val="none" w:sz="0" w:space="0" w:color="auto"/>
            <w:right w:val="none" w:sz="0" w:space="0" w:color="auto"/>
          </w:divBdr>
        </w:div>
        <w:div w:id="22217818">
          <w:marLeft w:val="0"/>
          <w:marRight w:val="0"/>
          <w:marTop w:val="0"/>
          <w:marBottom w:val="0"/>
          <w:divBdr>
            <w:top w:val="none" w:sz="0" w:space="0" w:color="auto"/>
            <w:left w:val="none" w:sz="0" w:space="0" w:color="auto"/>
            <w:bottom w:val="none" w:sz="0" w:space="0" w:color="auto"/>
            <w:right w:val="none" w:sz="0" w:space="0" w:color="auto"/>
          </w:divBdr>
        </w:div>
        <w:div w:id="102770342">
          <w:marLeft w:val="0"/>
          <w:marRight w:val="0"/>
          <w:marTop w:val="0"/>
          <w:marBottom w:val="0"/>
          <w:divBdr>
            <w:top w:val="none" w:sz="0" w:space="0" w:color="auto"/>
            <w:left w:val="none" w:sz="0" w:space="0" w:color="auto"/>
            <w:bottom w:val="none" w:sz="0" w:space="0" w:color="auto"/>
            <w:right w:val="none" w:sz="0" w:space="0" w:color="auto"/>
          </w:divBdr>
        </w:div>
        <w:div w:id="1106148212">
          <w:marLeft w:val="0"/>
          <w:marRight w:val="0"/>
          <w:marTop w:val="0"/>
          <w:marBottom w:val="0"/>
          <w:divBdr>
            <w:top w:val="none" w:sz="0" w:space="0" w:color="auto"/>
            <w:left w:val="none" w:sz="0" w:space="0" w:color="auto"/>
            <w:bottom w:val="none" w:sz="0" w:space="0" w:color="auto"/>
            <w:right w:val="none" w:sz="0" w:space="0" w:color="auto"/>
          </w:divBdr>
        </w:div>
        <w:div w:id="1358772850">
          <w:marLeft w:val="0"/>
          <w:marRight w:val="0"/>
          <w:marTop w:val="0"/>
          <w:marBottom w:val="0"/>
          <w:divBdr>
            <w:top w:val="none" w:sz="0" w:space="0" w:color="auto"/>
            <w:left w:val="none" w:sz="0" w:space="0" w:color="auto"/>
            <w:bottom w:val="none" w:sz="0" w:space="0" w:color="auto"/>
            <w:right w:val="none" w:sz="0" w:space="0" w:color="auto"/>
          </w:divBdr>
        </w:div>
        <w:div w:id="1228414370">
          <w:marLeft w:val="0"/>
          <w:marRight w:val="0"/>
          <w:marTop w:val="0"/>
          <w:marBottom w:val="0"/>
          <w:divBdr>
            <w:top w:val="none" w:sz="0" w:space="0" w:color="auto"/>
            <w:left w:val="none" w:sz="0" w:space="0" w:color="auto"/>
            <w:bottom w:val="none" w:sz="0" w:space="0" w:color="auto"/>
            <w:right w:val="none" w:sz="0" w:space="0" w:color="auto"/>
          </w:divBdr>
        </w:div>
        <w:div w:id="1701122911">
          <w:marLeft w:val="0"/>
          <w:marRight w:val="0"/>
          <w:marTop w:val="0"/>
          <w:marBottom w:val="0"/>
          <w:divBdr>
            <w:top w:val="none" w:sz="0" w:space="0" w:color="auto"/>
            <w:left w:val="none" w:sz="0" w:space="0" w:color="auto"/>
            <w:bottom w:val="none" w:sz="0" w:space="0" w:color="auto"/>
            <w:right w:val="none" w:sz="0" w:space="0" w:color="auto"/>
          </w:divBdr>
        </w:div>
        <w:div w:id="1045259079">
          <w:marLeft w:val="0"/>
          <w:marRight w:val="0"/>
          <w:marTop w:val="0"/>
          <w:marBottom w:val="0"/>
          <w:divBdr>
            <w:top w:val="none" w:sz="0" w:space="0" w:color="auto"/>
            <w:left w:val="none" w:sz="0" w:space="0" w:color="auto"/>
            <w:bottom w:val="none" w:sz="0" w:space="0" w:color="auto"/>
            <w:right w:val="none" w:sz="0" w:space="0" w:color="auto"/>
          </w:divBdr>
        </w:div>
        <w:div w:id="805899571">
          <w:marLeft w:val="0"/>
          <w:marRight w:val="0"/>
          <w:marTop w:val="0"/>
          <w:marBottom w:val="0"/>
          <w:divBdr>
            <w:top w:val="none" w:sz="0" w:space="0" w:color="auto"/>
            <w:left w:val="none" w:sz="0" w:space="0" w:color="auto"/>
            <w:bottom w:val="none" w:sz="0" w:space="0" w:color="auto"/>
            <w:right w:val="none" w:sz="0" w:space="0" w:color="auto"/>
          </w:divBdr>
        </w:div>
        <w:div w:id="1510487918">
          <w:marLeft w:val="0"/>
          <w:marRight w:val="0"/>
          <w:marTop w:val="0"/>
          <w:marBottom w:val="0"/>
          <w:divBdr>
            <w:top w:val="none" w:sz="0" w:space="0" w:color="auto"/>
            <w:left w:val="none" w:sz="0" w:space="0" w:color="auto"/>
            <w:bottom w:val="none" w:sz="0" w:space="0" w:color="auto"/>
            <w:right w:val="none" w:sz="0" w:space="0" w:color="auto"/>
          </w:divBdr>
        </w:div>
        <w:div w:id="318578838">
          <w:marLeft w:val="0"/>
          <w:marRight w:val="0"/>
          <w:marTop w:val="0"/>
          <w:marBottom w:val="0"/>
          <w:divBdr>
            <w:top w:val="none" w:sz="0" w:space="0" w:color="auto"/>
            <w:left w:val="none" w:sz="0" w:space="0" w:color="auto"/>
            <w:bottom w:val="none" w:sz="0" w:space="0" w:color="auto"/>
            <w:right w:val="none" w:sz="0" w:space="0" w:color="auto"/>
          </w:divBdr>
        </w:div>
        <w:div w:id="702677623">
          <w:marLeft w:val="0"/>
          <w:marRight w:val="0"/>
          <w:marTop w:val="0"/>
          <w:marBottom w:val="0"/>
          <w:divBdr>
            <w:top w:val="none" w:sz="0" w:space="0" w:color="auto"/>
            <w:left w:val="none" w:sz="0" w:space="0" w:color="auto"/>
            <w:bottom w:val="none" w:sz="0" w:space="0" w:color="auto"/>
            <w:right w:val="none" w:sz="0" w:space="0" w:color="auto"/>
          </w:divBdr>
        </w:div>
        <w:div w:id="194657532">
          <w:marLeft w:val="0"/>
          <w:marRight w:val="0"/>
          <w:marTop w:val="0"/>
          <w:marBottom w:val="0"/>
          <w:divBdr>
            <w:top w:val="none" w:sz="0" w:space="0" w:color="auto"/>
            <w:left w:val="none" w:sz="0" w:space="0" w:color="auto"/>
            <w:bottom w:val="none" w:sz="0" w:space="0" w:color="auto"/>
            <w:right w:val="none" w:sz="0" w:space="0" w:color="auto"/>
          </w:divBdr>
        </w:div>
        <w:div w:id="573585217">
          <w:marLeft w:val="0"/>
          <w:marRight w:val="0"/>
          <w:marTop w:val="0"/>
          <w:marBottom w:val="0"/>
          <w:divBdr>
            <w:top w:val="none" w:sz="0" w:space="0" w:color="auto"/>
            <w:left w:val="none" w:sz="0" w:space="0" w:color="auto"/>
            <w:bottom w:val="none" w:sz="0" w:space="0" w:color="auto"/>
            <w:right w:val="none" w:sz="0" w:space="0" w:color="auto"/>
          </w:divBdr>
        </w:div>
        <w:div w:id="1285848504">
          <w:marLeft w:val="0"/>
          <w:marRight w:val="0"/>
          <w:marTop w:val="0"/>
          <w:marBottom w:val="0"/>
          <w:divBdr>
            <w:top w:val="none" w:sz="0" w:space="0" w:color="auto"/>
            <w:left w:val="none" w:sz="0" w:space="0" w:color="auto"/>
            <w:bottom w:val="none" w:sz="0" w:space="0" w:color="auto"/>
            <w:right w:val="none" w:sz="0" w:space="0" w:color="auto"/>
          </w:divBdr>
        </w:div>
        <w:div w:id="483090444">
          <w:marLeft w:val="0"/>
          <w:marRight w:val="0"/>
          <w:marTop w:val="0"/>
          <w:marBottom w:val="0"/>
          <w:divBdr>
            <w:top w:val="none" w:sz="0" w:space="0" w:color="auto"/>
            <w:left w:val="none" w:sz="0" w:space="0" w:color="auto"/>
            <w:bottom w:val="none" w:sz="0" w:space="0" w:color="auto"/>
            <w:right w:val="none" w:sz="0" w:space="0" w:color="auto"/>
          </w:divBdr>
        </w:div>
        <w:div w:id="1567646733">
          <w:marLeft w:val="0"/>
          <w:marRight w:val="0"/>
          <w:marTop w:val="0"/>
          <w:marBottom w:val="0"/>
          <w:divBdr>
            <w:top w:val="none" w:sz="0" w:space="0" w:color="auto"/>
            <w:left w:val="none" w:sz="0" w:space="0" w:color="auto"/>
            <w:bottom w:val="none" w:sz="0" w:space="0" w:color="auto"/>
            <w:right w:val="none" w:sz="0" w:space="0" w:color="auto"/>
          </w:divBdr>
        </w:div>
        <w:div w:id="2033988304">
          <w:marLeft w:val="0"/>
          <w:marRight w:val="0"/>
          <w:marTop w:val="0"/>
          <w:marBottom w:val="0"/>
          <w:divBdr>
            <w:top w:val="none" w:sz="0" w:space="0" w:color="auto"/>
            <w:left w:val="none" w:sz="0" w:space="0" w:color="auto"/>
            <w:bottom w:val="none" w:sz="0" w:space="0" w:color="auto"/>
            <w:right w:val="none" w:sz="0" w:space="0" w:color="auto"/>
          </w:divBdr>
        </w:div>
        <w:div w:id="1726444862">
          <w:marLeft w:val="0"/>
          <w:marRight w:val="0"/>
          <w:marTop w:val="0"/>
          <w:marBottom w:val="0"/>
          <w:divBdr>
            <w:top w:val="none" w:sz="0" w:space="0" w:color="auto"/>
            <w:left w:val="none" w:sz="0" w:space="0" w:color="auto"/>
            <w:bottom w:val="none" w:sz="0" w:space="0" w:color="auto"/>
            <w:right w:val="none" w:sz="0" w:space="0" w:color="auto"/>
          </w:divBdr>
        </w:div>
        <w:div w:id="1788624286">
          <w:marLeft w:val="0"/>
          <w:marRight w:val="0"/>
          <w:marTop w:val="0"/>
          <w:marBottom w:val="0"/>
          <w:divBdr>
            <w:top w:val="none" w:sz="0" w:space="0" w:color="auto"/>
            <w:left w:val="none" w:sz="0" w:space="0" w:color="auto"/>
            <w:bottom w:val="none" w:sz="0" w:space="0" w:color="auto"/>
            <w:right w:val="none" w:sz="0" w:space="0" w:color="auto"/>
          </w:divBdr>
        </w:div>
        <w:div w:id="2086947410">
          <w:marLeft w:val="0"/>
          <w:marRight w:val="0"/>
          <w:marTop w:val="0"/>
          <w:marBottom w:val="0"/>
          <w:divBdr>
            <w:top w:val="none" w:sz="0" w:space="0" w:color="auto"/>
            <w:left w:val="none" w:sz="0" w:space="0" w:color="auto"/>
            <w:bottom w:val="none" w:sz="0" w:space="0" w:color="auto"/>
            <w:right w:val="none" w:sz="0" w:space="0" w:color="auto"/>
          </w:divBdr>
        </w:div>
        <w:div w:id="1171065203">
          <w:marLeft w:val="0"/>
          <w:marRight w:val="0"/>
          <w:marTop w:val="0"/>
          <w:marBottom w:val="0"/>
          <w:divBdr>
            <w:top w:val="none" w:sz="0" w:space="0" w:color="auto"/>
            <w:left w:val="none" w:sz="0" w:space="0" w:color="auto"/>
            <w:bottom w:val="none" w:sz="0" w:space="0" w:color="auto"/>
            <w:right w:val="none" w:sz="0" w:space="0" w:color="auto"/>
          </w:divBdr>
        </w:div>
        <w:div w:id="26881022">
          <w:marLeft w:val="0"/>
          <w:marRight w:val="0"/>
          <w:marTop w:val="0"/>
          <w:marBottom w:val="0"/>
          <w:divBdr>
            <w:top w:val="none" w:sz="0" w:space="0" w:color="auto"/>
            <w:left w:val="none" w:sz="0" w:space="0" w:color="auto"/>
            <w:bottom w:val="none" w:sz="0" w:space="0" w:color="auto"/>
            <w:right w:val="none" w:sz="0" w:space="0" w:color="auto"/>
          </w:divBdr>
        </w:div>
        <w:div w:id="928998482">
          <w:marLeft w:val="0"/>
          <w:marRight w:val="0"/>
          <w:marTop w:val="0"/>
          <w:marBottom w:val="0"/>
          <w:divBdr>
            <w:top w:val="none" w:sz="0" w:space="0" w:color="auto"/>
            <w:left w:val="none" w:sz="0" w:space="0" w:color="auto"/>
            <w:bottom w:val="none" w:sz="0" w:space="0" w:color="auto"/>
            <w:right w:val="none" w:sz="0" w:space="0" w:color="auto"/>
          </w:divBdr>
        </w:div>
        <w:div w:id="1042512416">
          <w:marLeft w:val="0"/>
          <w:marRight w:val="0"/>
          <w:marTop w:val="0"/>
          <w:marBottom w:val="0"/>
          <w:divBdr>
            <w:top w:val="none" w:sz="0" w:space="0" w:color="auto"/>
            <w:left w:val="none" w:sz="0" w:space="0" w:color="auto"/>
            <w:bottom w:val="none" w:sz="0" w:space="0" w:color="auto"/>
            <w:right w:val="none" w:sz="0" w:space="0" w:color="auto"/>
          </w:divBdr>
        </w:div>
        <w:div w:id="1016688213">
          <w:marLeft w:val="0"/>
          <w:marRight w:val="0"/>
          <w:marTop w:val="0"/>
          <w:marBottom w:val="0"/>
          <w:divBdr>
            <w:top w:val="none" w:sz="0" w:space="0" w:color="auto"/>
            <w:left w:val="none" w:sz="0" w:space="0" w:color="auto"/>
            <w:bottom w:val="none" w:sz="0" w:space="0" w:color="auto"/>
            <w:right w:val="none" w:sz="0" w:space="0" w:color="auto"/>
          </w:divBdr>
        </w:div>
        <w:div w:id="1585608574">
          <w:marLeft w:val="0"/>
          <w:marRight w:val="0"/>
          <w:marTop w:val="0"/>
          <w:marBottom w:val="0"/>
          <w:divBdr>
            <w:top w:val="none" w:sz="0" w:space="0" w:color="auto"/>
            <w:left w:val="none" w:sz="0" w:space="0" w:color="auto"/>
            <w:bottom w:val="none" w:sz="0" w:space="0" w:color="auto"/>
            <w:right w:val="none" w:sz="0" w:space="0" w:color="auto"/>
          </w:divBdr>
        </w:div>
        <w:div w:id="1226258363">
          <w:marLeft w:val="0"/>
          <w:marRight w:val="0"/>
          <w:marTop w:val="0"/>
          <w:marBottom w:val="0"/>
          <w:divBdr>
            <w:top w:val="none" w:sz="0" w:space="0" w:color="auto"/>
            <w:left w:val="none" w:sz="0" w:space="0" w:color="auto"/>
            <w:bottom w:val="none" w:sz="0" w:space="0" w:color="auto"/>
            <w:right w:val="none" w:sz="0" w:space="0" w:color="auto"/>
          </w:divBdr>
        </w:div>
        <w:div w:id="572392775">
          <w:marLeft w:val="0"/>
          <w:marRight w:val="0"/>
          <w:marTop w:val="0"/>
          <w:marBottom w:val="0"/>
          <w:divBdr>
            <w:top w:val="none" w:sz="0" w:space="0" w:color="auto"/>
            <w:left w:val="none" w:sz="0" w:space="0" w:color="auto"/>
            <w:bottom w:val="none" w:sz="0" w:space="0" w:color="auto"/>
            <w:right w:val="none" w:sz="0" w:space="0" w:color="auto"/>
          </w:divBdr>
        </w:div>
        <w:div w:id="37780970">
          <w:marLeft w:val="0"/>
          <w:marRight w:val="0"/>
          <w:marTop w:val="0"/>
          <w:marBottom w:val="0"/>
          <w:divBdr>
            <w:top w:val="none" w:sz="0" w:space="0" w:color="auto"/>
            <w:left w:val="none" w:sz="0" w:space="0" w:color="auto"/>
            <w:bottom w:val="none" w:sz="0" w:space="0" w:color="auto"/>
            <w:right w:val="none" w:sz="0" w:space="0" w:color="auto"/>
          </w:divBdr>
        </w:div>
        <w:div w:id="777481318">
          <w:marLeft w:val="0"/>
          <w:marRight w:val="0"/>
          <w:marTop w:val="0"/>
          <w:marBottom w:val="0"/>
          <w:divBdr>
            <w:top w:val="none" w:sz="0" w:space="0" w:color="auto"/>
            <w:left w:val="none" w:sz="0" w:space="0" w:color="auto"/>
            <w:bottom w:val="none" w:sz="0" w:space="0" w:color="auto"/>
            <w:right w:val="none" w:sz="0" w:space="0" w:color="auto"/>
          </w:divBdr>
        </w:div>
        <w:div w:id="788359643">
          <w:marLeft w:val="0"/>
          <w:marRight w:val="0"/>
          <w:marTop w:val="0"/>
          <w:marBottom w:val="0"/>
          <w:divBdr>
            <w:top w:val="none" w:sz="0" w:space="0" w:color="auto"/>
            <w:left w:val="none" w:sz="0" w:space="0" w:color="auto"/>
            <w:bottom w:val="none" w:sz="0" w:space="0" w:color="auto"/>
            <w:right w:val="none" w:sz="0" w:space="0" w:color="auto"/>
          </w:divBdr>
        </w:div>
        <w:div w:id="189806249">
          <w:marLeft w:val="0"/>
          <w:marRight w:val="0"/>
          <w:marTop w:val="0"/>
          <w:marBottom w:val="0"/>
          <w:divBdr>
            <w:top w:val="none" w:sz="0" w:space="0" w:color="auto"/>
            <w:left w:val="none" w:sz="0" w:space="0" w:color="auto"/>
            <w:bottom w:val="none" w:sz="0" w:space="0" w:color="auto"/>
            <w:right w:val="none" w:sz="0" w:space="0" w:color="auto"/>
          </w:divBdr>
        </w:div>
        <w:div w:id="2113623550">
          <w:marLeft w:val="0"/>
          <w:marRight w:val="0"/>
          <w:marTop w:val="0"/>
          <w:marBottom w:val="0"/>
          <w:divBdr>
            <w:top w:val="none" w:sz="0" w:space="0" w:color="auto"/>
            <w:left w:val="none" w:sz="0" w:space="0" w:color="auto"/>
            <w:bottom w:val="none" w:sz="0" w:space="0" w:color="auto"/>
            <w:right w:val="none" w:sz="0" w:space="0" w:color="auto"/>
          </w:divBdr>
        </w:div>
        <w:div w:id="512377446">
          <w:marLeft w:val="0"/>
          <w:marRight w:val="0"/>
          <w:marTop w:val="0"/>
          <w:marBottom w:val="0"/>
          <w:divBdr>
            <w:top w:val="none" w:sz="0" w:space="0" w:color="auto"/>
            <w:left w:val="none" w:sz="0" w:space="0" w:color="auto"/>
            <w:bottom w:val="none" w:sz="0" w:space="0" w:color="auto"/>
            <w:right w:val="none" w:sz="0" w:space="0" w:color="auto"/>
          </w:divBdr>
        </w:div>
        <w:div w:id="1535121702">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983311910">
          <w:marLeft w:val="0"/>
          <w:marRight w:val="0"/>
          <w:marTop w:val="0"/>
          <w:marBottom w:val="0"/>
          <w:divBdr>
            <w:top w:val="none" w:sz="0" w:space="0" w:color="auto"/>
            <w:left w:val="none" w:sz="0" w:space="0" w:color="auto"/>
            <w:bottom w:val="none" w:sz="0" w:space="0" w:color="auto"/>
            <w:right w:val="none" w:sz="0" w:space="0" w:color="auto"/>
          </w:divBdr>
        </w:div>
        <w:div w:id="85420702">
          <w:marLeft w:val="0"/>
          <w:marRight w:val="0"/>
          <w:marTop w:val="0"/>
          <w:marBottom w:val="0"/>
          <w:divBdr>
            <w:top w:val="none" w:sz="0" w:space="0" w:color="auto"/>
            <w:left w:val="none" w:sz="0" w:space="0" w:color="auto"/>
            <w:bottom w:val="none" w:sz="0" w:space="0" w:color="auto"/>
            <w:right w:val="none" w:sz="0" w:space="0" w:color="auto"/>
          </w:divBdr>
        </w:div>
        <w:div w:id="1769882515">
          <w:marLeft w:val="0"/>
          <w:marRight w:val="0"/>
          <w:marTop w:val="0"/>
          <w:marBottom w:val="0"/>
          <w:divBdr>
            <w:top w:val="none" w:sz="0" w:space="0" w:color="auto"/>
            <w:left w:val="none" w:sz="0" w:space="0" w:color="auto"/>
            <w:bottom w:val="none" w:sz="0" w:space="0" w:color="auto"/>
            <w:right w:val="none" w:sz="0" w:space="0" w:color="auto"/>
          </w:divBdr>
        </w:div>
        <w:div w:id="1947301528">
          <w:marLeft w:val="0"/>
          <w:marRight w:val="0"/>
          <w:marTop w:val="0"/>
          <w:marBottom w:val="0"/>
          <w:divBdr>
            <w:top w:val="none" w:sz="0" w:space="0" w:color="auto"/>
            <w:left w:val="none" w:sz="0" w:space="0" w:color="auto"/>
            <w:bottom w:val="none" w:sz="0" w:space="0" w:color="auto"/>
            <w:right w:val="none" w:sz="0" w:space="0" w:color="auto"/>
          </w:divBdr>
        </w:div>
        <w:div w:id="1599018252">
          <w:marLeft w:val="0"/>
          <w:marRight w:val="0"/>
          <w:marTop w:val="0"/>
          <w:marBottom w:val="0"/>
          <w:divBdr>
            <w:top w:val="none" w:sz="0" w:space="0" w:color="auto"/>
            <w:left w:val="none" w:sz="0" w:space="0" w:color="auto"/>
            <w:bottom w:val="none" w:sz="0" w:space="0" w:color="auto"/>
            <w:right w:val="none" w:sz="0" w:space="0" w:color="auto"/>
          </w:divBdr>
        </w:div>
        <w:div w:id="77599467">
          <w:marLeft w:val="0"/>
          <w:marRight w:val="0"/>
          <w:marTop w:val="0"/>
          <w:marBottom w:val="0"/>
          <w:divBdr>
            <w:top w:val="none" w:sz="0" w:space="0" w:color="auto"/>
            <w:left w:val="none" w:sz="0" w:space="0" w:color="auto"/>
            <w:bottom w:val="none" w:sz="0" w:space="0" w:color="auto"/>
            <w:right w:val="none" w:sz="0" w:space="0" w:color="auto"/>
          </w:divBdr>
        </w:div>
        <w:div w:id="1093013143">
          <w:marLeft w:val="0"/>
          <w:marRight w:val="0"/>
          <w:marTop w:val="0"/>
          <w:marBottom w:val="0"/>
          <w:divBdr>
            <w:top w:val="none" w:sz="0" w:space="0" w:color="auto"/>
            <w:left w:val="none" w:sz="0" w:space="0" w:color="auto"/>
            <w:bottom w:val="none" w:sz="0" w:space="0" w:color="auto"/>
            <w:right w:val="none" w:sz="0" w:space="0" w:color="auto"/>
          </w:divBdr>
        </w:div>
        <w:div w:id="881482297">
          <w:marLeft w:val="0"/>
          <w:marRight w:val="0"/>
          <w:marTop w:val="0"/>
          <w:marBottom w:val="0"/>
          <w:divBdr>
            <w:top w:val="none" w:sz="0" w:space="0" w:color="auto"/>
            <w:left w:val="none" w:sz="0" w:space="0" w:color="auto"/>
            <w:bottom w:val="none" w:sz="0" w:space="0" w:color="auto"/>
            <w:right w:val="none" w:sz="0" w:space="0" w:color="auto"/>
          </w:divBdr>
        </w:div>
        <w:div w:id="1307710594">
          <w:marLeft w:val="0"/>
          <w:marRight w:val="0"/>
          <w:marTop w:val="0"/>
          <w:marBottom w:val="0"/>
          <w:divBdr>
            <w:top w:val="none" w:sz="0" w:space="0" w:color="auto"/>
            <w:left w:val="none" w:sz="0" w:space="0" w:color="auto"/>
            <w:bottom w:val="none" w:sz="0" w:space="0" w:color="auto"/>
            <w:right w:val="none" w:sz="0" w:space="0" w:color="auto"/>
          </w:divBdr>
        </w:div>
        <w:div w:id="1169758339">
          <w:marLeft w:val="0"/>
          <w:marRight w:val="0"/>
          <w:marTop w:val="0"/>
          <w:marBottom w:val="0"/>
          <w:divBdr>
            <w:top w:val="none" w:sz="0" w:space="0" w:color="auto"/>
            <w:left w:val="none" w:sz="0" w:space="0" w:color="auto"/>
            <w:bottom w:val="none" w:sz="0" w:space="0" w:color="auto"/>
            <w:right w:val="none" w:sz="0" w:space="0" w:color="auto"/>
          </w:divBdr>
        </w:div>
        <w:div w:id="2033605714">
          <w:marLeft w:val="0"/>
          <w:marRight w:val="0"/>
          <w:marTop w:val="0"/>
          <w:marBottom w:val="0"/>
          <w:divBdr>
            <w:top w:val="none" w:sz="0" w:space="0" w:color="auto"/>
            <w:left w:val="none" w:sz="0" w:space="0" w:color="auto"/>
            <w:bottom w:val="none" w:sz="0" w:space="0" w:color="auto"/>
            <w:right w:val="none" w:sz="0" w:space="0" w:color="auto"/>
          </w:divBdr>
        </w:div>
        <w:div w:id="1487818570">
          <w:marLeft w:val="0"/>
          <w:marRight w:val="0"/>
          <w:marTop w:val="0"/>
          <w:marBottom w:val="0"/>
          <w:divBdr>
            <w:top w:val="none" w:sz="0" w:space="0" w:color="auto"/>
            <w:left w:val="none" w:sz="0" w:space="0" w:color="auto"/>
            <w:bottom w:val="none" w:sz="0" w:space="0" w:color="auto"/>
            <w:right w:val="none" w:sz="0" w:space="0" w:color="auto"/>
          </w:divBdr>
        </w:div>
        <w:div w:id="1496653845">
          <w:marLeft w:val="0"/>
          <w:marRight w:val="0"/>
          <w:marTop w:val="0"/>
          <w:marBottom w:val="0"/>
          <w:divBdr>
            <w:top w:val="none" w:sz="0" w:space="0" w:color="auto"/>
            <w:left w:val="none" w:sz="0" w:space="0" w:color="auto"/>
            <w:bottom w:val="none" w:sz="0" w:space="0" w:color="auto"/>
            <w:right w:val="none" w:sz="0" w:space="0" w:color="auto"/>
          </w:divBdr>
        </w:div>
        <w:div w:id="1606770529">
          <w:marLeft w:val="0"/>
          <w:marRight w:val="0"/>
          <w:marTop w:val="0"/>
          <w:marBottom w:val="0"/>
          <w:divBdr>
            <w:top w:val="none" w:sz="0" w:space="0" w:color="auto"/>
            <w:left w:val="none" w:sz="0" w:space="0" w:color="auto"/>
            <w:bottom w:val="none" w:sz="0" w:space="0" w:color="auto"/>
            <w:right w:val="none" w:sz="0" w:space="0" w:color="auto"/>
          </w:divBdr>
        </w:div>
        <w:div w:id="1033070480">
          <w:marLeft w:val="0"/>
          <w:marRight w:val="0"/>
          <w:marTop w:val="0"/>
          <w:marBottom w:val="0"/>
          <w:divBdr>
            <w:top w:val="none" w:sz="0" w:space="0" w:color="auto"/>
            <w:left w:val="none" w:sz="0" w:space="0" w:color="auto"/>
            <w:bottom w:val="none" w:sz="0" w:space="0" w:color="auto"/>
            <w:right w:val="none" w:sz="0" w:space="0" w:color="auto"/>
          </w:divBdr>
        </w:div>
        <w:div w:id="953827072">
          <w:marLeft w:val="0"/>
          <w:marRight w:val="0"/>
          <w:marTop w:val="0"/>
          <w:marBottom w:val="0"/>
          <w:divBdr>
            <w:top w:val="none" w:sz="0" w:space="0" w:color="auto"/>
            <w:left w:val="none" w:sz="0" w:space="0" w:color="auto"/>
            <w:bottom w:val="none" w:sz="0" w:space="0" w:color="auto"/>
            <w:right w:val="none" w:sz="0" w:space="0" w:color="auto"/>
          </w:divBdr>
        </w:div>
        <w:div w:id="1951158507">
          <w:marLeft w:val="0"/>
          <w:marRight w:val="0"/>
          <w:marTop w:val="0"/>
          <w:marBottom w:val="0"/>
          <w:divBdr>
            <w:top w:val="none" w:sz="0" w:space="0" w:color="auto"/>
            <w:left w:val="none" w:sz="0" w:space="0" w:color="auto"/>
            <w:bottom w:val="none" w:sz="0" w:space="0" w:color="auto"/>
            <w:right w:val="none" w:sz="0" w:space="0" w:color="auto"/>
          </w:divBdr>
        </w:div>
        <w:div w:id="1710378255">
          <w:marLeft w:val="0"/>
          <w:marRight w:val="0"/>
          <w:marTop w:val="0"/>
          <w:marBottom w:val="0"/>
          <w:divBdr>
            <w:top w:val="none" w:sz="0" w:space="0" w:color="auto"/>
            <w:left w:val="none" w:sz="0" w:space="0" w:color="auto"/>
            <w:bottom w:val="none" w:sz="0" w:space="0" w:color="auto"/>
            <w:right w:val="none" w:sz="0" w:space="0" w:color="auto"/>
          </w:divBdr>
        </w:div>
        <w:div w:id="1733191549">
          <w:marLeft w:val="0"/>
          <w:marRight w:val="0"/>
          <w:marTop w:val="0"/>
          <w:marBottom w:val="0"/>
          <w:divBdr>
            <w:top w:val="none" w:sz="0" w:space="0" w:color="auto"/>
            <w:left w:val="none" w:sz="0" w:space="0" w:color="auto"/>
            <w:bottom w:val="none" w:sz="0" w:space="0" w:color="auto"/>
            <w:right w:val="none" w:sz="0" w:space="0" w:color="auto"/>
          </w:divBdr>
        </w:div>
        <w:div w:id="1006518179">
          <w:marLeft w:val="0"/>
          <w:marRight w:val="0"/>
          <w:marTop w:val="0"/>
          <w:marBottom w:val="0"/>
          <w:divBdr>
            <w:top w:val="none" w:sz="0" w:space="0" w:color="auto"/>
            <w:left w:val="none" w:sz="0" w:space="0" w:color="auto"/>
            <w:bottom w:val="none" w:sz="0" w:space="0" w:color="auto"/>
            <w:right w:val="none" w:sz="0" w:space="0" w:color="auto"/>
          </w:divBdr>
        </w:div>
        <w:div w:id="2010398745">
          <w:marLeft w:val="0"/>
          <w:marRight w:val="0"/>
          <w:marTop w:val="0"/>
          <w:marBottom w:val="0"/>
          <w:divBdr>
            <w:top w:val="none" w:sz="0" w:space="0" w:color="auto"/>
            <w:left w:val="none" w:sz="0" w:space="0" w:color="auto"/>
            <w:bottom w:val="none" w:sz="0" w:space="0" w:color="auto"/>
            <w:right w:val="none" w:sz="0" w:space="0" w:color="auto"/>
          </w:divBdr>
        </w:div>
        <w:div w:id="371422168">
          <w:marLeft w:val="0"/>
          <w:marRight w:val="0"/>
          <w:marTop w:val="0"/>
          <w:marBottom w:val="0"/>
          <w:divBdr>
            <w:top w:val="none" w:sz="0" w:space="0" w:color="auto"/>
            <w:left w:val="none" w:sz="0" w:space="0" w:color="auto"/>
            <w:bottom w:val="none" w:sz="0" w:space="0" w:color="auto"/>
            <w:right w:val="none" w:sz="0" w:space="0" w:color="auto"/>
          </w:divBdr>
        </w:div>
        <w:div w:id="1431704310">
          <w:marLeft w:val="0"/>
          <w:marRight w:val="0"/>
          <w:marTop w:val="0"/>
          <w:marBottom w:val="0"/>
          <w:divBdr>
            <w:top w:val="none" w:sz="0" w:space="0" w:color="auto"/>
            <w:left w:val="none" w:sz="0" w:space="0" w:color="auto"/>
            <w:bottom w:val="none" w:sz="0" w:space="0" w:color="auto"/>
            <w:right w:val="none" w:sz="0" w:space="0" w:color="auto"/>
          </w:divBdr>
        </w:div>
        <w:div w:id="2001108634">
          <w:marLeft w:val="0"/>
          <w:marRight w:val="0"/>
          <w:marTop w:val="0"/>
          <w:marBottom w:val="0"/>
          <w:divBdr>
            <w:top w:val="none" w:sz="0" w:space="0" w:color="auto"/>
            <w:left w:val="none" w:sz="0" w:space="0" w:color="auto"/>
            <w:bottom w:val="none" w:sz="0" w:space="0" w:color="auto"/>
            <w:right w:val="none" w:sz="0" w:space="0" w:color="auto"/>
          </w:divBdr>
        </w:div>
        <w:div w:id="16466993">
          <w:marLeft w:val="0"/>
          <w:marRight w:val="0"/>
          <w:marTop w:val="0"/>
          <w:marBottom w:val="0"/>
          <w:divBdr>
            <w:top w:val="none" w:sz="0" w:space="0" w:color="auto"/>
            <w:left w:val="none" w:sz="0" w:space="0" w:color="auto"/>
            <w:bottom w:val="none" w:sz="0" w:space="0" w:color="auto"/>
            <w:right w:val="none" w:sz="0" w:space="0" w:color="auto"/>
          </w:divBdr>
        </w:div>
        <w:div w:id="472673120">
          <w:marLeft w:val="0"/>
          <w:marRight w:val="0"/>
          <w:marTop w:val="0"/>
          <w:marBottom w:val="0"/>
          <w:divBdr>
            <w:top w:val="none" w:sz="0" w:space="0" w:color="auto"/>
            <w:left w:val="none" w:sz="0" w:space="0" w:color="auto"/>
            <w:bottom w:val="none" w:sz="0" w:space="0" w:color="auto"/>
            <w:right w:val="none" w:sz="0" w:space="0" w:color="auto"/>
          </w:divBdr>
        </w:div>
        <w:div w:id="1622492892">
          <w:marLeft w:val="0"/>
          <w:marRight w:val="0"/>
          <w:marTop w:val="0"/>
          <w:marBottom w:val="0"/>
          <w:divBdr>
            <w:top w:val="none" w:sz="0" w:space="0" w:color="auto"/>
            <w:left w:val="none" w:sz="0" w:space="0" w:color="auto"/>
            <w:bottom w:val="none" w:sz="0" w:space="0" w:color="auto"/>
            <w:right w:val="none" w:sz="0" w:space="0" w:color="auto"/>
          </w:divBdr>
        </w:div>
        <w:div w:id="92016603">
          <w:marLeft w:val="0"/>
          <w:marRight w:val="0"/>
          <w:marTop w:val="0"/>
          <w:marBottom w:val="0"/>
          <w:divBdr>
            <w:top w:val="none" w:sz="0" w:space="0" w:color="auto"/>
            <w:left w:val="none" w:sz="0" w:space="0" w:color="auto"/>
            <w:bottom w:val="none" w:sz="0" w:space="0" w:color="auto"/>
            <w:right w:val="none" w:sz="0" w:space="0" w:color="auto"/>
          </w:divBdr>
        </w:div>
        <w:div w:id="1474836887">
          <w:marLeft w:val="0"/>
          <w:marRight w:val="0"/>
          <w:marTop w:val="0"/>
          <w:marBottom w:val="0"/>
          <w:divBdr>
            <w:top w:val="none" w:sz="0" w:space="0" w:color="auto"/>
            <w:left w:val="none" w:sz="0" w:space="0" w:color="auto"/>
            <w:bottom w:val="none" w:sz="0" w:space="0" w:color="auto"/>
            <w:right w:val="none" w:sz="0" w:space="0" w:color="auto"/>
          </w:divBdr>
        </w:div>
        <w:div w:id="1607612278">
          <w:marLeft w:val="0"/>
          <w:marRight w:val="0"/>
          <w:marTop w:val="0"/>
          <w:marBottom w:val="0"/>
          <w:divBdr>
            <w:top w:val="none" w:sz="0" w:space="0" w:color="auto"/>
            <w:left w:val="none" w:sz="0" w:space="0" w:color="auto"/>
            <w:bottom w:val="none" w:sz="0" w:space="0" w:color="auto"/>
            <w:right w:val="none" w:sz="0" w:space="0" w:color="auto"/>
          </w:divBdr>
        </w:div>
        <w:div w:id="835265587">
          <w:marLeft w:val="0"/>
          <w:marRight w:val="0"/>
          <w:marTop w:val="0"/>
          <w:marBottom w:val="0"/>
          <w:divBdr>
            <w:top w:val="none" w:sz="0" w:space="0" w:color="auto"/>
            <w:left w:val="none" w:sz="0" w:space="0" w:color="auto"/>
            <w:bottom w:val="none" w:sz="0" w:space="0" w:color="auto"/>
            <w:right w:val="none" w:sz="0" w:space="0" w:color="auto"/>
          </w:divBdr>
        </w:div>
        <w:div w:id="1307199092">
          <w:marLeft w:val="0"/>
          <w:marRight w:val="0"/>
          <w:marTop w:val="0"/>
          <w:marBottom w:val="0"/>
          <w:divBdr>
            <w:top w:val="none" w:sz="0" w:space="0" w:color="auto"/>
            <w:left w:val="none" w:sz="0" w:space="0" w:color="auto"/>
            <w:bottom w:val="none" w:sz="0" w:space="0" w:color="auto"/>
            <w:right w:val="none" w:sz="0" w:space="0" w:color="auto"/>
          </w:divBdr>
        </w:div>
        <w:div w:id="1913271662">
          <w:marLeft w:val="0"/>
          <w:marRight w:val="0"/>
          <w:marTop w:val="0"/>
          <w:marBottom w:val="0"/>
          <w:divBdr>
            <w:top w:val="none" w:sz="0" w:space="0" w:color="auto"/>
            <w:left w:val="none" w:sz="0" w:space="0" w:color="auto"/>
            <w:bottom w:val="none" w:sz="0" w:space="0" w:color="auto"/>
            <w:right w:val="none" w:sz="0" w:space="0" w:color="auto"/>
          </w:divBdr>
        </w:div>
        <w:div w:id="1396051646">
          <w:marLeft w:val="0"/>
          <w:marRight w:val="0"/>
          <w:marTop w:val="0"/>
          <w:marBottom w:val="0"/>
          <w:divBdr>
            <w:top w:val="none" w:sz="0" w:space="0" w:color="auto"/>
            <w:left w:val="none" w:sz="0" w:space="0" w:color="auto"/>
            <w:bottom w:val="none" w:sz="0" w:space="0" w:color="auto"/>
            <w:right w:val="none" w:sz="0" w:space="0" w:color="auto"/>
          </w:divBdr>
        </w:div>
        <w:div w:id="206064135">
          <w:marLeft w:val="0"/>
          <w:marRight w:val="0"/>
          <w:marTop w:val="0"/>
          <w:marBottom w:val="0"/>
          <w:divBdr>
            <w:top w:val="none" w:sz="0" w:space="0" w:color="auto"/>
            <w:left w:val="none" w:sz="0" w:space="0" w:color="auto"/>
            <w:bottom w:val="none" w:sz="0" w:space="0" w:color="auto"/>
            <w:right w:val="none" w:sz="0" w:space="0" w:color="auto"/>
          </w:divBdr>
        </w:div>
        <w:div w:id="85197825">
          <w:marLeft w:val="0"/>
          <w:marRight w:val="0"/>
          <w:marTop w:val="0"/>
          <w:marBottom w:val="0"/>
          <w:divBdr>
            <w:top w:val="none" w:sz="0" w:space="0" w:color="auto"/>
            <w:left w:val="none" w:sz="0" w:space="0" w:color="auto"/>
            <w:bottom w:val="none" w:sz="0" w:space="0" w:color="auto"/>
            <w:right w:val="none" w:sz="0" w:space="0" w:color="auto"/>
          </w:divBdr>
        </w:div>
        <w:div w:id="897864131">
          <w:marLeft w:val="0"/>
          <w:marRight w:val="0"/>
          <w:marTop w:val="0"/>
          <w:marBottom w:val="0"/>
          <w:divBdr>
            <w:top w:val="none" w:sz="0" w:space="0" w:color="auto"/>
            <w:left w:val="none" w:sz="0" w:space="0" w:color="auto"/>
            <w:bottom w:val="none" w:sz="0" w:space="0" w:color="auto"/>
            <w:right w:val="none" w:sz="0" w:space="0" w:color="auto"/>
          </w:divBdr>
        </w:div>
        <w:div w:id="88166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29-IV-95%3Ade&amp;number_of_ranks=0" TargetMode="External"/><Relationship Id="rId13"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4-IV-297%3Ade&amp;number_of_ranks=0" TargetMode="External"/><Relationship Id="rId3" Type="http://schemas.openxmlformats.org/officeDocument/2006/relationships/webSettings" Target="webSettings.xml"/><Relationship Id="rId7"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8-IV-258%3Ade&amp;number_of_ranks=0" TargetMode="External"/><Relationship Id="rId12"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3-IV-9%3Ade&amp;number_of_rank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8-IV-186%3Ade&amp;number_of_ranks=0" TargetMode="External"/><Relationship Id="rId11"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4-IV-26%3Ade&amp;number_of_ranks=0" TargetMode="External"/><Relationship Id="rId5"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7-IV-219%3Ade&amp;number_of_ranks=0" TargetMode="External"/><Relationship Id="rId15" Type="http://schemas.openxmlformats.org/officeDocument/2006/relationships/theme" Target="theme/theme1.xml"/><Relationship Id="rId10"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8-IV-86%3Ade&amp;number_of_ranks=0" TargetMode="External"/><Relationship Id="rId4"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7-IV-246%3Ade&amp;number_of_ranks=0" TargetMode="External"/><Relationship Id="rId9"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8-IV-86%3Ade&amp;number_of_rank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6399</Words>
  <Characters>36479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c:creator>
  <cp:keywords/>
  <dc:description/>
  <cp:lastModifiedBy>Elodie</cp:lastModifiedBy>
  <cp:revision>1</cp:revision>
  <dcterms:created xsi:type="dcterms:W3CDTF">2014-08-04T08:38:00Z</dcterms:created>
  <dcterms:modified xsi:type="dcterms:W3CDTF">2014-08-04T09:17:00Z</dcterms:modified>
</cp:coreProperties>
</file>