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6F" w:rsidRDefault="000F114C">
      <w:pPr>
        <w:shd w:val="clear" w:color="auto" w:fill="FFFFFF"/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  <w:u w:val="single"/>
        </w:rPr>
        <w:t>DECLARACION PUBLICA</w:t>
      </w:r>
    </w:p>
    <w:p w:rsidR="0057266F" w:rsidRDefault="0057266F">
      <w:pPr>
        <w:shd w:val="clear" w:color="auto" w:fill="FFFFFF"/>
        <w:jc w:val="center"/>
        <w:rPr>
          <w:rFonts w:ascii="Arial" w:eastAsia="Arial" w:hAnsi="Arial" w:cs="Arial"/>
        </w:rPr>
      </w:pPr>
    </w:p>
    <w:p w:rsidR="0057266F" w:rsidRDefault="000F114C">
      <w:pPr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 A LA CRIMINALIZACIÓN Y VIOLENCIA CONTRA DEFENSORES AMBIENTALES EN PERÚ</w:t>
      </w:r>
    </w:p>
    <w:p w:rsidR="0057266F" w:rsidRDefault="0057266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57266F" w:rsidRDefault="000F114C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 graves sucesos que están aconteciendo en torno al conflicto minero en la zona de Valle del Tambo en la provincia de Islay, Arequipa, al sur del Perú, </w:t>
      </w:r>
      <w:r>
        <w:rPr>
          <w:rFonts w:ascii="Arial" w:hAnsi="Arial"/>
          <w:sz w:val="22"/>
          <w:szCs w:val="22"/>
        </w:rPr>
        <w:t>confirman que defender el agua, la tierra, la agricultura y el derecho de consulta del avance de las operaciones mineras puede ser muy riesgoso para defensoras y defensores ambientales. La empresa Southern, del grupo México, apoyada por el gobierno peruano</w:t>
      </w:r>
      <w:r>
        <w:rPr>
          <w:rFonts w:ascii="Arial" w:hAnsi="Arial"/>
          <w:sz w:val="22"/>
          <w:szCs w:val="22"/>
        </w:rPr>
        <w:t xml:space="preserve"> y los grandes medios de comunicación hacen que la seguridad de la resistencia ciudadana pueda ser peligrosa. El día jueves pasado la policía asesinó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 campesino Valeriano Huayna Nina cuando participaba en las protestas contra el proyecto Tía María.</w:t>
      </w:r>
    </w:p>
    <w:p w:rsidR="0057266F" w:rsidRDefault="0057266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57266F" w:rsidRDefault="000F114C">
      <w:pPr>
        <w:shd w:val="clear" w:color="auto" w:fill="FFFFFF"/>
      </w:pPr>
      <w:r>
        <w:rPr>
          <w:rFonts w:ascii="Arial" w:hAnsi="Arial"/>
          <w:sz w:val="22"/>
          <w:szCs w:val="22"/>
        </w:rPr>
        <w:t xml:space="preserve">Los </w:t>
      </w:r>
      <w:r>
        <w:rPr>
          <w:rFonts w:ascii="Arial" w:hAnsi="Arial"/>
          <w:sz w:val="22"/>
          <w:szCs w:val="22"/>
        </w:rPr>
        <w:t>métodos utilizados en países como el Perú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 imponer proyectos mineros ha ido mas allá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 todo lo razonable.</w:t>
      </w:r>
    </w:p>
    <w:p w:rsidR="0057266F" w:rsidRDefault="000F114C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desesperación por el rechazo comunitario que ha llevado a actores políticos a acusar de </w:t>
      </w:r>
      <w:r>
        <w:rPr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terrorismo antiminero</w:t>
      </w:r>
      <w:r>
        <w:rPr>
          <w:sz w:val="22"/>
          <w:szCs w:val="22"/>
        </w:rPr>
        <w:t xml:space="preserve">” </w:t>
      </w:r>
      <w:r>
        <w:rPr>
          <w:rFonts w:ascii="Arial" w:hAnsi="Arial"/>
          <w:sz w:val="22"/>
          <w:szCs w:val="22"/>
        </w:rPr>
        <w:t>la legítima defensa de derecho</w:t>
      </w:r>
      <w:r>
        <w:rPr>
          <w:rFonts w:ascii="Arial" w:hAnsi="Arial"/>
          <w:sz w:val="22"/>
          <w:szCs w:val="22"/>
        </w:rPr>
        <w:t>s por parte de campesinos es calumniosa, peligrosa e inaceptable.</w:t>
      </w:r>
    </w:p>
    <w:p w:rsidR="0057266F" w:rsidRDefault="0057266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57266F" w:rsidRDefault="000F114C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Se entiende como un llamado a destruir por medios no democráticos la expresión genuina que contrapone modelos de desarrollo locales a un extractivismo depredador, excluyente y benefactor de</w:t>
      </w:r>
      <w:r>
        <w:rPr>
          <w:rFonts w:ascii="Arial" w:hAnsi="Arial"/>
          <w:sz w:val="22"/>
          <w:szCs w:val="22"/>
        </w:rPr>
        <w:t xml:space="preserve"> empresas transnacionales con costos socioambientales probadamente irreversibles.</w:t>
      </w:r>
    </w:p>
    <w:p w:rsidR="0057266F" w:rsidRDefault="0057266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57266F" w:rsidRDefault="000F114C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Desde el Observatorio de Conflictos Mineros de América Latina, OCMAL, rechazamos la persecución y criminalización de las comunidades campesinas que defienden su derecho a pr</w:t>
      </w:r>
      <w:r>
        <w:rPr>
          <w:rFonts w:ascii="Arial" w:hAnsi="Arial"/>
          <w:sz w:val="22"/>
          <w:szCs w:val="22"/>
        </w:rPr>
        <w:t>oteger el medio ambiente y su fuente de sustento basado en la agricultura.</w:t>
      </w:r>
    </w:p>
    <w:p w:rsidR="0057266F" w:rsidRDefault="0057266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57266F" w:rsidRDefault="000F114C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Consideramos extremadamente peligroso el se</w:t>
      </w:r>
      <w:r>
        <w:rPr>
          <w:sz w:val="22"/>
          <w:szCs w:val="22"/>
        </w:rPr>
        <w:t>ñ</w:t>
      </w:r>
      <w:r>
        <w:rPr>
          <w:rFonts w:ascii="Arial" w:hAnsi="Arial"/>
          <w:sz w:val="22"/>
          <w:szCs w:val="22"/>
        </w:rPr>
        <w:t>alamiento de líderes ambientales y miembros de nuestra red, como lo es Marco Arana, premiado nacional e internacionalmente por organismo</w:t>
      </w:r>
      <w:r>
        <w:rPr>
          <w:rFonts w:ascii="Arial" w:hAnsi="Arial"/>
          <w:sz w:val="22"/>
          <w:szCs w:val="22"/>
        </w:rPr>
        <w:t>s de Derechos Humanos por la defensa del ambiente y las comunidades más afectadas por la depredación ambiental en el Perú.</w:t>
      </w:r>
    </w:p>
    <w:p w:rsidR="0057266F" w:rsidRDefault="0057266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57266F" w:rsidRDefault="000F114C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Rechazamos los esfuerzos por tergiversar las luchas por la defensa de los Derechos Humanos y los intentos por deslegitimar el import</w:t>
      </w:r>
      <w:r>
        <w:rPr>
          <w:rFonts w:ascii="Arial" w:hAnsi="Arial"/>
          <w:sz w:val="22"/>
          <w:szCs w:val="22"/>
        </w:rPr>
        <w:t>ante trabajo que realizan muchas instituciones de la sociedad civil de Perú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 GRUFIDES, LA RED MUQUI, COOPERACCION Y LA COORDINADORA NACIONAL DE DERECHOS HUMANOS, en aras de la armonía y convivencia de los seres humanos con la naturaleza.</w:t>
      </w:r>
    </w:p>
    <w:p w:rsidR="0057266F" w:rsidRDefault="0057266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57266F" w:rsidRDefault="000F114C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Exigimos la i</w:t>
      </w:r>
      <w:r>
        <w:rPr>
          <w:rFonts w:ascii="Arial" w:hAnsi="Arial"/>
          <w:sz w:val="22"/>
          <w:szCs w:val="22"/>
        </w:rPr>
        <w:t>nvestigación y sanción para los policías que asesinaron al agricultor Valeriano Huayna Nina el jueves pasado, sumándose así</w:t>
      </w:r>
      <w:r>
        <w:rPr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las 41 muertes de defensores ambientales que se han producido durante el gobierno de Ollanta Humala. Todas ellas están quedando ha</w:t>
      </w:r>
      <w:r>
        <w:rPr>
          <w:rFonts w:ascii="Arial" w:hAnsi="Arial"/>
          <w:sz w:val="22"/>
          <w:szCs w:val="22"/>
        </w:rPr>
        <w:t>sta el momento en la m</w:t>
      </w:r>
      <w:r>
        <w:rPr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 absoluta impunidad.</w:t>
      </w:r>
    </w:p>
    <w:p w:rsidR="0057266F" w:rsidRDefault="0057266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57266F" w:rsidRDefault="000F114C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Exigimos la rectificación y justa valoración de los esfuerzos de las comunidades campesinas de Valle del Tambo, de sus representantes, as</w:t>
      </w:r>
      <w:r>
        <w:rPr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como de defensoras y defensores de derechos humanos como Marco Arana.</w:t>
      </w:r>
    </w:p>
    <w:p w:rsidR="0057266F" w:rsidRDefault="0057266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57266F" w:rsidRDefault="000F114C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Exigimos la investigación y pública difusión de los intereses existentes tras las acusaciones infundadas y temerarias que pretenden falazmente desacreditar la defensa de la madre tierra, asumida valientemente por comunidades y figuras públicas en el herman</w:t>
      </w:r>
      <w:r>
        <w:rPr>
          <w:rFonts w:ascii="Arial" w:hAnsi="Arial"/>
          <w:sz w:val="22"/>
          <w:szCs w:val="22"/>
        </w:rPr>
        <w:t>o país del Perú.</w:t>
      </w:r>
    </w:p>
    <w:p w:rsidR="0057266F" w:rsidRDefault="0057266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57266F" w:rsidRDefault="000F114C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Responsabilizamos al gobierno central por la protección de quienes hoy, cobardemente, son tratados como terroristas y delincuentes por el solo hecho de defender los derechos sociales y ambientales de una comunidad amenazada por el extract</w:t>
      </w:r>
      <w:r>
        <w:rPr>
          <w:rFonts w:ascii="Arial" w:hAnsi="Arial"/>
          <w:sz w:val="22"/>
          <w:szCs w:val="22"/>
        </w:rPr>
        <w:t>ivismo minero.</w:t>
      </w:r>
    </w:p>
    <w:p w:rsidR="0057266F" w:rsidRDefault="0057266F">
      <w:pPr>
        <w:shd w:val="clear" w:color="auto" w:fill="FFFFFF"/>
        <w:rPr>
          <w:rFonts w:ascii="Arial" w:hAnsi="Arial"/>
          <w:sz w:val="22"/>
          <w:szCs w:val="22"/>
        </w:rPr>
      </w:pPr>
    </w:p>
    <w:p w:rsidR="0057266F" w:rsidRDefault="000F114C">
      <w:pPr>
        <w:shd w:val="clear" w:color="auto" w:fill="FFFFFF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Observatorio de Conflictos Mineros de América Latina, OCMAL</w:t>
      </w:r>
    </w:p>
    <w:sectPr w:rsidR="0057266F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114C">
      <w:r>
        <w:separator/>
      </w:r>
    </w:p>
  </w:endnote>
  <w:endnote w:type="continuationSeparator" w:id="0">
    <w:p w:rsidR="00000000" w:rsidRDefault="000F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6F" w:rsidRDefault="0057266F">
    <w:pPr>
      <w:pStyle w:val="Cabeceraypie"/>
      <w:shd w:val="clear" w:color="auto" w:fill="FFFFF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114C">
      <w:r>
        <w:separator/>
      </w:r>
    </w:p>
  </w:footnote>
  <w:footnote w:type="continuationSeparator" w:id="0">
    <w:p w:rsidR="00000000" w:rsidRDefault="000F1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6F" w:rsidRDefault="0057266F">
    <w:pPr>
      <w:pStyle w:val="Cabeceraypie"/>
      <w:shd w:val="clear" w:color="auto" w:fill="FF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266F"/>
    <w:rsid w:val="000F114C"/>
    <w:rsid w:val="005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es-EC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  <w:suppressAutoHyphens/>
    </w:pPr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 w:color="00000A"/>
    </w:rPr>
  </w:style>
  <w:style w:type="paragraph" w:styleId="Encabezado">
    <w:name w:val="header"/>
    <w:basedOn w:val="Normal"/>
    <w:next w:val="Cuerpodetexto"/>
    <w:qFormat/>
    <w:pPr>
      <w:shd w:val="clear" w:color="auto" w:fill="FFFFFF"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hd w:val="clear" w:color="auto" w:fill="FFFFFF"/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hd w:val="clear" w:color="auto" w:fill="FFFFFF"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  <w:shd w:val="clear" w:color="auto" w:fill="FFFFFF"/>
    </w:pPr>
    <w:rPr>
      <w:rFonts w:cs="Lohit Hindi"/>
    </w:rPr>
  </w:style>
  <w:style w:type="paragraph" w:customStyle="1" w:styleId="Cabeceraypie">
    <w:name w:val="Cabecera y pie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Encabezamiento">
    <w:name w:val="Encabezamiento"/>
    <w:basedOn w:val="Normal"/>
    <w:pPr>
      <w:shd w:val="clear" w:color="auto" w:fill="FFFFFF"/>
    </w:pPr>
  </w:style>
  <w:style w:type="paragraph" w:styleId="Piedepgina">
    <w:name w:val="footer"/>
    <w:basedOn w:val="Normal"/>
    <w:pPr>
      <w:shd w:val="clear" w:color="auto" w:fill="FFFFFF"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es-EC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  <w:suppressAutoHyphens/>
    </w:pPr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 w:color="00000A"/>
    </w:rPr>
  </w:style>
  <w:style w:type="paragraph" w:styleId="Encabezado">
    <w:name w:val="header"/>
    <w:basedOn w:val="Normal"/>
    <w:next w:val="Cuerpodetexto"/>
    <w:qFormat/>
    <w:pPr>
      <w:shd w:val="clear" w:color="auto" w:fill="FFFFFF"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hd w:val="clear" w:color="auto" w:fill="FFFFFF"/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hd w:val="clear" w:color="auto" w:fill="FFFFFF"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  <w:shd w:val="clear" w:color="auto" w:fill="FFFFFF"/>
    </w:pPr>
    <w:rPr>
      <w:rFonts w:cs="Lohit Hindi"/>
    </w:rPr>
  </w:style>
  <w:style w:type="paragraph" w:customStyle="1" w:styleId="Cabeceraypie">
    <w:name w:val="Cabecera y pie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Encabezamiento">
    <w:name w:val="Encabezamiento"/>
    <w:basedOn w:val="Normal"/>
    <w:pPr>
      <w:shd w:val="clear" w:color="auto" w:fill="FFFFFF"/>
    </w:pPr>
  </w:style>
  <w:style w:type="paragraph" w:styleId="Piedepgina">
    <w:name w:val="footer"/>
    <w:basedOn w:val="Normal"/>
    <w:pPr>
      <w:shd w:val="clear" w:color="auto" w:fill="FFFFFF"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2876</Characters>
  <Application>Microsoft Macintosh Word</Application>
  <DocSecurity>0</DocSecurity>
  <Lines>23</Lines>
  <Paragraphs>6</Paragraphs>
  <ScaleCrop>false</ScaleCrop>
  <Company>A.R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Romero</cp:lastModifiedBy>
  <cp:revision>2</cp:revision>
  <dcterms:created xsi:type="dcterms:W3CDTF">2015-04-28T15:02:00Z</dcterms:created>
  <dcterms:modified xsi:type="dcterms:W3CDTF">2015-04-28T15:02:00Z</dcterms:modified>
  <dc:language>es-EC</dc:language>
</cp:coreProperties>
</file>