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C9C" w:rsidRDefault="00A64C9C" w:rsidP="00A64C9C">
      <w:pPr>
        <w:pStyle w:val="NormalWeb"/>
        <w:spacing w:before="0" w:beforeAutospacing="0" w:after="0" w:afterAutospacing="0"/>
        <w:ind w:firstLine="708"/>
        <w:rPr>
          <w:rFonts w:ascii="Arial Narrow" w:hAnsi="Arial Narrow"/>
          <w:sz w:val="22"/>
          <w:szCs w:val="22"/>
        </w:rPr>
      </w:pPr>
      <w:r>
        <w:rPr>
          <w:noProof/>
          <w:lang w:eastAsia="zh-CN"/>
        </w:rPr>
        <w:drawing>
          <wp:inline distT="0" distB="0" distL="0" distR="0" wp14:anchorId="500AEA84" wp14:editId="4DD3B660">
            <wp:extent cx="2133600" cy="838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838200"/>
                    </a:xfrm>
                    <a:prstGeom prst="rect">
                      <a:avLst/>
                    </a:prstGeom>
                    <a:noFill/>
                    <a:ln>
                      <a:noFill/>
                    </a:ln>
                  </pic:spPr>
                </pic:pic>
              </a:graphicData>
            </a:graphic>
          </wp:inline>
        </w:drawing>
      </w:r>
      <w:r>
        <w:rPr>
          <w:rFonts w:ascii="Arial Narrow" w:hAnsi="Arial Narrow"/>
          <w:sz w:val="22"/>
          <w:szCs w:val="22"/>
        </w:rPr>
        <w:t xml:space="preserve">                                                                        </w:t>
      </w:r>
      <w:r w:rsidR="00AA20A6">
        <w:rPr>
          <w:rFonts w:ascii="Arial Narrow" w:hAnsi="Arial Narrow"/>
          <w:sz w:val="22"/>
          <w:szCs w:val="22"/>
        </w:rPr>
        <w:t>mars</w:t>
      </w:r>
      <w:r>
        <w:rPr>
          <w:rFonts w:ascii="Arial Narrow" w:hAnsi="Arial Narrow"/>
          <w:sz w:val="22"/>
          <w:szCs w:val="22"/>
        </w:rPr>
        <w:t xml:space="preserve"> 2017</w:t>
      </w:r>
    </w:p>
    <w:p w:rsidR="00A64C9C" w:rsidRDefault="00A64C9C" w:rsidP="00A64C9C">
      <w:pPr>
        <w:pStyle w:val="NormalWeb"/>
        <w:spacing w:before="0" w:beforeAutospacing="0" w:after="0" w:afterAutospacing="0"/>
        <w:ind w:firstLine="708"/>
        <w:rPr>
          <w:rFonts w:ascii="Arial Narrow" w:hAnsi="Arial Narrow"/>
          <w:sz w:val="22"/>
          <w:szCs w:val="22"/>
        </w:rPr>
      </w:pPr>
    </w:p>
    <w:p w:rsidR="00A64C9C" w:rsidRPr="005F656A" w:rsidRDefault="00A64C9C" w:rsidP="00A64C9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Style w:val="Strong"/>
          <w:rFonts w:ascii="Arial Narrow" w:hAnsi="Arial Narrow"/>
        </w:rPr>
      </w:pPr>
      <w:r>
        <w:rPr>
          <w:rStyle w:val="Strong"/>
          <w:rFonts w:ascii="Arial Narrow" w:hAnsi="Arial Narrow"/>
        </w:rPr>
        <w:t xml:space="preserve">L’instrumentalisation politique du </w:t>
      </w:r>
      <w:r w:rsidRPr="005F656A">
        <w:rPr>
          <w:rStyle w:val="Strong"/>
          <w:rFonts w:ascii="Arial Narrow" w:hAnsi="Arial Narrow"/>
        </w:rPr>
        <w:t xml:space="preserve">Conseil </w:t>
      </w:r>
      <w:r>
        <w:rPr>
          <w:rStyle w:val="Strong"/>
          <w:rFonts w:ascii="Arial Narrow" w:hAnsi="Arial Narrow"/>
        </w:rPr>
        <w:t>c</w:t>
      </w:r>
      <w:r w:rsidRPr="005F656A">
        <w:rPr>
          <w:rStyle w:val="Strong"/>
          <w:rFonts w:ascii="Arial Narrow" w:hAnsi="Arial Narrow"/>
        </w:rPr>
        <w:t>onstitutionnel</w:t>
      </w:r>
      <w:r>
        <w:rPr>
          <w:rStyle w:val="Strong"/>
          <w:rFonts w:ascii="Arial Narrow" w:hAnsi="Arial Narrow"/>
        </w:rPr>
        <w:t> : le cas de l</w:t>
      </w:r>
      <w:r w:rsidRPr="005F656A">
        <w:rPr>
          <w:rStyle w:val="Strong"/>
          <w:rFonts w:ascii="Arial Narrow" w:hAnsi="Arial Narrow"/>
        </w:rPr>
        <w:t xml:space="preserve">a </w:t>
      </w:r>
      <w:r>
        <w:rPr>
          <w:rStyle w:val="Strong"/>
          <w:rFonts w:ascii="Arial Narrow" w:hAnsi="Arial Narrow"/>
        </w:rPr>
        <w:t xml:space="preserve">proposition de </w:t>
      </w:r>
      <w:r w:rsidRPr="005F656A">
        <w:rPr>
          <w:rStyle w:val="Strong"/>
          <w:rFonts w:ascii="Arial Narrow" w:hAnsi="Arial Narrow"/>
        </w:rPr>
        <w:t xml:space="preserve">loi </w:t>
      </w:r>
      <w:r>
        <w:rPr>
          <w:rStyle w:val="Strong"/>
          <w:rFonts w:ascii="Arial Narrow" w:hAnsi="Arial Narrow"/>
        </w:rPr>
        <w:t>« </w:t>
      </w:r>
      <w:r w:rsidRPr="005F656A">
        <w:rPr>
          <w:rStyle w:val="Strong"/>
          <w:rFonts w:ascii="Arial Narrow" w:hAnsi="Arial Narrow"/>
        </w:rPr>
        <w:t>devoir de vigilance</w:t>
      </w:r>
      <w:r>
        <w:rPr>
          <w:rStyle w:val="Strong"/>
          <w:rFonts w:ascii="Arial Narrow" w:hAnsi="Arial Narrow"/>
        </w:rPr>
        <w:t> » des sociétés mères</w:t>
      </w:r>
      <w:r w:rsidRPr="005F656A">
        <w:rPr>
          <w:rStyle w:val="Strong"/>
          <w:rFonts w:ascii="Arial Narrow" w:hAnsi="Arial Narrow"/>
        </w:rPr>
        <w:t> </w:t>
      </w:r>
    </w:p>
    <w:p w:rsidR="00A64C9C" w:rsidRDefault="00A64C9C" w:rsidP="00342B10">
      <w:pPr>
        <w:pStyle w:val="NormalWeb"/>
        <w:spacing w:before="0" w:beforeAutospacing="0" w:after="0" w:afterAutospacing="0"/>
        <w:ind w:firstLine="708"/>
        <w:jc w:val="both"/>
        <w:rPr>
          <w:rFonts w:ascii="Arial Narrow" w:hAnsi="Arial Narrow"/>
          <w:sz w:val="22"/>
          <w:szCs w:val="22"/>
        </w:rPr>
      </w:pPr>
    </w:p>
    <w:p w:rsidR="00B03F5A" w:rsidRDefault="00182057" w:rsidP="00B03F5A">
      <w:pPr>
        <w:pStyle w:val="NormalWeb"/>
        <w:spacing w:before="0" w:beforeAutospacing="0" w:after="0" w:afterAutospacing="0"/>
        <w:ind w:firstLine="708"/>
        <w:jc w:val="both"/>
        <w:rPr>
          <w:rFonts w:ascii="Arial Narrow" w:hAnsi="Arial Narrow"/>
          <w:sz w:val="20"/>
          <w:szCs w:val="20"/>
        </w:rPr>
      </w:pPr>
      <w:r w:rsidRPr="002565B4">
        <w:rPr>
          <w:rFonts w:ascii="Arial Narrow" w:hAnsi="Arial Narrow"/>
          <w:sz w:val="20"/>
          <w:szCs w:val="20"/>
        </w:rPr>
        <w:t>A</w:t>
      </w:r>
      <w:r w:rsidR="00AA20A6">
        <w:rPr>
          <w:rFonts w:ascii="Arial Narrow" w:hAnsi="Arial Narrow"/>
          <w:sz w:val="20"/>
          <w:szCs w:val="20"/>
        </w:rPr>
        <w:t xml:space="preserve">près une épopée législative, la </w:t>
      </w:r>
      <w:r w:rsidRPr="002565B4">
        <w:rPr>
          <w:rFonts w:ascii="Arial Narrow" w:hAnsi="Arial Narrow"/>
          <w:sz w:val="20"/>
          <w:szCs w:val="20"/>
        </w:rPr>
        <w:t>loi sur le devoir de vigilance des multinationales</w:t>
      </w:r>
      <w:r w:rsidR="00AA20A6" w:rsidRPr="00AA20A6">
        <w:rPr>
          <w:rStyle w:val="FootnoteReference"/>
          <w:rFonts w:ascii="Arial Narrow" w:hAnsi="Arial Narrow"/>
          <w:sz w:val="20"/>
          <w:szCs w:val="20"/>
        </w:rPr>
        <w:footnoteReference w:id="1"/>
      </w:r>
      <w:r w:rsidRPr="002565B4">
        <w:rPr>
          <w:rFonts w:ascii="Arial Narrow" w:hAnsi="Arial Narrow"/>
          <w:sz w:val="20"/>
          <w:szCs w:val="20"/>
        </w:rPr>
        <w:t xml:space="preserve"> risque </w:t>
      </w:r>
      <w:r w:rsidR="007F1E65" w:rsidRPr="002565B4">
        <w:rPr>
          <w:rFonts w:ascii="Arial Narrow" w:hAnsi="Arial Narrow"/>
          <w:sz w:val="20"/>
          <w:szCs w:val="20"/>
        </w:rPr>
        <w:t>aujourd’hui un</w:t>
      </w:r>
      <w:r w:rsidRPr="002565B4">
        <w:rPr>
          <w:rFonts w:ascii="Arial Narrow" w:hAnsi="Arial Narrow"/>
          <w:sz w:val="20"/>
          <w:szCs w:val="20"/>
        </w:rPr>
        <w:t xml:space="preserve"> dernier </w:t>
      </w:r>
      <w:r w:rsidR="002C75B9" w:rsidRPr="002565B4">
        <w:rPr>
          <w:rFonts w:ascii="Arial Narrow" w:hAnsi="Arial Narrow"/>
          <w:sz w:val="20"/>
          <w:szCs w:val="20"/>
        </w:rPr>
        <w:t>revers : la censure du Conseil c</w:t>
      </w:r>
      <w:r w:rsidRPr="002565B4">
        <w:rPr>
          <w:rFonts w:ascii="Arial Narrow" w:hAnsi="Arial Narrow"/>
          <w:sz w:val="20"/>
          <w:szCs w:val="20"/>
        </w:rPr>
        <w:t xml:space="preserve">onstitutionnel. </w:t>
      </w:r>
    </w:p>
    <w:p w:rsidR="00FC0917" w:rsidRDefault="00F34166" w:rsidP="00B03F5A">
      <w:pPr>
        <w:pStyle w:val="NormalWeb"/>
        <w:spacing w:before="0" w:beforeAutospacing="0" w:after="0" w:afterAutospacing="0"/>
        <w:ind w:firstLine="708"/>
        <w:jc w:val="both"/>
        <w:rPr>
          <w:rFonts w:ascii="Arial Narrow" w:hAnsi="Arial Narrow"/>
          <w:sz w:val="20"/>
          <w:szCs w:val="20"/>
        </w:rPr>
      </w:pPr>
      <w:r>
        <w:rPr>
          <w:rFonts w:ascii="Arial Narrow" w:hAnsi="Arial Narrow"/>
          <w:sz w:val="20"/>
          <w:szCs w:val="20"/>
        </w:rPr>
        <w:t>Sa jurisprudence récente tend en effet à imposer au</w:t>
      </w:r>
      <w:r w:rsidR="000C2188">
        <w:rPr>
          <w:rFonts w:ascii="Arial Narrow" w:hAnsi="Arial Narrow"/>
          <w:sz w:val="20"/>
          <w:szCs w:val="20"/>
        </w:rPr>
        <w:t xml:space="preserve"> législateur et donc à la Nation, </w:t>
      </w:r>
      <w:r w:rsidR="007C6C59" w:rsidRPr="002565B4">
        <w:rPr>
          <w:rFonts w:ascii="Arial Narrow" w:hAnsi="Arial Narrow"/>
          <w:sz w:val="20"/>
          <w:szCs w:val="20"/>
        </w:rPr>
        <w:t>une conception</w:t>
      </w:r>
      <w:r w:rsidR="00745B61" w:rsidRPr="002565B4">
        <w:rPr>
          <w:rFonts w:ascii="Arial Narrow" w:hAnsi="Arial Narrow"/>
          <w:sz w:val="20"/>
          <w:szCs w:val="20"/>
        </w:rPr>
        <w:t xml:space="preserve"> </w:t>
      </w:r>
      <w:r w:rsidR="00B03F5A">
        <w:rPr>
          <w:rFonts w:ascii="Arial Narrow" w:hAnsi="Arial Narrow"/>
          <w:sz w:val="20"/>
          <w:szCs w:val="20"/>
        </w:rPr>
        <w:t xml:space="preserve">très </w:t>
      </w:r>
      <w:r w:rsidR="007C6C59" w:rsidRPr="002565B4">
        <w:rPr>
          <w:rFonts w:ascii="Arial Narrow" w:hAnsi="Arial Narrow"/>
          <w:sz w:val="20"/>
          <w:szCs w:val="20"/>
        </w:rPr>
        <w:t>libérale de l’entreprise</w:t>
      </w:r>
      <w:r w:rsidR="00AA20A6">
        <w:rPr>
          <w:rFonts w:ascii="Arial Narrow" w:hAnsi="Arial Narrow"/>
          <w:sz w:val="20"/>
          <w:szCs w:val="20"/>
        </w:rPr>
        <w:t>.</w:t>
      </w:r>
      <w:r w:rsidR="00C3500D" w:rsidRPr="002565B4">
        <w:rPr>
          <w:rStyle w:val="FootnoteReference"/>
          <w:rFonts w:ascii="Arial Narrow" w:hAnsi="Arial Narrow"/>
          <w:sz w:val="20"/>
          <w:szCs w:val="20"/>
        </w:rPr>
        <w:footnoteReference w:id="2"/>
      </w:r>
      <w:r>
        <w:rPr>
          <w:rFonts w:ascii="Arial Narrow" w:hAnsi="Arial Narrow"/>
          <w:sz w:val="20"/>
          <w:szCs w:val="20"/>
        </w:rPr>
        <w:t xml:space="preserve"> </w:t>
      </w:r>
      <w:r w:rsidR="002E7989" w:rsidRPr="002565B4">
        <w:rPr>
          <w:rFonts w:ascii="Arial Narrow" w:hAnsi="Arial Narrow"/>
          <w:sz w:val="20"/>
          <w:szCs w:val="20"/>
        </w:rPr>
        <w:t xml:space="preserve">Si la nature éminemment politique des décisions </w:t>
      </w:r>
      <w:r w:rsidR="009E2833">
        <w:rPr>
          <w:rFonts w:ascii="Arial Narrow" w:hAnsi="Arial Narrow"/>
          <w:sz w:val="20"/>
          <w:szCs w:val="20"/>
        </w:rPr>
        <w:t>constitutionnelles</w:t>
      </w:r>
      <w:r w:rsidR="002E7989" w:rsidRPr="002565B4">
        <w:rPr>
          <w:rFonts w:ascii="Arial Narrow" w:hAnsi="Arial Narrow"/>
          <w:sz w:val="20"/>
          <w:szCs w:val="20"/>
        </w:rPr>
        <w:t xml:space="preserve"> est </w:t>
      </w:r>
      <w:r w:rsidR="00745B61" w:rsidRPr="002565B4">
        <w:rPr>
          <w:rFonts w:ascii="Arial Narrow" w:hAnsi="Arial Narrow"/>
          <w:sz w:val="20"/>
          <w:szCs w:val="20"/>
        </w:rPr>
        <w:t>inévitable</w:t>
      </w:r>
      <w:r w:rsidR="002E7989" w:rsidRPr="002565B4">
        <w:rPr>
          <w:rFonts w:ascii="Arial Narrow" w:hAnsi="Arial Narrow"/>
          <w:sz w:val="20"/>
          <w:szCs w:val="20"/>
        </w:rPr>
        <w:t xml:space="preserve">, l’exercice d’un tel </w:t>
      </w:r>
      <w:r w:rsidR="00F031C5" w:rsidRPr="002565B4">
        <w:rPr>
          <w:rFonts w:ascii="Arial Narrow" w:hAnsi="Arial Narrow"/>
          <w:sz w:val="20"/>
          <w:szCs w:val="20"/>
        </w:rPr>
        <w:t xml:space="preserve">pouvoir </w:t>
      </w:r>
      <w:r w:rsidR="007E3CEF">
        <w:rPr>
          <w:rFonts w:ascii="Arial Narrow" w:hAnsi="Arial Narrow"/>
          <w:sz w:val="20"/>
          <w:szCs w:val="20"/>
        </w:rPr>
        <w:t>politique devient difficilement acceptable lorsqu’il</w:t>
      </w:r>
      <w:r w:rsidR="00F031C5" w:rsidRPr="002565B4">
        <w:rPr>
          <w:rFonts w:ascii="Arial Narrow" w:hAnsi="Arial Narrow"/>
          <w:sz w:val="20"/>
          <w:szCs w:val="20"/>
        </w:rPr>
        <w:t xml:space="preserve"> se substitue complètement </w:t>
      </w:r>
      <w:r w:rsidR="00F117CA" w:rsidRPr="002565B4">
        <w:rPr>
          <w:rFonts w:ascii="Arial Narrow" w:hAnsi="Arial Narrow"/>
          <w:sz w:val="20"/>
          <w:szCs w:val="20"/>
        </w:rPr>
        <w:t>à celui du</w:t>
      </w:r>
      <w:r w:rsidR="00F031C5" w:rsidRPr="002565B4">
        <w:rPr>
          <w:rFonts w:ascii="Arial Narrow" w:hAnsi="Arial Narrow"/>
          <w:sz w:val="20"/>
          <w:szCs w:val="20"/>
        </w:rPr>
        <w:t xml:space="preserve"> législateur démocratiquement élu</w:t>
      </w:r>
      <w:r w:rsidR="00A1337B">
        <w:rPr>
          <w:rFonts w:ascii="Arial Narrow" w:hAnsi="Arial Narrow"/>
          <w:sz w:val="20"/>
          <w:szCs w:val="20"/>
        </w:rPr>
        <w:t xml:space="preserve"> pour protéger d</w:t>
      </w:r>
      <w:r w:rsidR="00CA0405">
        <w:rPr>
          <w:rFonts w:ascii="Arial Narrow" w:hAnsi="Arial Narrow"/>
          <w:sz w:val="20"/>
          <w:szCs w:val="20"/>
        </w:rPr>
        <w:t>es intérêts privés</w:t>
      </w:r>
      <w:r w:rsidR="003E5F44">
        <w:rPr>
          <w:rFonts w:ascii="Arial Narrow" w:hAnsi="Arial Narrow"/>
          <w:sz w:val="20"/>
          <w:szCs w:val="20"/>
        </w:rPr>
        <w:t xml:space="preserve"> sous couvert d’arguments juridiques faussement objectifs</w:t>
      </w:r>
      <w:r w:rsidR="00AA20A6">
        <w:rPr>
          <w:rFonts w:ascii="Arial Narrow" w:hAnsi="Arial Narrow"/>
          <w:sz w:val="20"/>
          <w:szCs w:val="20"/>
        </w:rPr>
        <w:t>.</w:t>
      </w:r>
      <w:r w:rsidR="007E3CEF" w:rsidRPr="002565B4">
        <w:rPr>
          <w:rStyle w:val="FootnoteReference"/>
          <w:rFonts w:ascii="Arial Narrow" w:hAnsi="Arial Narrow"/>
          <w:sz w:val="20"/>
          <w:szCs w:val="20"/>
        </w:rPr>
        <w:footnoteReference w:id="3"/>
      </w:r>
      <w:r w:rsidR="007E3CEF">
        <w:rPr>
          <w:rFonts w:ascii="Arial Narrow" w:hAnsi="Arial Narrow"/>
          <w:sz w:val="20"/>
          <w:szCs w:val="20"/>
        </w:rPr>
        <w:t xml:space="preserve"> A</w:t>
      </w:r>
      <w:r w:rsidR="00F1497C" w:rsidRPr="002565B4">
        <w:rPr>
          <w:rFonts w:ascii="Arial Narrow" w:hAnsi="Arial Narrow"/>
          <w:sz w:val="20"/>
          <w:szCs w:val="20"/>
        </w:rPr>
        <w:t xml:space="preserve"> plus forte raison lorsque </w:t>
      </w:r>
      <w:r w:rsidR="001B1F47" w:rsidRPr="002565B4">
        <w:rPr>
          <w:rFonts w:ascii="Arial Narrow" w:hAnsi="Arial Narrow"/>
          <w:sz w:val="20"/>
          <w:szCs w:val="20"/>
        </w:rPr>
        <w:t>la</w:t>
      </w:r>
      <w:r w:rsidR="00F1497C" w:rsidRPr="002565B4">
        <w:rPr>
          <w:rFonts w:ascii="Arial Narrow" w:hAnsi="Arial Narrow"/>
          <w:sz w:val="20"/>
          <w:szCs w:val="20"/>
        </w:rPr>
        <w:t xml:space="preserve"> position </w:t>
      </w:r>
      <w:r w:rsidR="00AB1257">
        <w:rPr>
          <w:rFonts w:ascii="Arial Narrow" w:hAnsi="Arial Narrow"/>
          <w:sz w:val="20"/>
          <w:szCs w:val="20"/>
        </w:rPr>
        <w:t xml:space="preserve">de ce </w:t>
      </w:r>
      <w:r w:rsidR="00CA0405">
        <w:rPr>
          <w:rFonts w:ascii="Arial Narrow" w:hAnsi="Arial Narrow"/>
          <w:sz w:val="20"/>
          <w:szCs w:val="20"/>
        </w:rPr>
        <w:t>législateur</w:t>
      </w:r>
      <w:r w:rsidR="00AB1257">
        <w:rPr>
          <w:rFonts w:ascii="Arial Narrow" w:hAnsi="Arial Narrow"/>
          <w:sz w:val="20"/>
          <w:szCs w:val="20"/>
        </w:rPr>
        <w:t xml:space="preserve"> </w:t>
      </w:r>
      <w:r w:rsidR="00F1497C" w:rsidRPr="002565B4">
        <w:rPr>
          <w:rFonts w:ascii="Arial Narrow" w:hAnsi="Arial Narrow"/>
          <w:sz w:val="20"/>
          <w:szCs w:val="20"/>
        </w:rPr>
        <w:t xml:space="preserve">reflète </w:t>
      </w:r>
      <w:r w:rsidR="0085643A">
        <w:rPr>
          <w:rFonts w:ascii="Arial Narrow" w:hAnsi="Arial Narrow"/>
          <w:sz w:val="20"/>
          <w:szCs w:val="20"/>
        </w:rPr>
        <w:t xml:space="preserve">également </w:t>
      </w:r>
      <w:r w:rsidR="00F1497C" w:rsidRPr="002565B4">
        <w:rPr>
          <w:rFonts w:ascii="Arial Narrow" w:hAnsi="Arial Narrow"/>
          <w:sz w:val="20"/>
          <w:szCs w:val="20"/>
        </w:rPr>
        <w:t>celle d’une grande majorité de l’opinion publique.</w:t>
      </w:r>
    </w:p>
    <w:p w:rsidR="005917DC" w:rsidRPr="005917DC" w:rsidRDefault="005917DC" w:rsidP="005917DC">
      <w:pPr>
        <w:pStyle w:val="NormalWeb"/>
        <w:spacing w:before="0" w:beforeAutospacing="0" w:after="0" w:afterAutospacing="0"/>
        <w:ind w:firstLine="708"/>
        <w:jc w:val="both"/>
        <w:rPr>
          <w:rFonts w:ascii="Arial Narrow" w:hAnsi="Arial Narrow"/>
          <w:sz w:val="20"/>
          <w:szCs w:val="20"/>
        </w:rPr>
      </w:pPr>
      <w:r w:rsidRPr="005917DC">
        <w:rPr>
          <w:rFonts w:ascii="Arial Narrow" w:hAnsi="Arial Narrow"/>
          <w:sz w:val="20"/>
          <w:szCs w:val="20"/>
        </w:rPr>
        <w:t xml:space="preserve">L’opinion publique et le législateur s’étant montrés favorables à cette loi novatrice sur le devoir de vigilance (I), la dissimulation des intérêts privés des organisations patronales semble être fondée sur un raisonnement constitutionnel critiquable (II). </w:t>
      </w:r>
    </w:p>
    <w:p w:rsidR="00342B10" w:rsidRPr="002565B4" w:rsidRDefault="00342B10" w:rsidP="00342B10">
      <w:pPr>
        <w:pStyle w:val="NormalWeb"/>
        <w:spacing w:before="0" w:beforeAutospacing="0" w:after="0" w:afterAutospacing="0"/>
        <w:ind w:firstLine="708"/>
        <w:jc w:val="both"/>
        <w:rPr>
          <w:rFonts w:ascii="Arial Narrow" w:hAnsi="Arial Narrow"/>
          <w:sz w:val="20"/>
          <w:szCs w:val="20"/>
        </w:rPr>
      </w:pPr>
    </w:p>
    <w:p w:rsidR="008D4746" w:rsidRPr="002565B4" w:rsidRDefault="008D4746" w:rsidP="00342B10">
      <w:pPr>
        <w:pStyle w:val="NormalWeb"/>
        <w:spacing w:before="0" w:beforeAutospacing="0" w:after="0" w:afterAutospacing="0"/>
        <w:rPr>
          <w:rFonts w:ascii="Arial Narrow" w:hAnsi="Arial Narrow"/>
          <w:b/>
          <w:sz w:val="20"/>
          <w:szCs w:val="20"/>
          <w:u w:val="single"/>
        </w:rPr>
      </w:pPr>
      <w:r w:rsidRPr="002565B4">
        <w:rPr>
          <w:rFonts w:ascii="Arial Narrow" w:hAnsi="Arial Narrow"/>
          <w:b/>
          <w:sz w:val="20"/>
          <w:szCs w:val="20"/>
          <w:u w:val="single"/>
        </w:rPr>
        <w:t>I-</w:t>
      </w:r>
      <w:r w:rsidR="00AA20A6">
        <w:rPr>
          <w:rFonts w:ascii="Arial Narrow" w:hAnsi="Arial Narrow"/>
          <w:b/>
          <w:sz w:val="20"/>
          <w:szCs w:val="20"/>
          <w:u w:val="single"/>
        </w:rPr>
        <w:t xml:space="preserve"> </w:t>
      </w:r>
      <w:r w:rsidRPr="002565B4">
        <w:rPr>
          <w:rFonts w:ascii="Arial Narrow" w:hAnsi="Arial Narrow"/>
          <w:b/>
          <w:sz w:val="20"/>
          <w:szCs w:val="20"/>
          <w:u w:val="single"/>
        </w:rPr>
        <w:t>L’</w:t>
      </w:r>
      <w:r w:rsidR="002A7176">
        <w:rPr>
          <w:rFonts w:ascii="Arial Narrow" w:hAnsi="Arial Narrow"/>
          <w:b/>
          <w:sz w:val="20"/>
          <w:szCs w:val="20"/>
          <w:u w:val="single"/>
        </w:rPr>
        <w:t xml:space="preserve">épopée législative </w:t>
      </w:r>
      <w:r w:rsidR="00CA0405">
        <w:rPr>
          <w:rFonts w:ascii="Arial Narrow" w:hAnsi="Arial Narrow"/>
          <w:b/>
          <w:sz w:val="20"/>
          <w:szCs w:val="20"/>
          <w:u w:val="single"/>
        </w:rPr>
        <w:t>d’une proposition de loi novatrice</w:t>
      </w:r>
    </w:p>
    <w:p w:rsidR="00DC52F4" w:rsidRPr="00AA20A6" w:rsidRDefault="00F71C0F" w:rsidP="00AA20A6">
      <w:pPr>
        <w:pStyle w:val="NormalWeb"/>
        <w:rPr>
          <w:rFonts w:ascii="Arial Narrow" w:hAnsi="Arial Narrow"/>
          <w:sz w:val="20"/>
          <w:szCs w:val="20"/>
          <w:u w:val="single"/>
        </w:rPr>
      </w:pPr>
      <w:r>
        <w:rPr>
          <w:rFonts w:ascii="Arial Narrow" w:hAnsi="Arial Narrow"/>
          <w:sz w:val="20"/>
          <w:szCs w:val="20"/>
          <w:u w:val="single"/>
        </w:rPr>
        <w:t xml:space="preserve">A) </w:t>
      </w:r>
      <w:r w:rsidRPr="00F71C0F">
        <w:rPr>
          <w:rFonts w:ascii="Arial Narrow" w:hAnsi="Arial Narrow"/>
          <w:sz w:val="20"/>
          <w:szCs w:val="20"/>
          <w:u w:val="single"/>
        </w:rPr>
        <w:t>Le contenu de</w:t>
      </w:r>
      <w:r w:rsidR="0009183C">
        <w:rPr>
          <w:rFonts w:ascii="Arial Narrow" w:hAnsi="Arial Narrow"/>
          <w:sz w:val="20"/>
          <w:szCs w:val="20"/>
          <w:u w:val="single"/>
        </w:rPr>
        <w:t xml:space="preserve"> la</w:t>
      </w:r>
      <w:r w:rsidRPr="00F71C0F">
        <w:rPr>
          <w:rFonts w:ascii="Arial Narrow" w:hAnsi="Arial Narrow"/>
          <w:sz w:val="20"/>
          <w:szCs w:val="20"/>
          <w:u w:val="single"/>
        </w:rPr>
        <w:t xml:space="preserve"> loi</w:t>
      </w:r>
      <w:r w:rsidRPr="00AA20A6">
        <w:rPr>
          <w:rFonts w:ascii="Arial Narrow" w:hAnsi="Arial Narrow"/>
          <w:sz w:val="20"/>
          <w:szCs w:val="20"/>
        </w:rPr>
        <w:t xml:space="preserve"> </w:t>
      </w:r>
    </w:p>
    <w:p w:rsidR="00DC52F4" w:rsidRDefault="00DC52F4" w:rsidP="00DC52F4">
      <w:pPr>
        <w:pStyle w:val="NormalWeb"/>
        <w:numPr>
          <w:ilvl w:val="0"/>
          <w:numId w:val="21"/>
        </w:numPr>
        <w:spacing w:before="0" w:beforeAutospacing="0" w:after="0" w:afterAutospacing="0"/>
        <w:jc w:val="both"/>
        <w:rPr>
          <w:rFonts w:ascii="Arial Narrow" w:hAnsi="Arial Narrow"/>
          <w:sz w:val="20"/>
          <w:szCs w:val="20"/>
        </w:rPr>
      </w:pPr>
      <w:r>
        <w:rPr>
          <w:rFonts w:ascii="Arial Narrow" w:hAnsi="Arial Narrow"/>
          <w:sz w:val="20"/>
          <w:szCs w:val="20"/>
        </w:rPr>
        <w:t>e</w:t>
      </w:r>
      <w:r w:rsidR="00CD5FA6">
        <w:rPr>
          <w:rFonts w:ascii="Arial Narrow" w:hAnsi="Arial Narrow"/>
          <w:sz w:val="20"/>
          <w:szCs w:val="20"/>
        </w:rPr>
        <w:t>lle</w:t>
      </w:r>
      <w:r w:rsidR="000A63AC" w:rsidRPr="002565B4">
        <w:rPr>
          <w:rFonts w:ascii="Arial Narrow" w:hAnsi="Arial Narrow"/>
          <w:sz w:val="20"/>
          <w:szCs w:val="20"/>
        </w:rPr>
        <w:t xml:space="preserve"> instaure </w:t>
      </w:r>
      <w:r w:rsidR="00D8341A">
        <w:rPr>
          <w:rFonts w:ascii="Arial Narrow" w:hAnsi="Arial Narrow"/>
          <w:sz w:val="20"/>
          <w:szCs w:val="20"/>
        </w:rPr>
        <w:t xml:space="preserve">dans le code de commerce </w:t>
      </w:r>
      <w:r w:rsidR="000A63AC" w:rsidRPr="002565B4">
        <w:rPr>
          <w:rFonts w:ascii="Arial Narrow" w:hAnsi="Arial Narrow"/>
          <w:sz w:val="20"/>
          <w:szCs w:val="20"/>
        </w:rPr>
        <w:t xml:space="preserve">un </w:t>
      </w:r>
      <w:r w:rsidR="000A63AC" w:rsidRPr="00DC52F4">
        <w:rPr>
          <w:rFonts w:ascii="Arial Narrow" w:hAnsi="Arial Narrow"/>
          <w:b/>
          <w:sz w:val="20"/>
          <w:szCs w:val="20"/>
        </w:rPr>
        <w:t>devoir de vigilance</w:t>
      </w:r>
      <w:r w:rsidR="000A63AC" w:rsidRPr="002565B4">
        <w:rPr>
          <w:rFonts w:ascii="Arial Narrow" w:hAnsi="Arial Narrow"/>
          <w:sz w:val="20"/>
          <w:szCs w:val="20"/>
        </w:rPr>
        <w:t xml:space="preserve"> à l'égard de</w:t>
      </w:r>
      <w:r w:rsidR="00DB0E5B">
        <w:rPr>
          <w:rFonts w:ascii="Arial Narrow" w:hAnsi="Arial Narrow"/>
          <w:sz w:val="20"/>
          <w:szCs w:val="20"/>
        </w:rPr>
        <w:t>s</w:t>
      </w:r>
      <w:r w:rsidR="000A63AC" w:rsidRPr="002565B4">
        <w:rPr>
          <w:rFonts w:ascii="Arial Narrow" w:hAnsi="Arial Narrow"/>
          <w:sz w:val="20"/>
          <w:szCs w:val="20"/>
        </w:rPr>
        <w:t xml:space="preserve"> filiales, sous-traitants et fournisseurs avec lesquels </w:t>
      </w:r>
      <w:r w:rsidR="00DB0E5B">
        <w:rPr>
          <w:rFonts w:ascii="Arial Narrow" w:hAnsi="Arial Narrow"/>
          <w:sz w:val="20"/>
          <w:szCs w:val="20"/>
        </w:rPr>
        <w:t>la société</w:t>
      </w:r>
      <w:r w:rsidR="000A63AC" w:rsidRPr="002565B4">
        <w:rPr>
          <w:rFonts w:ascii="Arial Narrow" w:hAnsi="Arial Narrow"/>
          <w:sz w:val="20"/>
          <w:szCs w:val="20"/>
        </w:rPr>
        <w:t xml:space="preserve"> </w:t>
      </w:r>
      <w:r w:rsidR="00DB0E5B">
        <w:rPr>
          <w:rFonts w:ascii="Arial Narrow" w:hAnsi="Arial Narrow"/>
          <w:sz w:val="20"/>
          <w:szCs w:val="20"/>
        </w:rPr>
        <w:t>entretient</w:t>
      </w:r>
      <w:r w:rsidR="000A63AC" w:rsidRPr="002565B4">
        <w:rPr>
          <w:rFonts w:ascii="Arial Narrow" w:hAnsi="Arial Narrow"/>
          <w:sz w:val="20"/>
          <w:szCs w:val="20"/>
        </w:rPr>
        <w:t xml:space="preserve"> des relations commerciales établies. Ce devoir de vigilance consiste à </w:t>
      </w:r>
      <w:r w:rsidR="000A63AC" w:rsidRPr="00DC52F4">
        <w:rPr>
          <w:rFonts w:ascii="Arial Narrow" w:hAnsi="Arial Narrow"/>
          <w:b/>
          <w:sz w:val="20"/>
          <w:szCs w:val="20"/>
        </w:rPr>
        <w:t>établir, rendre public et mettre en œuvre de façon effective un plan de vigilance</w:t>
      </w:r>
      <w:r w:rsidR="000A63AC" w:rsidRPr="002565B4">
        <w:rPr>
          <w:rFonts w:ascii="Arial Narrow" w:hAnsi="Arial Narrow"/>
          <w:sz w:val="20"/>
          <w:szCs w:val="20"/>
        </w:rPr>
        <w:t xml:space="preserve">, qui comporte « les </w:t>
      </w:r>
      <w:r w:rsidR="000A63AC" w:rsidRPr="000E196C">
        <w:rPr>
          <w:rFonts w:ascii="Arial Narrow" w:hAnsi="Arial Narrow"/>
          <w:b/>
          <w:sz w:val="20"/>
          <w:szCs w:val="20"/>
        </w:rPr>
        <w:t>mesures de vigilance raisonnable</w:t>
      </w:r>
      <w:r w:rsidR="000A63AC" w:rsidRPr="002565B4">
        <w:rPr>
          <w:rFonts w:ascii="Arial Narrow" w:hAnsi="Arial Narrow"/>
          <w:sz w:val="20"/>
          <w:szCs w:val="20"/>
        </w:rPr>
        <w:t xml:space="preserve"> propres à </w:t>
      </w:r>
      <w:r w:rsidR="000A63AC" w:rsidRPr="000E196C">
        <w:rPr>
          <w:rFonts w:ascii="Arial Narrow" w:hAnsi="Arial Narrow"/>
          <w:b/>
          <w:sz w:val="20"/>
          <w:szCs w:val="20"/>
        </w:rPr>
        <w:t>identifier les risques et à prévenir les atteintes graves</w:t>
      </w:r>
      <w:r w:rsidR="000A63AC" w:rsidRPr="002565B4">
        <w:rPr>
          <w:rFonts w:ascii="Arial Narrow" w:hAnsi="Arial Narrow"/>
          <w:sz w:val="20"/>
          <w:szCs w:val="20"/>
        </w:rPr>
        <w:t xml:space="preserve"> envers les droits humains et les libertés fondamentales, la santé et la sécurité des personnes ainsi que l’environnement ». </w:t>
      </w:r>
      <w:r w:rsidR="000E196C">
        <w:rPr>
          <w:rFonts w:ascii="Arial Narrow" w:hAnsi="Arial Narrow"/>
          <w:sz w:val="20"/>
          <w:szCs w:val="20"/>
        </w:rPr>
        <w:t>Il s’agit d’une obligation de moyen</w:t>
      </w:r>
      <w:r w:rsidR="00374A50">
        <w:rPr>
          <w:rFonts w:ascii="Arial Narrow" w:hAnsi="Arial Narrow"/>
          <w:sz w:val="20"/>
          <w:szCs w:val="20"/>
        </w:rPr>
        <w:t>s</w:t>
      </w:r>
      <w:r w:rsidR="000E196C">
        <w:rPr>
          <w:rFonts w:ascii="Arial Narrow" w:hAnsi="Arial Narrow"/>
          <w:sz w:val="20"/>
          <w:szCs w:val="20"/>
        </w:rPr>
        <w:t xml:space="preserve">. </w:t>
      </w:r>
    </w:p>
    <w:p w:rsidR="005917DC" w:rsidRPr="005917DC" w:rsidRDefault="005917DC" w:rsidP="005917DC">
      <w:pPr>
        <w:pStyle w:val="NormalWeb"/>
        <w:numPr>
          <w:ilvl w:val="0"/>
          <w:numId w:val="21"/>
        </w:numPr>
        <w:spacing w:after="0"/>
        <w:jc w:val="both"/>
        <w:rPr>
          <w:rFonts w:ascii="Arial Narrow" w:hAnsi="Arial Narrow"/>
          <w:sz w:val="20"/>
          <w:szCs w:val="20"/>
        </w:rPr>
      </w:pPr>
      <w:r w:rsidRPr="005917DC">
        <w:rPr>
          <w:rFonts w:ascii="Arial Narrow" w:hAnsi="Arial Narrow"/>
          <w:sz w:val="20"/>
          <w:szCs w:val="20"/>
        </w:rPr>
        <w:t>elle concerne uniquement les sociétés qui ont leur siège social en France et emploient au moins 5000 salariés et celles qui emploient plus de 10 000 salariés dont le siège social est fixé sur le territoire français ou à l’étranger.</w:t>
      </w:r>
    </w:p>
    <w:p w:rsidR="003E4B0D" w:rsidRDefault="00DC52F4" w:rsidP="00DC52F4">
      <w:pPr>
        <w:pStyle w:val="NormalWeb"/>
        <w:numPr>
          <w:ilvl w:val="0"/>
          <w:numId w:val="21"/>
        </w:numPr>
        <w:spacing w:before="0" w:beforeAutospacing="0" w:after="0" w:afterAutospacing="0"/>
        <w:jc w:val="both"/>
        <w:rPr>
          <w:rFonts w:ascii="Arial Narrow" w:hAnsi="Arial Narrow"/>
          <w:sz w:val="20"/>
          <w:szCs w:val="20"/>
        </w:rPr>
      </w:pPr>
      <w:r>
        <w:rPr>
          <w:rFonts w:ascii="Arial Narrow" w:hAnsi="Arial Narrow"/>
          <w:sz w:val="20"/>
          <w:szCs w:val="20"/>
        </w:rPr>
        <w:t>l</w:t>
      </w:r>
      <w:r w:rsidR="000A63AC" w:rsidRPr="002565B4">
        <w:rPr>
          <w:rFonts w:ascii="Arial Narrow" w:hAnsi="Arial Narrow"/>
          <w:sz w:val="20"/>
          <w:szCs w:val="20"/>
        </w:rPr>
        <w:t xml:space="preserve">a proposition </w:t>
      </w:r>
      <w:r w:rsidR="000A63AC" w:rsidRPr="00DC52F4">
        <w:rPr>
          <w:rFonts w:ascii="Arial Narrow" w:hAnsi="Arial Narrow"/>
          <w:b/>
          <w:sz w:val="20"/>
          <w:szCs w:val="20"/>
        </w:rPr>
        <w:t>énumère cinq de ces mesures</w:t>
      </w:r>
      <w:r w:rsidR="000A63AC" w:rsidRPr="002565B4">
        <w:rPr>
          <w:rFonts w:ascii="Arial Narrow" w:hAnsi="Arial Narrow"/>
          <w:sz w:val="20"/>
          <w:szCs w:val="20"/>
        </w:rPr>
        <w:t xml:space="preserve"> : </w:t>
      </w:r>
      <w:r>
        <w:rPr>
          <w:rFonts w:ascii="Arial Narrow" w:hAnsi="Arial Narrow"/>
          <w:sz w:val="20"/>
          <w:szCs w:val="20"/>
        </w:rPr>
        <w:t>une</w:t>
      </w:r>
      <w:r w:rsidR="000A63AC" w:rsidRPr="002565B4">
        <w:rPr>
          <w:rFonts w:ascii="Arial Narrow" w:hAnsi="Arial Narrow"/>
          <w:sz w:val="20"/>
          <w:szCs w:val="20"/>
        </w:rPr>
        <w:t xml:space="preserve"> cartographie</w:t>
      </w:r>
      <w:r w:rsidR="003E4B0D">
        <w:rPr>
          <w:rFonts w:ascii="Arial Narrow" w:hAnsi="Arial Narrow"/>
          <w:sz w:val="20"/>
          <w:szCs w:val="20"/>
        </w:rPr>
        <w:t xml:space="preserve"> circonstanciée des risques, d</w:t>
      </w:r>
      <w:r w:rsidR="000A63AC" w:rsidRPr="002565B4">
        <w:rPr>
          <w:rFonts w:ascii="Arial Narrow" w:hAnsi="Arial Narrow"/>
          <w:sz w:val="20"/>
          <w:szCs w:val="20"/>
        </w:rPr>
        <w:t>es procédures de suivi des ris</w:t>
      </w:r>
      <w:r w:rsidR="003E4B0D">
        <w:rPr>
          <w:rFonts w:ascii="Arial Narrow" w:hAnsi="Arial Narrow"/>
          <w:sz w:val="20"/>
          <w:szCs w:val="20"/>
        </w:rPr>
        <w:t>ques dans la chaine de valeur, d</w:t>
      </w:r>
      <w:r w:rsidR="000A63AC" w:rsidRPr="002565B4">
        <w:rPr>
          <w:rFonts w:ascii="Arial Narrow" w:hAnsi="Arial Narrow"/>
          <w:sz w:val="20"/>
          <w:szCs w:val="20"/>
        </w:rPr>
        <w:t xml:space="preserve">es actions de prévention et </w:t>
      </w:r>
      <w:r w:rsidR="003E4B0D">
        <w:rPr>
          <w:rFonts w:ascii="Arial Narrow" w:hAnsi="Arial Narrow"/>
          <w:sz w:val="20"/>
          <w:szCs w:val="20"/>
        </w:rPr>
        <w:t>d’atténuation des risques, d</w:t>
      </w:r>
      <w:r w:rsidR="000A63AC" w:rsidRPr="002565B4">
        <w:rPr>
          <w:rFonts w:ascii="Arial Narrow" w:hAnsi="Arial Narrow"/>
          <w:sz w:val="20"/>
          <w:szCs w:val="20"/>
        </w:rPr>
        <w:t xml:space="preserve">es mécanismes d’alerte et </w:t>
      </w:r>
      <w:r w:rsidR="003E4B0D">
        <w:rPr>
          <w:rFonts w:ascii="Arial Narrow" w:hAnsi="Arial Narrow"/>
          <w:sz w:val="20"/>
          <w:szCs w:val="20"/>
        </w:rPr>
        <w:t xml:space="preserve">des mécanismes </w:t>
      </w:r>
      <w:r w:rsidR="000A63AC" w:rsidRPr="002565B4">
        <w:rPr>
          <w:rFonts w:ascii="Arial Narrow" w:hAnsi="Arial Narrow"/>
          <w:sz w:val="20"/>
          <w:szCs w:val="20"/>
        </w:rPr>
        <w:t xml:space="preserve">d’évaluation </w:t>
      </w:r>
      <w:r w:rsidR="00F53012">
        <w:rPr>
          <w:rFonts w:ascii="Arial Narrow" w:hAnsi="Arial Narrow"/>
          <w:sz w:val="20"/>
          <w:szCs w:val="20"/>
        </w:rPr>
        <w:t xml:space="preserve">de la mise en œuvre effective ; </w:t>
      </w:r>
    </w:p>
    <w:p w:rsidR="003E4B0D" w:rsidRDefault="000A63AC" w:rsidP="000A63AC">
      <w:pPr>
        <w:pStyle w:val="NormalWeb"/>
        <w:numPr>
          <w:ilvl w:val="0"/>
          <w:numId w:val="21"/>
        </w:numPr>
        <w:spacing w:before="0" w:beforeAutospacing="0" w:after="0" w:afterAutospacing="0"/>
        <w:jc w:val="both"/>
        <w:rPr>
          <w:rFonts w:ascii="Arial Narrow" w:hAnsi="Arial Narrow"/>
          <w:sz w:val="20"/>
          <w:szCs w:val="20"/>
        </w:rPr>
      </w:pPr>
      <w:r w:rsidRPr="002565B4">
        <w:rPr>
          <w:rFonts w:ascii="Arial Narrow" w:hAnsi="Arial Narrow"/>
          <w:sz w:val="20"/>
          <w:szCs w:val="20"/>
        </w:rPr>
        <w:t xml:space="preserve">un décret en Conseil d’Etat </w:t>
      </w:r>
      <w:r w:rsidR="00F53012">
        <w:rPr>
          <w:rFonts w:ascii="Arial Narrow" w:hAnsi="Arial Narrow"/>
          <w:sz w:val="20"/>
          <w:szCs w:val="20"/>
        </w:rPr>
        <w:t>pourrait</w:t>
      </w:r>
      <w:r w:rsidRPr="002565B4">
        <w:rPr>
          <w:rFonts w:ascii="Arial Narrow" w:hAnsi="Arial Narrow"/>
          <w:sz w:val="20"/>
          <w:szCs w:val="20"/>
        </w:rPr>
        <w:t xml:space="preserve"> </w:t>
      </w:r>
      <w:r w:rsidR="00374A50">
        <w:rPr>
          <w:rFonts w:ascii="Arial Narrow" w:hAnsi="Arial Narrow"/>
          <w:sz w:val="20"/>
          <w:szCs w:val="20"/>
        </w:rPr>
        <w:t>compléter</w:t>
      </w:r>
      <w:r w:rsidRPr="002565B4">
        <w:rPr>
          <w:rFonts w:ascii="Arial Narrow" w:hAnsi="Arial Narrow"/>
          <w:sz w:val="20"/>
          <w:szCs w:val="20"/>
        </w:rPr>
        <w:t xml:space="preserve"> ces mesures</w:t>
      </w:r>
      <w:bookmarkStart w:id="0" w:name="P54_4773"/>
      <w:bookmarkStart w:id="1" w:name="P55_4782"/>
      <w:bookmarkStart w:id="2" w:name="P61_5866"/>
      <w:bookmarkStart w:id="3" w:name="P62_5875"/>
      <w:bookmarkStart w:id="4" w:name="P64_6321"/>
      <w:bookmarkEnd w:id="0"/>
      <w:bookmarkEnd w:id="1"/>
      <w:bookmarkEnd w:id="2"/>
      <w:bookmarkEnd w:id="3"/>
      <w:bookmarkEnd w:id="4"/>
      <w:r w:rsidR="00F53012">
        <w:rPr>
          <w:rFonts w:ascii="Arial Narrow" w:hAnsi="Arial Narrow"/>
          <w:sz w:val="20"/>
          <w:szCs w:val="20"/>
        </w:rPr>
        <w:t> ;</w:t>
      </w:r>
      <w:r w:rsidR="0082460B">
        <w:rPr>
          <w:rFonts w:ascii="Arial Narrow" w:hAnsi="Arial Narrow"/>
          <w:sz w:val="20"/>
          <w:szCs w:val="20"/>
        </w:rPr>
        <w:t xml:space="preserve"> à Sherpa, il nous a semblé en effet important de </w:t>
      </w:r>
      <w:r w:rsidR="004259D4">
        <w:rPr>
          <w:rFonts w:ascii="Arial Narrow" w:hAnsi="Arial Narrow"/>
          <w:sz w:val="20"/>
          <w:szCs w:val="20"/>
        </w:rPr>
        <w:t xml:space="preserve">faire </w:t>
      </w:r>
      <w:r w:rsidR="0082460B">
        <w:rPr>
          <w:rFonts w:ascii="Arial Narrow" w:hAnsi="Arial Narrow"/>
          <w:sz w:val="20"/>
          <w:szCs w:val="20"/>
        </w:rPr>
        <w:t xml:space="preserve">supprimer le recours obligatoire au décret compte tenu du contexte politique et de la probabilité que </w:t>
      </w:r>
      <w:r w:rsidR="00783F95">
        <w:rPr>
          <w:rFonts w:ascii="Arial Narrow" w:hAnsi="Arial Narrow"/>
          <w:sz w:val="20"/>
          <w:szCs w:val="20"/>
        </w:rPr>
        <w:t>l’absence de</w:t>
      </w:r>
      <w:r w:rsidR="0082460B">
        <w:rPr>
          <w:rFonts w:ascii="Arial Narrow" w:hAnsi="Arial Narrow"/>
          <w:sz w:val="20"/>
          <w:szCs w:val="20"/>
        </w:rPr>
        <w:t xml:space="preserve"> décret serve </w:t>
      </w:r>
      <w:r w:rsidR="00783F95">
        <w:rPr>
          <w:rFonts w:ascii="Arial Narrow" w:hAnsi="Arial Narrow"/>
          <w:sz w:val="20"/>
          <w:szCs w:val="20"/>
        </w:rPr>
        <w:t>à « enterrer » la loi.</w:t>
      </w:r>
    </w:p>
    <w:p w:rsidR="000A63AC" w:rsidRDefault="00547F5D" w:rsidP="004E6550">
      <w:pPr>
        <w:pStyle w:val="NormalWeb"/>
        <w:numPr>
          <w:ilvl w:val="0"/>
          <w:numId w:val="21"/>
        </w:numPr>
        <w:spacing w:before="0" w:beforeAutospacing="0" w:after="0" w:afterAutospacing="0"/>
        <w:jc w:val="both"/>
        <w:rPr>
          <w:rFonts w:ascii="Arial Narrow" w:hAnsi="Arial Narrow"/>
          <w:sz w:val="20"/>
          <w:szCs w:val="20"/>
        </w:rPr>
      </w:pPr>
      <w:r w:rsidRPr="006B514F">
        <w:rPr>
          <w:rFonts w:ascii="Arial Narrow" w:hAnsi="Arial Narrow"/>
          <w:sz w:val="20"/>
          <w:szCs w:val="20"/>
        </w:rPr>
        <w:t xml:space="preserve">elle prévoit une </w:t>
      </w:r>
      <w:r w:rsidRPr="006B514F">
        <w:rPr>
          <w:rFonts w:ascii="Arial Narrow" w:hAnsi="Arial Narrow"/>
          <w:b/>
          <w:sz w:val="20"/>
          <w:szCs w:val="20"/>
        </w:rPr>
        <w:t>sanction en cas de défaut de plan de vigilance</w:t>
      </w:r>
      <w:r w:rsidRPr="006B514F">
        <w:rPr>
          <w:rFonts w:ascii="Arial Narrow" w:hAnsi="Arial Narrow"/>
          <w:sz w:val="20"/>
          <w:szCs w:val="20"/>
        </w:rPr>
        <w:t xml:space="preserve"> et un r</w:t>
      </w:r>
      <w:r w:rsidRPr="006B514F">
        <w:rPr>
          <w:rFonts w:ascii="Arial Narrow" w:hAnsi="Arial Narrow"/>
          <w:b/>
          <w:sz w:val="20"/>
          <w:szCs w:val="20"/>
        </w:rPr>
        <w:t>égime de responsabilité civile en cas de dommage</w:t>
      </w:r>
      <w:r w:rsidRPr="006B514F">
        <w:rPr>
          <w:rFonts w:ascii="Arial Narrow" w:hAnsi="Arial Narrow"/>
          <w:sz w:val="20"/>
          <w:szCs w:val="20"/>
        </w:rPr>
        <w:t xml:space="preserve">. En effet, </w:t>
      </w:r>
      <w:r w:rsidR="00374A50" w:rsidRPr="006B514F">
        <w:rPr>
          <w:rFonts w:ascii="Arial Narrow" w:hAnsi="Arial Narrow"/>
          <w:sz w:val="20"/>
          <w:szCs w:val="20"/>
        </w:rPr>
        <w:t xml:space="preserve">le juge peut enjoindre aux sociétés défaillantes, </w:t>
      </w:r>
      <w:r w:rsidR="000E196C" w:rsidRPr="006B514F">
        <w:rPr>
          <w:rFonts w:ascii="Arial Narrow" w:hAnsi="Arial Narrow"/>
          <w:sz w:val="20"/>
          <w:szCs w:val="20"/>
        </w:rPr>
        <w:t>y compris sous astreinte</w:t>
      </w:r>
      <w:r w:rsidR="00374A50" w:rsidRPr="006B514F">
        <w:rPr>
          <w:rFonts w:ascii="Arial Narrow" w:hAnsi="Arial Narrow"/>
          <w:sz w:val="20"/>
          <w:szCs w:val="20"/>
        </w:rPr>
        <w:t>, de</w:t>
      </w:r>
      <w:r w:rsidR="000A63AC" w:rsidRPr="006B514F">
        <w:rPr>
          <w:rFonts w:ascii="Arial Narrow" w:hAnsi="Arial Narrow"/>
          <w:sz w:val="20"/>
          <w:szCs w:val="20"/>
        </w:rPr>
        <w:t xml:space="preserve"> </w:t>
      </w:r>
      <w:r w:rsidR="00374A50" w:rsidRPr="006B514F">
        <w:rPr>
          <w:rFonts w:ascii="Arial Narrow" w:hAnsi="Arial Narrow"/>
          <w:sz w:val="20"/>
          <w:szCs w:val="20"/>
        </w:rPr>
        <w:t>se</w:t>
      </w:r>
      <w:r w:rsidR="000A63AC" w:rsidRPr="006B514F">
        <w:rPr>
          <w:rFonts w:ascii="Arial Narrow" w:hAnsi="Arial Narrow"/>
          <w:sz w:val="20"/>
          <w:szCs w:val="20"/>
        </w:rPr>
        <w:t xml:space="preserve"> conformer</w:t>
      </w:r>
      <w:r w:rsidR="00374A50" w:rsidRPr="006B514F">
        <w:rPr>
          <w:rFonts w:ascii="Arial Narrow" w:hAnsi="Arial Narrow"/>
          <w:sz w:val="20"/>
          <w:szCs w:val="20"/>
        </w:rPr>
        <w:t xml:space="preserve"> à </w:t>
      </w:r>
      <w:r w:rsidRPr="006B514F">
        <w:rPr>
          <w:rFonts w:ascii="Arial Narrow" w:hAnsi="Arial Narrow"/>
          <w:sz w:val="20"/>
          <w:szCs w:val="20"/>
        </w:rPr>
        <w:t>l’</w:t>
      </w:r>
      <w:r w:rsidR="00374A50" w:rsidRPr="006B514F">
        <w:rPr>
          <w:rFonts w:ascii="Arial Narrow" w:hAnsi="Arial Narrow"/>
          <w:sz w:val="20"/>
          <w:szCs w:val="20"/>
        </w:rPr>
        <w:t>obligation de vigilance</w:t>
      </w:r>
      <w:r w:rsidR="000A63AC" w:rsidRPr="006B514F">
        <w:rPr>
          <w:rFonts w:ascii="Arial Narrow" w:hAnsi="Arial Narrow"/>
          <w:sz w:val="20"/>
          <w:szCs w:val="20"/>
        </w:rPr>
        <w:t xml:space="preserve">. </w:t>
      </w:r>
      <w:r w:rsidRPr="006B514F">
        <w:rPr>
          <w:rFonts w:ascii="Arial Narrow" w:hAnsi="Arial Narrow"/>
          <w:sz w:val="20"/>
          <w:szCs w:val="20"/>
        </w:rPr>
        <w:t>Il</w:t>
      </w:r>
      <w:r w:rsidR="000A63AC" w:rsidRPr="006B514F">
        <w:rPr>
          <w:rFonts w:ascii="Arial Narrow" w:hAnsi="Arial Narrow"/>
          <w:sz w:val="20"/>
          <w:szCs w:val="20"/>
        </w:rPr>
        <w:t xml:space="preserve"> peut assortir sa décision d’une amende civile pouvant atteindre 10 millions d’euros. En cas de dommage dont la survenance aurait pu être évitée par la mise en place effective d’un plan de vigilance, la responsabilité de la société pourra également être </w:t>
      </w:r>
      <w:r w:rsidR="00DB0E5B" w:rsidRPr="006B514F">
        <w:rPr>
          <w:rFonts w:ascii="Arial Narrow" w:hAnsi="Arial Narrow"/>
          <w:sz w:val="20"/>
          <w:szCs w:val="20"/>
        </w:rPr>
        <w:t>engagée</w:t>
      </w:r>
      <w:r w:rsidR="000A63AC" w:rsidRPr="006B514F">
        <w:rPr>
          <w:rFonts w:ascii="Arial Narrow" w:hAnsi="Arial Narrow"/>
          <w:sz w:val="20"/>
          <w:szCs w:val="20"/>
        </w:rPr>
        <w:t xml:space="preserve"> et le juge pourra multiplier par trois le montant de l’am</w:t>
      </w:r>
      <w:r w:rsidRPr="006B514F">
        <w:rPr>
          <w:rFonts w:ascii="Arial Narrow" w:hAnsi="Arial Narrow"/>
          <w:sz w:val="20"/>
          <w:szCs w:val="20"/>
        </w:rPr>
        <w:t xml:space="preserve">ende civile prévue. </w:t>
      </w:r>
    </w:p>
    <w:p w:rsidR="004F1A92" w:rsidRDefault="004F1A92" w:rsidP="004F1A92">
      <w:pPr>
        <w:pStyle w:val="NormalWeb"/>
        <w:spacing w:before="0" w:beforeAutospacing="0" w:after="0" w:afterAutospacing="0"/>
        <w:ind w:left="360"/>
        <w:jc w:val="both"/>
        <w:rPr>
          <w:rFonts w:ascii="Arial Narrow" w:hAnsi="Arial Narrow"/>
          <w:sz w:val="20"/>
          <w:szCs w:val="20"/>
        </w:rPr>
      </w:pPr>
    </w:p>
    <w:p w:rsidR="004F1A92" w:rsidRDefault="00AA20A6" w:rsidP="00A12461">
      <w:pPr>
        <w:pStyle w:val="NormalWeb"/>
        <w:spacing w:before="0" w:beforeAutospacing="0" w:after="0" w:afterAutospacing="0"/>
        <w:jc w:val="both"/>
        <w:rPr>
          <w:rFonts w:ascii="Arial Narrow" w:hAnsi="Arial Narrow"/>
          <w:sz w:val="20"/>
          <w:szCs w:val="20"/>
        </w:rPr>
      </w:pPr>
      <w:r>
        <w:rPr>
          <w:rFonts w:ascii="Arial Narrow" w:hAnsi="Arial Narrow"/>
          <w:sz w:val="20"/>
          <w:szCs w:val="20"/>
        </w:rPr>
        <w:t xml:space="preserve">- </w:t>
      </w:r>
      <w:r w:rsidR="004F1A92">
        <w:rPr>
          <w:rFonts w:ascii="Arial Narrow" w:hAnsi="Arial Narrow"/>
          <w:sz w:val="20"/>
          <w:szCs w:val="20"/>
        </w:rPr>
        <w:t xml:space="preserve">Tous ces éléments sont le fruit d’un compromis que Sherpa et ses partenaires </w:t>
      </w:r>
      <w:r w:rsidR="005C1904">
        <w:rPr>
          <w:rFonts w:ascii="Arial Narrow" w:hAnsi="Arial Narrow"/>
          <w:sz w:val="20"/>
          <w:szCs w:val="20"/>
        </w:rPr>
        <w:t xml:space="preserve">(AI, CCFD, AT, ESE, CFDT, Peuples So, organisations membres du FCRSE) ont obtenu avec le gouvernement. Bien qu’il ne s’agisse pas </w:t>
      </w:r>
      <w:r w:rsidR="004F1A92">
        <w:rPr>
          <w:rFonts w:ascii="Arial Narrow" w:hAnsi="Arial Narrow"/>
          <w:sz w:val="20"/>
          <w:szCs w:val="20"/>
        </w:rPr>
        <w:t>de la loi que la société civile souhaitait (ni dans son champ d’application, ni dans son</w:t>
      </w:r>
      <w:r w:rsidR="005C1904">
        <w:rPr>
          <w:rFonts w:ascii="Arial Narrow" w:hAnsi="Arial Narrow"/>
          <w:sz w:val="20"/>
          <w:szCs w:val="20"/>
        </w:rPr>
        <w:t xml:space="preserve"> régime de responsabilité), </w:t>
      </w:r>
      <w:r w:rsidR="004F1A92">
        <w:rPr>
          <w:rFonts w:ascii="Arial Narrow" w:hAnsi="Arial Narrow"/>
          <w:sz w:val="20"/>
          <w:szCs w:val="20"/>
        </w:rPr>
        <w:t>il s’agit incontestablement d’un pas historique</w:t>
      </w:r>
      <w:r w:rsidR="00A12461">
        <w:rPr>
          <w:rFonts w:ascii="Arial Narrow" w:hAnsi="Arial Narrow"/>
          <w:sz w:val="20"/>
          <w:szCs w:val="20"/>
        </w:rPr>
        <w:t xml:space="preserve"> pour rendre juridiquement responsables les multinationales. </w:t>
      </w:r>
    </w:p>
    <w:p w:rsidR="00787C01" w:rsidRDefault="00AA5B32" w:rsidP="00450304">
      <w:pPr>
        <w:pStyle w:val="NormalWeb"/>
        <w:jc w:val="both"/>
        <w:rPr>
          <w:rFonts w:ascii="Arial Narrow" w:hAnsi="Arial Narrow"/>
          <w:sz w:val="20"/>
          <w:szCs w:val="20"/>
        </w:rPr>
      </w:pPr>
      <w:r w:rsidRPr="002565B4">
        <w:rPr>
          <w:rFonts w:ascii="Arial Narrow" w:hAnsi="Arial Narrow"/>
          <w:sz w:val="20"/>
          <w:szCs w:val="20"/>
        </w:rPr>
        <w:lastRenderedPageBreak/>
        <w:t>-</w:t>
      </w:r>
      <w:r w:rsidR="00686DAC">
        <w:rPr>
          <w:rFonts w:ascii="Arial Narrow" w:hAnsi="Arial Narrow"/>
          <w:sz w:val="20"/>
          <w:szCs w:val="20"/>
        </w:rPr>
        <w:t xml:space="preserve"> </w:t>
      </w:r>
      <w:r w:rsidR="004259D4">
        <w:rPr>
          <w:rFonts w:ascii="Arial Narrow" w:hAnsi="Arial Narrow"/>
          <w:sz w:val="20"/>
          <w:szCs w:val="20"/>
        </w:rPr>
        <w:t>L</w:t>
      </w:r>
      <w:r w:rsidR="004259D4" w:rsidRPr="00336A24">
        <w:rPr>
          <w:rFonts w:ascii="Arial Narrow" w:hAnsi="Arial Narrow"/>
          <w:b/>
          <w:sz w:val="20"/>
          <w:szCs w:val="20"/>
        </w:rPr>
        <w:t xml:space="preserve">’action des </w:t>
      </w:r>
      <w:r w:rsidR="004259D4" w:rsidRPr="00336A24">
        <w:rPr>
          <w:rFonts w:ascii="Arial Narrow" w:hAnsi="Arial Narrow"/>
          <w:b/>
          <w:i/>
          <w:sz w:val="20"/>
          <w:szCs w:val="20"/>
        </w:rPr>
        <w:t>lobbys</w:t>
      </w:r>
      <w:r w:rsidR="004259D4">
        <w:rPr>
          <w:rFonts w:ascii="Arial Narrow" w:hAnsi="Arial Narrow"/>
          <w:sz w:val="20"/>
          <w:szCs w:val="20"/>
        </w:rPr>
        <w:t xml:space="preserve"> sur le gouvernement comme auprès des parlementaires a rendu </w:t>
      </w:r>
      <w:r w:rsidR="00F37844">
        <w:rPr>
          <w:rFonts w:ascii="Arial Narrow" w:hAnsi="Arial Narrow"/>
          <w:sz w:val="20"/>
          <w:szCs w:val="20"/>
        </w:rPr>
        <w:t xml:space="preserve">le </w:t>
      </w:r>
      <w:r w:rsidR="00686DAC">
        <w:rPr>
          <w:rFonts w:ascii="Arial Narrow" w:hAnsi="Arial Narrow"/>
          <w:sz w:val="20"/>
          <w:szCs w:val="20"/>
        </w:rPr>
        <w:t xml:space="preserve">processus </w:t>
      </w:r>
      <w:r w:rsidR="00F37844">
        <w:rPr>
          <w:rFonts w:ascii="Arial Narrow" w:hAnsi="Arial Narrow"/>
          <w:sz w:val="20"/>
          <w:szCs w:val="20"/>
        </w:rPr>
        <w:t xml:space="preserve">d’adoption de la loi long et pour </w:t>
      </w:r>
      <w:r w:rsidR="00336A24">
        <w:rPr>
          <w:rFonts w:ascii="Arial Narrow" w:hAnsi="Arial Narrow"/>
          <w:sz w:val="20"/>
          <w:szCs w:val="20"/>
        </w:rPr>
        <w:t>le moins</w:t>
      </w:r>
      <w:r w:rsidR="00686DAC">
        <w:rPr>
          <w:rFonts w:ascii="Arial Narrow" w:hAnsi="Arial Narrow"/>
          <w:sz w:val="20"/>
          <w:szCs w:val="20"/>
        </w:rPr>
        <w:t xml:space="preserve"> chaotique</w:t>
      </w:r>
      <w:r w:rsidR="00787C01" w:rsidRPr="002565B4">
        <w:rPr>
          <w:rStyle w:val="FootnoteReference"/>
          <w:rFonts w:ascii="Arial Narrow" w:hAnsi="Arial Narrow"/>
          <w:sz w:val="20"/>
          <w:szCs w:val="20"/>
        </w:rPr>
        <w:footnoteReference w:id="4"/>
      </w:r>
      <w:r w:rsidR="00686DAC">
        <w:rPr>
          <w:rFonts w:ascii="Arial Narrow" w:hAnsi="Arial Narrow"/>
          <w:sz w:val="20"/>
          <w:szCs w:val="20"/>
        </w:rPr>
        <w:t>. E</w:t>
      </w:r>
      <w:r w:rsidR="002C6911" w:rsidRPr="002565B4">
        <w:rPr>
          <w:rFonts w:ascii="Arial Narrow" w:hAnsi="Arial Narrow"/>
          <w:sz w:val="20"/>
          <w:szCs w:val="20"/>
        </w:rPr>
        <w:t>n effet,</w:t>
      </w:r>
      <w:r w:rsidR="00686DAC">
        <w:rPr>
          <w:rFonts w:ascii="Arial Narrow" w:hAnsi="Arial Narrow"/>
          <w:sz w:val="20"/>
          <w:szCs w:val="20"/>
        </w:rPr>
        <w:t xml:space="preserve"> le texte a suscité une</w:t>
      </w:r>
      <w:r w:rsidR="002C6911" w:rsidRPr="002565B4">
        <w:rPr>
          <w:rFonts w:ascii="Arial Narrow" w:hAnsi="Arial Narrow"/>
          <w:sz w:val="20"/>
          <w:szCs w:val="20"/>
        </w:rPr>
        <w:t xml:space="preserve"> mobilisation </w:t>
      </w:r>
      <w:r w:rsidR="008679B2">
        <w:rPr>
          <w:rFonts w:ascii="Arial Narrow" w:hAnsi="Arial Narrow"/>
          <w:sz w:val="20"/>
          <w:szCs w:val="20"/>
        </w:rPr>
        <w:t>d’ampleur</w:t>
      </w:r>
      <w:r w:rsidR="002C6911" w:rsidRPr="002565B4">
        <w:rPr>
          <w:rFonts w:ascii="Arial Narrow" w:hAnsi="Arial Narrow"/>
          <w:sz w:val="20"/>
          <w:szCs w:val="20"/>
        </w:rPr>
        <w:t xml:space="preserve"> des </w:t>
      </w:r>
      <w:r w:rsidR="008679B2">
        <w:rPr>
          <w:rFonts w:ascii="Arial Narrow" w:hAnsi="Arial Narrow"/>
          <w:sz w:val="20"/>
          <w:szCs w:val="20"/>
        </w:rPr>
        <w:t>organisations patronales</w:t>
      </w:r>
      <w:r w:rsidR="0077177C" w:rsidRPr="002565B4">
        <w:rPr>
          <w:rStyle w:val="FootnoteReference"/>
          <w:rFonts w:ascii="Arial Narrow" w:hAnsi="Arial Narrow"/>
          <w:sz w:val="20"/>
          <w:szCs w:val="20"/>
        </w:rPr>
        <w:footnoteReference w:id="5"/>
      </w:r>
      <w:r w:rsidR="00686DAC">
        <w:rPr>
          <w:rFonts w:ascii="Arial Narrow" w:hAnsi="Arial Narrow"/>
          <w:sz w:val="20"/>
          <w:szCs w:val="20"/>
        </w:rPr>
        <w:t>. Des</w:t>
      </w:r>
      <w:r w:rsidR="008679B2">
        <w:rPr>
          <w:rFonts w:ascii="Arial Narrow" w:hAnsi="Arial Narrow"/>
          <w:sz w:val="20"/>
          <w:szCs w:val="20"/>
        </w:rPr>
        <w:t xml:space="preserve"> notes de position</w:t>
      </w:r>
      <w:r w:rsidR="002C6911" w:rsidRPr="002565B4">
        <w:rPr>
          <w:rFonts w:ascii="Arial Narrow" w:hAnsi="Arial Narrow"/>
          <w:sz w:val="20"/>
          <w:szCs w:val="20"/>
        </w:rPr>
        <w:t xml:space="preserve"> virulentes</w:t>
      </w:r>
      <w:r w:rsidR="00FB09B4" w:rsidRPr="002565B4">
        <w:rPr>
          <w:rFonts w:ascii="Arial Narrow" w:hAnsi="Arial Narrow"/>
          <w:sz w:val="20"/>
          <w:szCs w:val="20"/>
        </w:rPr>
        <w:t xml:space="preserve"> </w:t>
      </w:r>
      <w:r w:rsidR="00DF131A">
        <w:rPr>
          <w:rFonts w:ascii="Arial Narrow" w:hAnsi="Arial Narrow"/>
          <w:sz w:val="20"/>
          <w:szCs w:val="20"/>
        </w:rPr>
        <w:t>et de très nombreuses</w:t>
      </w:r>
      <w:r w:rsidR="00686DAC">
        <w:rPr>
          <w:rFonts w:ascii="Arial Narrow" w:hAnsi="Arial Narrow"/>
          <w:sz w:val="20"/>
          <w:szCs w:val="20"/>
        </w:rPr>
        <w:t xml:space="preserve"> tribunes </w:t>
      </w:r>
      <w:r w:rsidR="00DF131A">
        <w:rPr>
          <w:rFonts w:ascii="Arial Narrow" w:hAnsi="Arial Narrow"/>
          <w:sz w:val="20"/>
          <w:szCs w:val="20"/>
        </w:rPr>
        <w:t>ont été publiées</w:t>
      </w:r>
      <w:r w:rsidR="008679B2">
        <w:rPr>
          <w:rFonts w:ascii="Arial Narrow" w:hAnsi="Arial Narrow"/>
          <w:sz w:val="20"/>
          <w:szCs w:val="20"/>
        </w:rPr>
        <w:t xml:space="preserve"> dans la presse</w:t>
      </w:r>
      <w:r w:rsidR="00DF131A">
        <w:rPr>
          <w:rFonts w:ascii="Arial Narrow" w:hAnsi="Arial Narrow"/>
          <w:sz w:val="20"/>
          <w:szCs w:val="20"/>
        </w:rPr>
        <w:t xml:space="preserve"> à propos du texte</w:t>
      </w:r>
      <w:r w:rsidR="007B450F" w:rsidRPr="002565B4">
        <w:rPr>
          <w:rStyle w:val="FootnoteReference"/>
          <w:rFonts w:ascii="Arial Narrow" w:hAnsi="Arial Narrow"/>
          <w:sz w:val="20"/>
          <w:szCs w:val="20"/>
        </w:rPr>
        <w:footnoteReference w:id="6"/>
      </w:r>
      <w:r w:rsidR="002C6911" w:rsidRPr="002565B4">
        <w:rPr>
          <w:rFonts w:ascii="Arial Narrow" w:hAnsi="Arial Narrow"/>
          <w:sz w:val="20"/>
          <w:szCs w:val="20"/>
        </w:rPr>
        <w:t>.</w:t>
      </w:r>
      <w:r w:rsidR="00DF131A">
        <w:rPr>
          <w:rFonts w:ascii="Arial Narrow" w:hAnsi="Arial Narrow"/>
          <w:sz w:val="20"/>
          <w:szCs w:val="20"/>
        </w:rPr>
        <w:t xml:space="preserve"> Les arguments avancés se retrouvaient immanquablement dans les débats parlementai</w:t>
      </w:r>
      <w:r w:rsidR="00FE2372">
        <w:rPr>
          <w:rFonts w:ascii="Arial Narrow" w:hAnsi="Arial Narrow"/>
          <w:sz w:val="20"/>
          <w:szCs w:val="20"/>
        </w:rPr>
        <w:t xml:space="preserve">res, </w:t>
      </w:r>
      <w:r w:rsidR="00DF131A">
        <w:rPr>
          <w:rFonts w:ascii="Arial Narrow" w:hAnsi="Arial Narrow"/>
          <w:sz w:val="20"/>
          <w:szCs w:val="20"/>
        </w:rPr>
        <w:t xml:space="preserve">notamment au niveau du Sénat. </w:t>
      </w:r>
      <w:r w:rsidR="002C6911" w:rsidRPr="002565B4">
        <w:rPr>
          <w:rFonts w:ascii="Arial Narrow" w:hAnsi="Arial Narrow"/>
          <w:sz w:val="20"/>
          <w:szCs w:val="20"/>
        </w:rPr>
        <w:t xml:space="preserve"> </w:t>
      </w:r>
    </w:p>
    <w:p w:rsidR="00AA5B32" w:rsidRPr="002565B4" w:rsidRDefault="0036158C" w:rsidP="00450304">
      <w:pPr>
        <w:pStyle w:val="NormalWeb"/>
        <w:jc w:val="both"/>
        <w:rPr>
          <w:rFonts w:ascii="Arial Narrow" w:hAnsi="Arial Narrow"/>
          <w:sz w:val="20"/>
          <w:szCs w:val="20"/>
        </w:rPr>
      </w:pPr>
      <w:r>
        <w:rPr>
          <w:rFonts w:ascii="Arial Narrow" w:hAnsi="Arial Narrow"/>
          <w:i/>
          <w:sz w:val="20"/>
          <w:szCs w:val="20"/>
        </w:rPr>
        <w:t>-</w:t>
      </w:r>
      <w:r w:rsidR="00F37844">
        <w:rPr>
          <w:rFonts w:ascii="Arial Narrow" w:hAnsi="Arial Narrow"/>
          <w:i/>
          <w:sz w:val="20"/>
          <w:szCs w:val="20"/>
        </w:rPr>
        <w:t xml:space="preserve"> </w:t>
      </w:r>
      <w:r w:rsidR="00787C01">
        <w:rPr>
          <w:rFonts w:ascii="Arial Narrow" w:hAnsi="Arial Narrow"/>
          <w:sz w:val="20"/>
          <w:szCs w:val="20"/>
        </w:rPr>
        <w:t xml:space="preserve">L’adoption </w:t>
      </w:r>
      <w:r w:rsidR="00861CCA" w:rsidRPr="002565B4">
        <w:rPr>
          <w:rFonts w:ascii="Arial Narrow" w:hAnsi="Arial Narrow"/>
          <w:sz w:val="20"/>
          <w:szCs w:val="20"/>
        </w:rPr>
        <w:t xml:space="preserve">finale du texte </w:t>
      </w:r>
      <w:r w:rsidR="00787C01">
        <w:rPr>
          <w:rFonts w:ascii="Arial Narrow" w:hAnsi="Arial Narrow"/>
          <w:sz w:val="20"/>
          <w:szCs w:val="20"/>
        </w:rPr>
        <w:t xml:space="preserve">a eu </w:t>
      </w:r>
      <w:r w:rsidR="00861CCA" w:rsidRPr="002565B4">
        <w:rPr>
          <w:rFonts w:ascii="Arial Narrow" w:hAnsi="Arial Narrow"/>
          <w:sz w:val="20"/>
          <w:szCs w:val="20"/>
        </w:rPr>
        <w:t xml:space="preserve">lieu devant l’Assemblée nationale le 21 février </w:t>
      </w:r>
      <w:r w:rsidR="00787C01">
        <w:rPr>
          <w:rFonts w:ascii="Arial Narrow" w:hAnsi="Arial Narrow"/>
          <w:sz w:val="20"/>
          <w:szCs w:val="20"/>
        </w:rPr>
        <w:t>dernier</w:t>
      </w:r>
      <w:r w:rsidR="00861CCA" w:rsidRPr="002565B4">
        <w:rPr>
          <w:rFonts w:ascii="Arial Narrow" w:hAnsi="Arial Narrow"/>
          <w:sz w:val="20"/>
          <w:szCs w:val="20"/>
        </w:rPr>
        <w:t>.</w:t>
      </w:r>
      <w:r w:rsidR="00861CCA" w:rsidRPr="000A63AC">
        <w:rPr>
          <w:rFonts w:ascii="Arial Narrow" w:hAnsi="Arial Narrow"/>
          <w:sz w:val="20"/>
          <w:szCs w:val="20"/>
        </w:rPr>
        <w:t xml:space="preserve"> </w:t>
      </w:r>
      <w:r w:rsidR="00F3269E">
        <w:rPr>
          <w:rFonts w:ascii="Arial Narrow" w:hAnsi="Arial Narrow"/>
          <w:sz w:val="20"/>
          <w:szCs w:val="20"/>
        </w:rPr>
        <w:t xml:space="preserve">Mais c’est désormais </w:t>
      </w:r>
      <w:r w:rsidR="00F3269E" w:rsidRPr="00787C01">
        <w:rPr>
          <w:rFonts w:ascii="Arial Narrow" w:hAnsi="Arial Narrow"/>
          <w:sz w:val="20"/>
          <w:szCs w:val="20"/>
        </w:rPr>
        <w:t>la menace d’une</w:t>
      </w:r>
      <w:r w:rsidR="001A44A7" w:rsidRPr="00787C01">
        <w:rPr>
          <w:rFonts w:ascii="Arial Narrow" w:hAnsi="Arial Narrow"/>
          <w:sz w:val="20"/>
          <w:szCs w:val="20"/>
        </w:rPr>
        <w:t xml:space="preserve"> inconstitutionnalité</w:t>
      </w:r>
      <w:r w:rsidR="008B6F52">
        <w:rPr>
          <w:rFonts w:ascii="Arial Narrow" w:hAnsi="Arial Narrow"/>
          <w:sz w:val="20"/>
          <w:szCs w:val="20"/>
        </w:rPr>
        <w:t xml:space="preserve"> qui plane sur le texte</w:t>
      </w:r>
      <w:r w:rsidR="001A44A7" w:rsidRPr="002565B4">
        <w:rPr>
          <w:rFonts w:ascii="Arial Narrow" w:hAnsi="Arial Narrow"/>
          <w:sz w:val="20"/>
          <w:szCs w:val="20"/>
        </w:rPr>
        <w:t>.</w:t>
      </w:r>
      <w:r w:rsidR="001A7B40">
        <w:rPr>
          <w:rFonts w:ascii="Arial Narrow" w:hAnsi="Arial Narrow"/>
          <w:sz w:val="20"/>
          <w:szCs w:val="20"/>
        </w:rPr>
        <w:t xml:space="preserve"> La loi a en effet fait l’objet d’une saisine du</w:t>
      </w:r>
      <w:r w:rsidR="00787C01">
        <w:rPr>
          <w:rFonts w:ascii="Arial Narrow" w:hAnsi="Arial Narrow"/>
          <w:sz w:val="20"/>
          <w:szCs w:val="20"/>
        </w:rPr>
        <w:t xml:space="preserve"> Conseil constitutionnel, reprise d’une même voix par les représentants des entreprises. </w:t>
      </w:r>
    </w:p>
    <w:p w:rsidR="00F71C0F" w:rsidRPr="002565B4" w:rsidRDefault="00F71C0F" w:rsidP="00F71C0F">
      <w:pPr>
        <w:pStyle w:val="NormalWeb"/>
        <w:rPr>
          <w:rFonts w:ascii="Arial Narrow" w:hAnsi="Arial Narrow"/>
          <w:sz w:val="20"/>
          <w:szCs w:val="20"/>
          <w:u w:val="single"/>
        </w:rPr>
      </w:pPr>
      <w:r w:rsidRPr="002565B4">
        <w:rPr>
          <w:rFonts w:ascii="Arial Narrow" w:hAnsi="Arial Narrow"/>
          <w:sz w:val="20"/>
          <w:szCs w:val="20"/>
          <w:u w:val="single"/>
        </w:rPr>
        <w:t xml:space="preserve">B) </w:t>
      </w:r>
      <w:r w:rsidR="00132A39">
        <w:rPr>
          <w:rFonts w:ascii="Arial Narrow" w:hAnsi="Arial Narrow"/>
          <w:sz w:val="20"/>
          <w:szCs w:val="20"/>
          <w:u w:val="single"/>
        </w:rPr>
        <w:t>Le dernier obstacle de la loi : le</w:t>
      </w:r>
      <w:r>
        <w:rPr>
          <w:rFonts w:ascii="Arial Narrow" w:hAnsi="Arial Narrow"/>
          <w:sz w:val="20"/>
          <w:szCs w:val="20"/>
          <w:u w:val="single"/>
        </w:rPr>
        <w:t xml:space="preserve"> </w:t>
      </w:r>
      <w:r w:rsidR="00AA20A6">
        <w:rPr>
          <w:rFonts w:ascii="Arial Narrow" w:hAnsi="Arial Narrow"/>
          <w:sz w:val="20"/>
          <w:szCs w:val="20"/>
          <w:u w:val="single"/>
        </w:rPr>
        <w:t>contrôle du C</w:t>
      </w:r>
      <w:r>
        <w:rPr>
          <w:rFonts w:ascii="Arial Narrow" w:hAnsi="Arial Narrow"/>
          <w:sz w:val="20"/>
          <w:szCs w:val="20"/>
          <w:u w:val="single"/>
        </w:rPr>
        <w:t>onseil constitutionnel</w:t>
      </w:r>
      <w:r w:rsidRPr="002565B4">
        <w:rPr>
          <w:rFonts w:ascii="Arial Narrow" w:hAnsi="Arial Narrow"/>
          <w:sz w:val="20"/>
          <w:szCs w:val="20"/>
          <w:u w:val="single"/>
        </w:rPr>
        <w:t xml:space="preserve"> </w:t>
      </w:r>
    </w:p>
    <w:p w:rsidR="00F71C0F" w:rsidRDefault="00EB11CE" w:rsidP="002955E2">
      <w:pPr>
        <w:pStyle w:val="NormalWeb"/>
        <w:jc w:val="both"/>
        <w:rPr>
          <w:rFonts w:ascii="Arial Narrow" w:hAnsi="Arial Narrow"/>
          <w:sz w:val="20"/>
          <w:szCs w:val="20"/>
        </w:rPr>
      </w:pPr>
      <w:r>
        <w:rPr>
          <w:rFonts w:ascii="Arial Narrow" w:hAnsi="Arial Narrow"/>
          <w:sz w:val="20"/>
          <w:szCs w:val="20"/>
        </w:rPr>
        <w:t xml:space="preserve">- </w:t>
      </w:r>
      <w:r w:rsidR="002955E2">
        <w:rPr>
          <w:rFonts w:ascii="Arial Narrow" w:hAnsi="Arial Narrow"/>
          <w:sz w:val="20"/>
          <w:szCs w:val="20"/>
        </w:rPr>
        <w:t>Les dix membres du Conseil</w:t>
      </w:r>
      <w:r w:rsidR="00AA20A6">
        <w:rPr>
          <w:rFonts w:ascii="Arial Narrow" w:hAnsi="Arial Narrow"/>
          <w:sz w:val="20"/>
          <w:szCs w:val="20"/>
        </w:rPr>
        <w:t xml:space="preserve"> constitutionnel (son président Laurent FABIUS, </w:t>
      </w:r>
      <w:r w:rsidR="002955E2" w:rsidRPr="002955E2">
        <w:rPr>
          <w:rFonts w:ascii="Arial Narrow" w:hAnsi="Arial Narrow"/>
          <w:sz w:val="20"/>
          <w:szCs w:val="20"/>
        </w:rPr>
        <w:t>Valé</w:t>
      </w:r>
      <w:r w:rsidR="002955E2">
        <w:rPr>
          <w:rFonts w:ascii="Arial Narrow" w:hAnsi="Arial Narrow"/>
          <w:sz w:val="20"/>
          <w:szCs w:val="20"/>
        </w:rPr>
        <w:t xml:space="preserve">ry GISCARD D'ESTAING, Michel CHARASSE, Claire BAZY MALAURIE, Nicole MAESTRACCI, </w:t>
      </w:r>
      <w:r w:rsidR="002955E2" w:rsidRPr="002955E2">
        <w:rPr>
          <w:rFonts w:ascii="Arial Narrow" w:hAnsi="Arial Narrow"/>
          <w:sz w:val="20"/>
          <w:szCs w:val="20"/>
        </w:rPr>
        <w:t>Nic</w:t>
      </w:r>
      <w:r w:rsidR="002955E2">
        <w:rPr>
          <w:rFonts w:ascii="Arial Narrow" w:hAnsi="Arial Narrow"/>
          <w:sz w:val="20"/>
          <w:szCs w:val="20"/>
        </w:rPr>
        <w:t xml:space="preserve">ole BELLOUBET, Lionel JOSPIN, Jean-Jacques HYEST, </w:t>
      </w:r>
      <w:r w:rsidR="00AA20A6">
        <w:rPr>
          <w:rFonts w:ascii="Arial Narrow" w:hAnsi="Arial Narrow"/>
          <w:sz w:val="20"/>
          <w:szCs w:val="20"/>
        </w:rPr>
        <w:t xml:space="preserve">Michel </w:t>
      </w:r>
      <w:proofErr w:type="spellStart"/>
      <w:r w:rsidR="00AA20A6">
        <w:rPr>
          <w:rFonts w:ascii="Arial Narrow" w:hAnsi="Arial Narrow"/>
          <w:sz w:val="20"/>
          <w:szCs w:val="20"/>
        </w:rPr>
        <w:t>PINAULTet</w:t>
      </w:r>
      <w:proofErr w:type="spellEnd"/>
      <w:r w:rsidR="002955E2">
        <w:rPr>
          <w:rFonts w:ascii="Arial Narrow" w:hAnsi="Arial Narrow"/>
          <w:sz w:val="20"/>
          <w:szCs w:val="20"/>
        </w:rPr>
        <w:t xml:space="preserve"> </w:t>
      </w:r>
      <w:r w:rsidR="002955E2" w:rsidRPr="002955E2">
        <w:rPr>
          <w:rFonts w:ascii="Arial Narrow" w:hAnsi="Arial Narrow"/>
          <w:sz w:val="20"/>
          <w:szCs w:val="20"/>
        </w:rPr>
        <w:t>Corinne LUQUIENS</w:t>
      </w:r>
      <w:r w:rsidR="002955E2">
        <w:rPr>
          <w:rFonts w:ascii="Arial Narrow" w:hAnsi="Arial Narrow"/>
          <w:sz w:val="20"/>
          <w:szCs w:val="20"/>
        </w:rPr>
        <w:t xml:space="preserve">) auront à se prononcer sur la conformité à la constitution de la loi relative </w:t>
      </w:r>
      <w:r w:rsidR="002955E2" w:rsidRPr="002955E2">
        <w:rPr>
          <w:rFonts w:ascii="Arial Narrow" w:hAnsi="Arial Narrow"/>
          <w:sz w:val="20"/>
          <w:szCs w:val="20"/>
        </w:rPr>
        <w:t>au devoir d</w:t>
      </w:r>
      <w:r w:rsidR="002955E2">
        <w:rPr>
          <w:rFonts w:ascii="Arial Narrow" w:hAnsi="Arial Narrow"/>
          <w:sz w:val="20"/>
          <w:szCs w:val="20"/>
        </w:rPr>
        <w:t xml:space="preserve">e vigilance des sociétés mères </w:t>
      </w:r>
      <w:r w:rsidR="002955E2" w:rsidRPr="002955E2">
        <w:rPr>
          <w:rFonts w:ascii="Arial Narrow" w:hAnsi="Arial Narrow"/>
          <w:sz w:val="20"/>
          <w:szCs w:val="20"/>
        </w:rPr>
        <w:t>et des entreprises donneuses d’ordre</w:t>
      </w:r>
      <w:r w:rsidR="001B6A31">
        <w:rPr>
          <w:rFonts w:ascii="Arial Narrow" w:hAnsi="Arial Narrow"/>
          <w:sz w:val="20"/>
          <w:szCs w:val="20"/>
        </w:rPr>
        <w:t xml:space="preserve">. Le Conseil constitutionnel pourra juger que la loi est en partie ou intégralement inconstitutionnelle ou, juger que cette dernière est conforme à la constitution. </w:t>
      </w:r>
    </w:p>
    <w:p w:rsidR="009F1B18" w:rsidRDefault="00EB11CE" w:rsidP="000C2188">
      <w:pPr>
        <w:pStyle w:val="NormalWeb"/>
        <w:jc w:val="both"/>
        <w:rPr>
          <w:rFonts w:ascii="Arial Narrow" w:hAnsi="Arial Narrow"/>
          <w:sz w:val="20"/>
          <w:szCs w:val="20"/>
        </w:rPr>
      </w:pPr>
      <w:r>
        <w:rPr>
          <w:rFonts w:ascii="Arial Narrow" w:hAnsi="Arial Narrow"/>
          <w:sz w:val="20"/>
          <w:szCs w:val="20"/>
        </w:rPr>
        <w:t xml:space="preserve">- </w:t>
      </w:r>
      <w:r w:rsidR="002955E2">
        <w:rPr>
          <w:rFonts w:ascii="Arial Narrow" w:hAnsi="Arial Narrow"/>
          <w:sz w:val="20"/>
          <w:szCs w:val="20"/>
        </w:rPr>
        <w:t>Le Conseil constitutionnel a été saisi le 23 février par 60 députés et 60 sénateurs</w:t>
      </w:r>
      <w:r>
        <w:rPr>
          <w:rFonts w:ascii="Arial Narrow" w:hAnsi="Arial Narrow"/>
          <w:sz w:val="20"/>
          <w:szCs w:val="20"/>
        </w:rPr>
        <w:t xml:space="preserve"> avant la promulgation de la loi, alors même qu’</w:t>
      </w:r>
      <w:r w:rsidR="002955E2">
        <w:rPr>
          <w:rFonts w:ascii="Arial Narrow" w:hAnsi="Arial Narrow"/>
          <w:sz w:val="20"/>
          <w:szCs w:val="20"/>
        </w:rPr>
        <w:t>une seule saisine aurait permis au Conseil constitutionnel de se prononcer</w:t>
      </w:r>
      <w:r>
        <w:rPr>
          <w:rFonts w:ascii="Arial Narrow" w:hAnsi="Arial Narrow"/>
          <w:sz w:val="20"/>
          <w:szCs w:val="20"/>
        </w:rPr>
        <w:t xml:space="preserve"> </w:t>
      </w:r>
      <w:r w:rsidR="002C6344">
        <w:rPr>
          <w:rFonts w:ascii="Arial Narrow" w:hAnsi="Arial Narrow"/>
          <w:sz w:val="20"/>
          <w:szCs w:val="20"/>
        </w:rPr>
        <w:t xml:space="preserve">sur la conformité </w:t>
      </w:r>
      <w:r>
        <w:rPr>
          <w:rFonts w:ascii="Arial Narrow" w:hAnsi="Arial Narrow"/>
          <w:sz w:val="20"/>
          <w:szCs w:val="20"/>
        </w:rPr>
        <w:t>du texte à la Constitution</w:t>
      </w:r>
      <w:r w:rsidR="00703383">
        <w:rPr>
          <w:rFonts w:ascii="Arial Narrow" w:hAnsi="Arial Narrow"/>
          <w:sz w:val="20"/>
          <w:szCs w:val="20"/>
        </w:rPr>
        <w:t xml:space="preserve">, ce qui démontre une fois de plus </w:t>
      </w:r>
      <w:r w:rsidR="00702FB3">
        <w:rPr>
          <w:rFonts w:ascii="Arial Narrow" w:hAnsi="Arial Narrow"/>
          <w:sz w:val="20"/>
          <w:szCs w:val="20"/>
        </w:rPr>
        <w:t xml:space="preserve">l’ampleur de </w:t>
      </w:r>
      <w:r w:rsidR="00703383">
        <w:rPr>
          <w:rFonts w:ascii="Arial Narrow" w:hAnsi="Arial Narrow"/>
          <w:sz w:val="20"/>
          <w:szCs w:val="20"/>
        </w:rPr>
        <w:t>l’opposition à ce texte.</w:t>
      </w:r>
      <w:r w:rsidR="002955E2">
        <w:rPr>
          <w:rFonts w:ascii="Arial Narrow" w:hAnsi="Arial Narrow"/>
          <w:sz w:val="20"/>
          <w:szCs w:val="20"/>
        </w:rPr>
        <w:t xml:space="preserve"> </w:t>
      </w:r>
      <w:r w:rsidR="002C6344">
        <w:rPr>
          <w:rFonts w:ascii="Arial Narrow" w:hAnsi="Arial Narrow"/>
          <w:sz w:val="20"/>
          <w:szCs w:val="20"/>
        </w:rPr>
        <w:t>Le Conseil constitutionnel</w:t>
      </w:r>
      <w:r w:rsidR="002955E2">
        <w:rPr>
          <w:rFonts w:ascii="Arial Narrow" w:hAnsi="Arial Narrow"/>
          <w:sz w:val="20"/>
          <w:szCs w:val="20"/>
        </w:rPr>
        <w:t xml:space="preserve"> doit statuer dans un délai d’un mois.</w:t>
      </w:r>
      <w:r w:rsidR="004F13C6">
        <w:rPr>
          <w:rFonts w:ascii="Arial Narrow" w:hAnsi="Arial Narrow"/>
          <w:sz w:val="20"/>
          <w:szCs w:val="20"/>
        </w:rPr>
        <w:t xml:space="preserve"> </w:t>
      </w:r>
      <w:r w:rsidR="00132A39" w:rsidRPr="00132A39">
        <w:rPr>
          <w:rFonts w:ascii="Arial Narrow" w:hAnsi="Arial Narrow"/>
          <w:sz w:val="20"/>
          <w:szCs w:val="20"/>
        </w:rPr>
        <w:t>L'instruction des affaires est</w:t>
      </w:r>
      <w:r w:rsidR="002C6344">
        <w:rPr>
          <w:rFonts w:ascii="Arial Narrow" w:hAnsi="Arial Narrow"/>
          <w:sz w:val="20"/>
          <w:szCs w:val="20"/>
        </w:rPr>
        <w:t xml:space="preserve"> confiée à un membre du Conseil, </w:t>
      </w:r>
      <w:r w:rsidR="00132A39" w:rsidRPr="00132A39">
        <w:rPr>
          <w:rFonts w:ascii="Arial Narrow" w:hAnsi="Arial Narrow"/>
          <w:sz w:val="20"/>
          <w:szCs w:val="20"/>
        </w:rPr>
        <w:t>désigné comme rapporteur par le président</w:t>
      </w:r>
      <w:r w:rsidR="00703383">
        <w:rPr>
          <w:rFonts w:ascii="Arial Narrow" w:hAnsi="Arial Narrow"/>
          <w:sz w:val="20"/>
          <w:szCs w:val="20"/>
        </w:rPr>
        <w:t xml:space="preserve"> du Conseil</w:t>
      </w:r>
      <w:r w:rsidR="009F1B18">
        <w:rPr>
          <w:rFonts w:ascii="Arial Narrow" w:hAnsi="Arial Narrow"/>
          <w:sz w:val="20"/>
          <w:szCs w:val="20"/>
        </w:rPr>
        <w:t xml:space="preserve"> constitutionnel. La nomination du rapporteur est importante car ce dernier oriente les débats sur la conformité à la Constitution du texte déféré. Par exemple, la d</w:t>
      </w:r>
      <w:r w:rsidR="009F1B18" w:rsidRPr="00EB11CE">
        <w:rPr>
          <w:rFonts w:ascii="Arial Narrow" w:hAnsi="Arial Narrow"/>
          <w:sz w:val="20"/>
          <w:szCs w:val="20"/>
        </w:rPr>
        <w:t>écision</w:t>
      </w:r>
      <w:r w:rsidR="009F1B18">
        <w:rPr>
          <w:rFonts w:ascii="Arial Narrow" w:hAnsi="Arial Narrow"/>
          <w:sz w:val="20"/>
          <w:szCs w:val="20"/>
        </w:rPr>
        <w:t xml:space="preserve"> du Conseil constitutionnel</w:t>
      </w:r>
      <w:r w:rsidR="009F1B18" w:rsidRPr="00EB11CE">
        <w:rPr>
          <w:rFonts w:ascii="Arial Narrow" w:hAnsi="Arial Narrow"/>
          <w:sz w:val="20"/>
          <w:szCs w:val="20"/>
        </w:rPr>
        <w:t xml:space="preserve"> sur la loi relative à la transparence, à la lutte contre la corruption et à la modernisation de la vie économique</w:t>
      </w:r>
      <w:r w:rsidR="009F1B18">
        <w:rPr>
          <w:rFonts w:ascii="Arial Narrow" w:hAnsi="Arial Narrow"/>
          <w:sz w:val="20"/>
          <w:szCs w:val="20"/>
        </w:rPr>
        <w:t xml:space="preserve"> (« Loi Sapin II ») avait entrainé une censure du dispositif de </w:t>
      </w:r>
      <w:r w:rsidR="009F1B18" w:rsidRPr="00EB11CE">
        <w:rPr>
          <w:rFonts w:ascii="Arial Narrow" w:hAnsi="Arial Narrow"/>
          <w:sz w:val="20"/>
          <w:szCs w:val="20"/>
        </w:rPr>
        <w:t xml:space="preserve">reporting </w:t>
      </w:r>
      <w:r w:rsidR="009F1B18" w:rsidRPr="00EB11CE">
        <w:rPr>
          <w:rFonts w:ascii="Arial Narrow" w:hAnsi="Arial Narrow" w:cs="Arial Narrow"/>
          <w:sz w:val="20"/>
          <w:szCs w:val="20"/>
        </w:rPr>
        <w:t>«</w:t>
      </w:r>
      <w:r w:rsidR="009F1B18" w:rsidRPr="00EB11CE">
        <w:rPr>
          <w:rFonts w:ascii="Arial" w:hAnsi="Arial" w:cs="Arial"/>
          <w:sz w:val="20"/>
          <w:szCs w:val="20"/>
        </w:rPr>
        <w:t> </w:t>
      </w:r>
      <w:r w:rsidR="009F1B18" w:rsidRPr="00EB11CE">
        <w:rPr>
          <w:rFonts w:ascii="Arial Narrow" w:hAnsi="Arial Narrow"/>
          <w:sz w:val="20"/>
          <w:szCs w:val="20"/>
        </w:rPr>
        <w:t>pays par pays</w:t>
      </w:r>
      <w:r w:rsidR="009F1B18" w:rsidRPr="00EB11CE">
        <w:rPr>
          <w:rFonts w:ascii="Arial" w:hAnsi="Arial" w:cs="Arial"/>
          <w:sz w:val="20"/>
          <w:szCs w:val="20"/>
        </w:rPr>
        <w:t> </w:t>
      </w:r>
      <w:r w:rsidR="009F1B18" w:rsidRPr="00EB11CE">
        <w:rPr>
          <w:rFonts w:ascii="Arial Narrow" w:hAnsi="Arial Narrow" w:cs="Arial Narrow"/>
          <w:sz w:val="20"/>
          <w:szCs w:val="20"/>
        </w:rPr>
        <w:t>»</w:t>
      </w:r>
      <w:r w:rsidR="009F1B18">
        <w:rPr>
          <w:rFonts w:ascii="Arial Narrow" w:hAnsi="Arial Narrow"/>
          <w:sz w:val="20"/>
          <w:szCs w:val="20"/>
        </w:rPr>
        <w:t xml:space="preserve">, </w:t>
      </w:r>
      <w:r w:rsidR="009F1B18" w:rsidRPr="00EB11CE">
        <w:rPr>
          <w:rFonts w:ascii="Arial Narrow" w:hAnsi="Arial Narrow"/>
          <w:sz w:val="20"/>
          <w:szCs w:val="20"/>
        </w:rPr>
        <w:t>jug</w:t>
      </w:r>
      <w:r w:rsidR="009F1B18" w:rsidRPr="00EB11CE">
        <w:rPr>
          <w:rFonts w:ascii="Arial Narrow" w:hAnsi="Arial Narrow" w:cs="Arial Narrow"/>
          <w:sz w:val="20"/>
          <w:szCs w:val="20"/>
        </w:rPr>
        <w:t>é</w:t>
      </w:r>
      <w:r w:rsidR="009F1B18" w:rsidRPr="00EB11CE">
        <w:rPr>
          <w:rFonts w:ascii="Arial Narrow" w:hAnsi="Arial Narrow"/>
          <w:sz w:val="20"/>
          <w:szCs w:val="20"/>
        </w:rPr>
        <w:t xml:space="preserve">e contraire </w:t>
      </w:r>
      <w:r w:rsidR="009F1B18" w:rsidRPr="00EB11CE">
        <w:rPr>
          <w:rFonts w:ascii="Arial Narrow" w:hAnsi="Arial Narrow" w:cs="Arial Narrow"/>
          <w:sz w:val="20"/>
          <w:szCs w:val="20"/>
        </w:rPr>
        <w:t>à</w:t>
      </w:r>
      <w:r w:rsidR="009F1B18" w:rsidRPr="00EB11CE">
        <w:rPr>
          <w:rFonts w:ascii="Arial Narrow" w:hAnsi="Arial Narrow"/>
          <w:sz w:val="20"/>
          <w:szCs w:val="20"/>
        </w:rPr>
        <w:t xml:space="preserve"> la libert</w:t>
      </w:r>
      <w:r w:rsidR="009F1B18" w:rsidRPr="00EB11CE">
        <w:rPr>
          <w:rFonts w:ascii="Arial Narrow" w:hAnsi="Arial Narrow" w:cs="Arial Narrow"/>
          <w:sz w:val="20"/>
          <w:szCs w:val="20"/>
        </w:rPr>
        <w:t>é</w:t>
      </w:r>
      <w:r w:rsidR="009F1B18" w:rsidRPr="00EB11CE">
        <w:rPr>
          <w:rFonts w:ascii="Arial Narrow" w:hAnsi="Arial Narrow"/>
          <w:sz w:val="20"/>
          <w:szCs w:val="20"/>
        </w:rPr>
        <w:t xml:space="preserve"> d</w:t>
      </w:r>
      <w:r w:rsidR="009F1B18" w:rsidRPr="00EB11CE">
        <w:rPr>
          <w:rFonts w:ascii="Arial Narrow" w:hAnsi="Arial Narrow" w:cs="Arial Narrow"/>
          <w:sz w:val="20"/>
          <w:szCs w:val="20"/>
        </w:rPr>
        <w:t>’</w:t>
      </w:r>
      <w:r w:rsidR="009F1B18">
        <w:rPr>
          <w:rFonts w:ascii="Arial Narrow" w:hAnsi="Arial Narrow"/>
          <w:sz w:val="20"/>
          <w:szCs w:val="20"/>
        </w:rPr>
        <w:t>entreprendre.</w:t>
      </w:r>
      <w:r w:rsidR="009F1B18">
        <w:rPr>
          <w:rStyle w:val="FootnoteReference"/>
          <w:rFonts w:ascii="Arial Narrow" w:hAnsi="Arial Narrow"/>
          <w:sz w:val="20"/>
          <w:szCs w:val="20"/>
        </w:rPr>
        <w:footnoteReference w:id="7"/>
      </w:r>
    </w:p>
    <w:p w:rsidR="00AA20A6" w:rsidRDefault="009F1B18" w:rsidP="000C2188">
      <w:pPr>
        <w:pStyle w:val="NormalWeb"/>
        <w:jc w:val="both"/>
        <w:rPr>
          <w:rFonts w:ascii="Arial Narrow" w:hAnsi="Arial Narrow"/>
          <w:sz w:val="20"/>
          <w:szCs w:val="20"/>
        </w:rPr>
      </w:pPr>
      <w:r>
        <w:rPr>
          <w:rFonts w:ascii="Arial Narrow" w:hAnsi="Arial Narrow"/>
          <w:sz w:val="20"/>
          <w:szCs w:val="20"/>
        </w:rPr>
        <w:t xml:space="preserve">- </w:t>
      </w:r>
      <w:r w:rsidR="00132A39" w:rsidRPr="00132A39">
        <w:rPr>
          <w:rFonts w:ascii="Arial Narrow" w:hAnsi="Arial Narrow"/>
          <w:sz w:val="20"/>
          <w:szCs w:val="20"/>
        </w:rPr>
        <w:t>La procédure est contradictoire et écrite</w:t>
      </w:r>
      <w:r w:rsidR="00EB11CE">
        <w:rPr>
          <w:rFonts w:ascii="Arial Narrow" w:hAnsi="Arial Narrow"/>
          <w:sz w:val="20"/>
          <w:szCs w:val="20"/>
        </w:rPr>
        <w:t xml:space="preserve"> et l</w:t>
      </w:r>
      <w:r w:rsidR="00132A39" w:rsidRPr="00132A39">
        <w:rPr>
          <w:rFonts w:ascii="Arial Narrow" w:hAnsi="Arial Narrow"/>
          <w:sz w:val="20"/>
          <w:szCs w:val="20"/>
        </w:rPr>
        <w:t>e Conseil ne siège et ne juge qu'en formation plénière. Ses décisions et avis sont rendus par sept conseillers au moins (règle de quorum). En cas de partage, la voix du président est prépondérante. Il n'y a pa</w:t>
      </w:r>
      <w:r>
        <w:rPr>
          <w:rFonts w:ascii="Arial Narrow" w:hAnsi="Arial Narrow"/>
          <w:sz w:val="20"/>
          <w:szCs w:val="20"/>
        </w:rPr>
        <w:t>s d'opinion dissidente possible, la décision est présentée comme étant celle de l’entièreté de ses membres.</w:t>
      </w:r>
      <w:r w:rsidR="00132A39" w:rsidRPr="00132A39">
        <w:rPr>
          <w:rFonts w:ascii="Arial Narrow" w:hAnsi="Arial Narrow"/>
          <w:sz w:val="20"/>
          <w:szCs w:val="20"/>
        </w:rPr>
        <w:t xml:space="preserve"> Contrairement aux audiences, les délibér</w:t>
      </w:r>
      <w:r w:rsidR="00EB11CE">
        <w:rPr>
          <w:rFonts w:ascii="Arial Narrow" w:hAnsi="Arial Narrow"/>
          <w:sz w:val="20"/>
          <w:szCs w:val="20"/>
        </w:rPr>
        <w:t>és et votes ne sont pas publics.</w:t>
      </w:r>
    </w:p>
    <w:p w:rsidR="002C6299" w:rsidRDefault="001B6A31" w:rsidP="000C2188">
      <w:pPr>
        <w:pStyle w:val="NormalWeb"/>
        <w:jc w:val="both"/>
        <w:rPr>
          <w:rFonts w:ascii="Arial Narrow" w:hAnsi="Arial Narrow"/>
          <w:sz w:val="20"/>
          <w:szCs w:val="20"/>
        </w:rPr>
      </w:pPr>
      <w:r>
        <w:rPr>
          <w:rFonts w:ascii="Arial Narrow" w:hAnsi="Arial Narrow"/>
          <w:sz w:val="20"/>
          <w:szCs w:val="20"/>
        </w:rPr>
        <w:t>- Cependant, les procédures devant le Conseil constitut</w:t>
      </w:r>
      <w:r w:rsidR="00FE5913">
        <w:rPr>
          <w:rFonts w:ascii="Arial Narrow" w:hAnsi="Arial Narrow"/>
          <w:sz w:val="20"/>
          <w:szCs w:val="20"/>
        </w:rPr>
        <w:t xml:space="preserve">ionnel demeurent opaques. </w:t>
      </w:r>
      <w:r w:rsidR="00911D70">
        <w:rPr>
          <w:rFonts w:ascii="Arial Narrow" w:hAnsi="Arial Narrow"/>
          <w:sz w:val="20"/>
          <w:szCs w:val="20"/>
        </w:rPr>
        <w:t>Ainsi</w:t>
      </w:r>
      <w:r w:rsidR="00FE5913">
        <w:rPr>
          <w:rFonts w:ascii="Arial Narrow" w:hAnsi="Arial Narrow"/>
          <w:sz w:val="20"/>
          <w:szCs w:val="20"/>
        </w:rPr>
        <w:t xml:space="preserve">, la </w:t>
      </w:r>
      <w:r w:rsidR="009431C0">
        <w:rPr>
          <w:rFonts w:ascii="Arial Narrow" w:hAnsi="Arial Narrow"/>
          <w:sz w:val="20"/>
          <w:szCs w:val="20"/>
        </w:rPr>
        <w:t>« </w:t>
      </w:r>
      <w:r w:rsidR="00FE5913">
        <w:rPr>
          <w:rFonts w:ascii="Arial Narrow" w:hAnsi="Arial Narrow"/>
          <w:sz w:val="20"/>
          <w:szCs w:val="20"/>
        </w:rPr>
        <w:t>porte étroite</w:t>
      </w:r>
      <w:r w:rsidR="009431C0">
        <w:rPr>
          <w:rFonts w:ascii="Arial Narrow" w:hAnsi="Arial Narrow"/>
          <w:sz w:val="20"/>
          <w:szCs w:val="20"/>
        </w:rPr>
        <w:t xml:space="preserve"> » </w:t>
      </w:r>
      <w:r w:rsidR="00FE5913">
        <w:rPr>
          <w:rFonts w:ascii="Arial Narrow" w:hAnsi="Arial Narrow"/>
          <w:sz w:val="20"/>
          <w:szCs w:val="20"/>
        </w:rPr>
        <w:t>ne peut s’apparenter à une procédure classique d’</w:t>
      </w:r>
      <w:proofErr w:type="spellStart"/>
      <w:r w:rsidR="00FE5913" w:rsidRPr="00FE5913">
        <w:rPr>
          <w:rFonts w:ascii="Arial Narrow" w:hAnsi="Arial Narrow"/>
          <w:i/>
          <w:sz w:val="20"/>
          <w:szCs w:val="20"/>
        </w:rPr>
        <w:t>amicus</w:t>
      </w:r>
      <w:proofErr w:type="spellEnd"/>
      <w:r w:rsidR="00FE5913" w:rsidRPr="00FE5913">
        <w:rPr>
          <w:rFonts w:ascii="Arial Narrow" w:hAnsi="Arial Narrow"/>
          <w:i/>
          <w:sz w:val="20"/>
          <w:szCs w:val="20"/>
        </w:rPr>
        <w:t xml:space="preserve"> </w:t>
      </w:r>
      <w:proofErr w:type="spellStart"/>
      <w:r w:rsidR="00FE5913" w:rsidRPr="00FE5913">
        <w:rPr>
          <w:rFonts w:ascii="Arial Narrow" w:hAnsi="Arial Narrow"/>
          <w:i/>
          <w:sz w:val="20"/>
          <w:szCs w:val="20"/>
        </w:rPr>
        <w:t>curiae</w:t>
      </w:r>
      <w:proofErr w:type="spellEnd"/>
      <w:r w:rsidR="009431C0">
        <w:rPr>
          <w:rFonts w:ascii="Arial Narrow" w:hAnsi="Arial Narrow"/>
          <w:i/>
          <w:sz w:val="20"/>
          <w:szCs w:val="20"/>
        </w:rPr>
        <w:t>,</w:t>
      </w:r>
      <w:r w:rsidR="00FE5913">
        <w:rPr>
          <w:rFonts w:ascii="Arial Narrow" w:hAnsi="Arial Narrow"/>
          <w:sz w:val="20"/>
          <w:szCs w:val="20"/>
        </w:rPr>
        <w:t xml:space="preserve"> puisqu’une telle procédure n’est pas prévu</w:t>
      </w:r>
      <w:r w:rsidR="00911D70">
        <w:rPr>
          <w:rFonts w:ascii="Arial Narrow" w:hAnsi="Arial Narrow"/>
          <w:sz w:val="20"/>
          <w:szCs w:val="20"/>
        </w:rPr>
        <w:t>e</w:t>
      </w:r>
      <w:r w:rsidR="00FE5913">
        <w:rPr>
          <w:rFonts w:ascii="Arial Narrow" w:hAnsi="Arial Narrow"/>
          <w:sz w:val="20"/>
          <w:szCs w:val="20"/>
        </w:rPr>
        <w:t xml:space="preserve"> par le règlement du Conseil constitutionnel.</w:t>
      </w:r>
      <w:r w:rsidR="002C6299">
        <w:rPr>
          <w:rFonts w:ascii="Arial Narrow" w:hAnsi="Arial Narrow"/>
          <w:sz w:val="20"/>
          <w:szCs w:val="20"/>
        </w:rPr>
        <w:t xml:space="preserve"> Il s’agit d’une procédure informelle et la prise en compte de la « porte étroite » n’est pas garantie. De plus, l’identité du rapporteur n’est jamais rendue public tout comme les </w:t>
      </w:r>
      <w:r w:rsidR="009431C0">
        <w:rPr>
          <w:rFonts w:ascii="Arial Narrow" w:hAnsi="Arial Narrow"/>
          <w:sz w:val="20"/>
          <w:szCs w:val="20"/>
        </w:rPr>
        <w:t>voix minoritaires des sages. Ces lacunes de procédures tendent à faire du Conseil constitutionnel un organe politique et non juridique. Cette critique est d’ailleurs illustrée par sa composition, puisque la nomination de ses membres est souvent le fruit de considérations politiques plus que juridiques.</w:t>
      </w:r>
    </w:p>
    <w:p w:rsidR="00A53B3E" w:rsidRPr="00AD0B7E" w:rsidRDefault="00A53B3E" w:rsidP="00A53B3E">
      <w:pPr>
        <w:pStyle w:val="NormalWeb"/>
        <w:jc w:val="both"/>
        <w:rPr>
          <w:rFonts w:ascii="Arial Narrow" w:hAnsi="Arial Narrow"/>
          <w:b/>
          <w:sz w:val="20"/>
          <w:szCs w:val="20"/>
          <w:u w:val="single"/>
        </w:rPr>
      </w:pPr>
      <w:r w:rsidRPr="00AD0B7E">
        <w:rPr>
          <w:rFonts w:ascii="Arial Narrow" w:hAnsi="Arial Narrow"/>
          <w:b/>
          <w:sz w:val="20"/>
          <w:szCs w:val="20"/>
          <w:u w:val="single"/>
        </w:rPr>
        <w:lastRenderedPageBreak/>
        <w:t xml:space="preserve">II- </w:t>
      </w:r>
      <w:bookmarkStart w:id="5" w:name="_GoBack"/>
      <w:r w:rsidRPr="00AD0B7E">
        <w:rPr>
          <w:rFonts w:ascii="Arial Narrow" w:hAnsi="Arial Narrow"/>
          <w:b/>
          <w:sz w:val="20"/>
          <w:szCs w:val="20"/>
          <w:u w:val="single"/>
        </w:rPr>
        <w:t>L’instrumentalisation du raisonnement constitutionnel contre la proposition de loi devoir de vigilance</w:t>
      </w:r>
      <w:bookmarkEnd w:id="5"/>
      <w:r w:rsidRPr="00AD0B7E">
        <w:rPr>
          <w:rFonts w:ascii="Arial Narrow" w:hAnsi="Arial Narrow"/>
          <w:b/>
          <w:sz w:val="20"/>
          <w:szCs w:val="20"/>
          <w:u w:val="single"/>
        </w:rPr>
        <w:t xml:space="preserve">.   </w:t>
      </w:r>
    </w:p>
    <w:p w:rsidR="00A53B3E" w:rsidRPr="00B360D3" w:rsidRDefault="00A53B3E" w:rsidP="00A53B3E">
      <w:pPr>
        <w:pStyle w:val="NormalWeb"/>
        <w:ind w:firstLine="708"/>
        <w:contextualSpacing/>
        <w:jc w:val="both"/>
        <w:rPr>
          <w:rFonts w:ascii="Arial Narrow" w:hAnsi="Arial Narrow"/>
          <w:b/>
          <w:sz w:val="20"/>
          <w:szCs w:val="20"/>
        </w:rPr>
      </w:pPr>
      <w:r w:rsidRPr="00FB2EF6">
        <w:rPr>
          <w:rFonts w:ascii="Arial Narrow" w:hAnsi="Arial Narrow"/>
          <w:sz w:val="20"/>
          <w:szCs w:val="20"/>
        </w:rPr>
        <w:t>Les critiques des parlementaires</w:t>
      </w:r>
      <w:r w:rsidR="00F44501">
        <w:rPr>
          <w:rFonts w:ascii="Arial Narrow" w:hAnsi="Arial Narrow"/>
          <w:sz w:val="20"/>
          <w:szCs w:val="20"/>
        </w:rPr>
        <w:t>, qui</w:t>
      </w:r>
      <w:r w:rsidR="00F44501" w:rsidRPr="00FB2EF6">
        <w:rPr>
          <w:rFonts w:ascii="Arial Narrow" w:hAnsi="Arial Narrow"/>
          <w:sz w:val="20"/>
          <w:szCs w:val="20"/>
        </w:rPr>
        <w:t xml:space="preserve"> portent</w:t>
      </w:r>
      <w:r w:rsidRPr="00FB2EF6">
        <w:rPr>
          <w:rFonts w:ascii="Arial Narrow" w:hAnsi="Arial Narrow"/>
          <w:sz w:val="20"/>
          <w:szCs w:val="20"/>
        </w:rPr>
        <w:t xml:space="preserve"> sur des aspects aussi bien formels (A) que substantiels (B)</w:t>
      </w:r>
      <w:r w:rsidR="00F44501">
        <w:rPr>
          <w:rFonts w:ascii="Arial Narrow" w:hAnsi="Arial Narrow"/>
          <w:sz w:val="20"/>
          <w:szCs w:val="20"/>
        </w:rPr>
        <w:t xml:space="preserve"> manquent néanmoins de </w:t>
      </w:r>
      <w:r w:rsidR="00CB7052">
        <w:rPr>
          <w:rFonts w:ascii="Arial Narrow" w:hAnsi="Arial Narrow"/>
          <w:sz w:val="20"/>
          <w:szCs w:val="20"/>
        </w:rPr>
        <w:t>fondements juridiques solides</w:t>
      </w:r>
      <w:r w:rsidRPr="00FB2EF6">
        <w:rPr>
          <w:rFonts w:ascii="Arial Narrow" w:hAnsi="Arial Narrow"/>
          <w:sz w:val="20"/>
          <w:szCs w:val="20"/>
        </w:rPr>
        <w:t>.</w:t>
      </w:r>
    </w:p>
    <w:p w:rsidR="00A53B3E" w:rsidRPr="00FB2EF6" w:rsidRDefault="00A53B3E" w:rsidP="00A53B3E">
      <w:pPr>
        <w:shd w:val="clear" w:color="auto" w:fill="FFFFFF"/>
        <w:spacing w:before="100" w:beforeAutospacing="1" w:after="100" w:afterAutospacing="1" w:line="240" w:lineRule="auto"/>
        <w:contextualSpacing/>
        <w:jc w:val="both"/>
        <w:rPr>
          <w:rFonts w:ascii="Arial Narrow" w:eastAsia="Times New Roman" w:hAnsi="Arial Narrow"/>
          <w:sz w:val="20"/>
          <w:szCs w:val="20"/>
          <w:u w:val="single"/>
        </w:rPr>
      </w:pPr>
      <w:r w:rsidRPr="00FB2EF6">
        <w:rPr>
          <w:rFonts w:ascii="Arial Narrow" w:eastAsia="Times New Roman" w:hAnsi="Arial Narrow"/>
          <w:sz w:val="20"/>
          <w:szCs w:val="20"/>
          <w:u w:val="single"/>
        </w:rPr>
        <w:t xml:space="preserve">A) Critiques des sénateurs et des députés sur les aspects formels de la loi </w:t>
      </w:r>
    </w:p>
    <w:p w:rsidR="00A53B3E" w:rsidRPr="00B360D3" w:rsidRDefault="00A53B3E" w:rsidP="00A53B3E">
      <w:pPr>
        <w:shd w:val="clear" w:color="auto" w:fill="FFFFFF"/>
        <w:spacing w:before="100" w:beforeAutospacing="1" w:after="100" w:afterAutospacing="1" w:line="240" w:lineRule="auto"/>
        <w:contextualSpacing/>
        <w:jc w:val="both"/>
        <w:rPr>
          <w:rFonts w:ascii="Arial Narrow" w:eastAsia="Times New Roman" w:hAnsi="Arial Narrow"/>
          <w:sz w:val="20"/>
          <w:szCs w:val="20"/>
        </w:rPr>
      </w:pPr>
    </w:p>
    <w:p w:rsidR="00A53B3E" w:rsidRPr="00B360D3" w:rsidRDefault="00A53B3E" w:rsidP="00A53B3E">
      <w:pPr>
        <w:shd w:val="clear" w:color="auto" w:fill="FFFFFF"/>
        <w:spacing w:before="100" w:beforeAutospacing="1" w:after="100" w:afterAutospacing="1" w:line="240" w:lineRule="auto"/>
        <w:contextualSpacing/>
        <w:jc w:val="both"/>
        <w:rPr>
          <w:rFonts w:ascii="Arial Narrow" w:eastAsia="Times New Roman" w:hAnsi="Arial Narrow"/>
          <w:sz w:val="20"/>
          <w:szCs w:val="20"/>
        </w:rPr>
      </w:pPr>
      <w:r w:rsidRPr="00B360D3">
        <w:rPr>
          <w:rFonts w:ascii="Arial Narrow" w:eastAsia="Times New Roman" w:hAnsi="Arial Narrow"/>
          <w:sz w:val="20"/>
          <w:szCs w:val="20"/>
        </w:rPr>
        <w:t xml:space="preserve">- Selon les parlementaires, dans sa rédaction la </w:t>
      </w:r>
      <w:r w:rsidR="00F44501" w:rsidRPr="00B360D3">
        <w:rPr>
          <w:rFonts w:ascii="Arial Narrow" w:eastAsia="Times New Roman" w:hAnsi="Arial Narrow"/>
          <w:sz w:val="20"/>
          <w:szCs w:val="20"/>
        </w:rPr>
        <w:t xml:space="preserve">loi </w:t>
      </w:r>
      <w:r w:rsidR="00F44501" w:rsidRPr="00B360D3">
        <w:rPr>
          <w:rFonts w:ascii="Arial Narrow" w:eastAsia="Times New Roman" w:hAnsi="Arial Narrow"/>
          <w:b/>
          <w:sz w:val="20"/>
          <w:szCs w:val="20"/>
        </w:rPr>
        <w:t>ne contiendrait</w:t>
      </w:r>
      <w:r w:rsidRPr="00B360D3">
        <w:rPr>
          <w:rFonts w:ascii="Arial Narrow" w:eastAsia="Times New Roman" w:hAnsi="Arial Narrow"/>
          <w:b/>
          <w:sz w:val="20"/>
          <w:szCs w:val="20"/>
        </w:rPr>
        <w:t xml:space="preserve"> pas moins de</w:t>
      </w:r>
      <w:r w:rsidRPr="00B360D3">
        <w:rPr>
          <w:rFonts w:ascii="Arial Narrow" w:eastAsia="Times New Roman" w:hAnsi="Arial Narrow"/>
          <w:sz w:val="20"/>
          <w:szCs w:val="20"/>
        </w:rPr>
        <w:t xml:space="preserve"> </w:t>
      </w:r>
      <w:r w:rsidRPr="00B360D3">
        <w:rPr>
          <w:rFonts w:ascii="Arial Narrow" w:eastAsia="Times New Roman" w:hAnsi="Arial Narrow"/>
          <w:b/>
          <w:sz w:val="20"/>
          <w:szCs w:val="20"/>
        </w:rPr>
        <w:t xml:space="preserve">neufs </w:t>
      </w:r>
      <w:r w:rsidR="00F44501">
        <w:rPr>
          <w:rFonts w:ascii="Arial Narrow" w:eastAsia="Times New Roman" w:hAnsi="Arial Narrow"/>
          <w:b/>
          <w:sz w:val="20"/>
          <w:szCs w:val="20"/>
        </w:rPr>
        <w:t xml:space="preserve">expressions et termes </w:t>
      </w:r>
      <w:r w:rsidRPr="00B360D3">
        <w:rPr>
          <w:rFonts w:ascii="Arial Narrow" w:eastAsia="Times New Roman" w:hAnsi="Arial Narrow"/>
          <w:b/>
          <w:sz w:val="20"/>
          <w:szCs w:val="20"/>
        </w:rPr>
        <w:t>imprécis ou ambigus</w:t>
      </w:r>
      <w:r w:rsidR="00F44501">
        <w:rPr>
          <w:rFonts w:ascii="Arial Narrow" w:eastAsia="Times New Roman" w:hAnsi="Arial Narrow"/>
          <w:sz w:val="20"/>
          <w:szCs w:val="20"/>
        </w:rPr>
        <w:t xml:space="preserve">. Elle </w:t>
      </w:r>
      <w:r w:rsidRPr="00B360D3">
        <w:rPr>
          <w:rFonts w:ascii="Arial Narrow" w:eastAsia="Times New Roman" w:hAnsi="Arial Narrow"/>
          <w:sz w:val="20"/>
          <w:szCs w:val="20"/>
        </w:rPr>
        <w:t>méconnaîtrait ainsi l’</w:t>
      </w:r>
      <w:r w:rsidRPr="00B360D3">
        <w:rPr>
          <w:rFonts w:ascii="Arial Narrow" w:eastAsia="Times New Roman" w:hAnsi="Arial Narrow"/>
          <w:b/>
          <w:sz w:val="20"/>
          <w:szCs w:val="20"/>
        </w:rPr>
        <w:t>objectif de valeur constitutionnelle d’accessibilité et d’intelligibilité de la loi ainsi que le principe de légalité criminelle</w:t>
      </w:r>
      <w:r w:rsidRPr="00B360D3">
        <w:rPr>
          <w:rFonts w:ascii="Arial Narrow" w:eastAsia="Times New Roman" w:hAnsi="Arial Narrow"/>
          <w:sz w:val="20"/>
          <w:szCs w:val="20"/>
        </w:rPr>
        <w:t xml:space="preserve"> qui exige lui aussi </w:t>
      </w:r>
      <w:r w:rsidR="00F44501">
        <w:rPr>
          <w:rFonts w:ascii="Arial Narrow" w:eastAsia="Times New Roman" w:hAnsi="Arial Narrow"/>
          <w:sz w:val="20"/>
          <w:szCs w:val="20"/>
        </w:rPr>
        <w:t>une rédaction claire de la loi</w:t>
      </w:r>
      <w:r w:rsidRPr="00B360D3">
        <w:rPr>
          <w:rFonts w:ascii="Arial Narrow" w:eastAsia="Times New Roman" w:hAnsi="Arial Narrow"/>
          <w:sz w:val="20"/>
          <w:szCs w:val="20"/>
        </w:rPr>
        <w:t xml:space="preserve"> pour assurer la sécurité juridique des personnes</w:t>
      </w:r>
      <w:r w:rsidR="00F44501">
        <w:rPr>
          <w:rFonts w:ascii="Arial Narrow" w:eastAsia="Times New Roman" w:hAnsi="Arial Narrow"/>
          <w:sz w:val="20"/>
          <w:szCs w:val="20"/>
        </w:rPr>
        <w:t xml:space="preserve"> </w:t>
      </w:r>
      <w:r w:rsidRPr="00B360D3">
        <w:rPr>
          <w:rFonts w:ascii="Arial Narrow" w:eastAsia="Times New Roman" w:hAnsi="Arial Narrow"/>
          <w:sz w:val="20"/>
          <w:szCs w:val="20"/>
        </w:rPr>
        <w:t xml:space="preserve">visées. </w:t>
      </w:r>
    </w:p>
    <w:p w:rsidR="00A53B3E" w:rsidRPr="00B360D3" w:rsidRDefault="00A53B3E" w:rsidP="00A53B3E">
      <w:pPr>
        <w:shd w:val="clear" w:color="auto" w:fill="FFFFFF"/>
        <w:spacing w:before="100" w:beforeAutospacing="1" w:after="100" w:afterAutospacing="1" w:line="240" w:lineRule="auto"/>
        <w:contextualSpacing/>
        <w:jc w:val="both"/>
        <w:rPr>
          <w:rFonts w:ascii="Arial Narrow" w:eastAsia="Times New Roman" w:hAnsi="Arial Narrow"/>
          <w:sz w:val="20"/>
          <w:szCs w:val="20"/>
        </w:rPr>
      </w:pPr>
    </w:p>
    <w:p w:rsidR="00A53B3E" w:rsidRPr="00B360D3" w:rsidRDefault="00A53B3E" w:rsidP="00A53B3E">
      <w:pPr>
        <w:shd w:val="clear" w:color="auto" w:fill="FFFFFF"/>
        <w:spacing w:before="100" w:beforeAutospacing="1" w:after="100" w:afterAutospacing="1" w:line="240" w:lineRule="auto"/>
        <w:contextualSpacing/>
        <w:jc w:val="both"/>
        <w:rPr>
          <w:rFonts w:ascii="Arial Narrow" w:eastAsia="Times New Roman" w:hAnsi="Arial Narrow"/>
          <w:sz w:val="20"/>
          <w:szCs w:val="20"/>
        </w:rPr>
      </w:pPr>
      <w:r w:rsidRPr="00B360D3">
        <w:rPr>
          <w:rFonts w:ascii="Arial Narrow" w:eastAsia="Times New Roman" w:hAnsi="Arial Narrow"/>
          <w:sz w:val="20"/>
          <w:szCs w:val="20"/>
        </w:rPr>
        <w:t xml:space="preserve">- Les imprécisions concerneraient en particulier </w:t>
      </w:r>
      <w:r w:rsidR="00F44501">
        <w:rPr>
          <w:rFonts w:ascii="Arial Narrow" w:eastAsia="Times New Roman" w:hAnsi="Arial Narrow"/>
          <w:sz w:val="20"/>
          <w:szCs w:val="20"/>
        </w:rPr>
        <w:t>l</w:t>
      </w:r>
      <w:r w:rsidRPr="00B360D3">
        <w:rPr>
          <w:rFonts w:ascii="Arial Narrow" w:eastAsia="Times New Roman" w:hAnsi="Arial Narrow"/>
          <w:sz w:val="20"/>
          <w:szCs w:val="20"/>
        </w:rPr>
        <w:t xml:space="preserve">es notions d’effectivité de la mise en œuvre du plan, la notion de droits humains, le champ des fournisseurs et sous-traitants concernés, la mise en demeure, </w:t>
      </w:r>
      <w:r w:rsidR="00F44501">
        <w:rPr>
          <w:rFonts w:ascii="Arial Narrow" w:eastAsia="Times New Roman" w:hAnsi="Arial Narrow"/>
          <w:sz w:val="20"/>
          <w:szCs w:val="20"/>
        </w:rPr>
        <w:t xml:space="preserve">le </w:t>
      </w:r>
      <w:r w:rsidRPr="00B360D3">
        <w:rPr>
          <w:rFonts w:ascii="Arial Narrow" w:eastAsia="Times New Roman" w:hAnsi="Arial Narrow"/>
          <w:sz w:val="20"/>
          <w:szCs w:val="20"/>
        </w:rPr>
        <w:t xml:space="preserve">terme parties prenantes, </w:t>
      </w:r>
      <w:r w:rsidR="00F44501">
        <w:rPr>
          <w:rFonts w:ascii="Arial Narrow" w:eastAsia="Times New Roman" w:hAnsi="Arial Narrow"/>
          <w:sz w:val="20"/>
          <w:szCs w:val="20"/>
        </w:rPr>
        <w:t>les</w:t>
      </w:r>
      <w:r w:rsidR="00F44501" w:rsidRPr="00B360D3">
        <w:rPr>
          <w:rFonts w:ascii="Arial Narrow" w:eastAsia="Times New Roman" w:hAnsi="Arial Narrow"/>
          <w:sz w:val="20"/>
          <w:szCs w:val="20"/>
        </w:rPr>
        <w:t xml:space="preserve"> </w:t>
      </w:r>
      <w:r w:rsidRPr="00B360D3">
        <w:rPr>
          <w:rFonts w:ascii="Arial Narrow" w:eastAsia="Times New Roman" w:hAnsi="Arial Narrow"/>
          <w:sz w:val="20"/>
          <w:szCs w:val="20"/>
        </w:rPr>
        <w:t xml:space="preserve">délais d’application et dispositions transitoires, ou encore du régime de responsabilité et l’amende civile prévue par le texte. </w:t>
      </w:r>
    </w:p>
    <w:p w:rsidR="00A53B3E" w:rsidRPr="00B360D3" w:rsidRDefault="00A53B3E" w:rsidP="00A53B3E">
      <w:pPr>
        <w:shd w:val="clear" w:color="auto" w:fill="FFFFFF"/>
        <w:spacing w:before="100" w:beforeAutospacing="1" w:after="100" w:afterAutospacing="1" w:line="240" w:lineRule="auto"/>
        <w:contextualSpacing/>
        <w:jc w:val="both"/>
        <w:rPr>
          <w:rFonts w:ascii="Arial Narrow" w:eastAsia="Times New Roman" w:hAnsi="Arial Narrow"/>
          <w:sz w:val="20"/>
          <w:szCs w:val="20"/>
        </w:rPr>
      </w:pPr>
    </w:p>
    <w:p w:rsidR="00A53B3E" w:rsidRPr="00FB2EF6" w:rsidRDefault="00A53B3E" w:rsidP="00A53B3E">
      <w:pPr>
        <w:shd w:val="clear" w:color="auto" w:fill="FFFFFF"/>
        <w:spacing w:before="100" w:beforeAutospacing="1" w:after="100" w:afterAutospacing="1" w:line="240" w:lineRule="auto"/>
        <w:contextualSpacing/>
        <w:jc w:val="both"/>
        <w:rPr>
          <w:rFonts w:ascii="Arial Narrow" w:eastAsia="Times New Roman" w:hAnsi="Arial Narrow"/>
          <w:sz w:val="20"/>
          <w:szCs w:val="20"/>
        </w:rPr>
      </w:pPr>
      <w:r w:rsidRPr="00B360D3">
        <w:rPr>
          <w:rFonts w:ascii="Arial Narrow" w:eastAsia="Times New Roman" w:hAnsi="Arial Narrow"/>
          <w:sz w:val="20"/>
          <w:szCs w:val="20"/>
        </w:rPr>
        <w:t xml:space="preserve">- Pourtant, les exigences de clarté et d’intelligibilité de la loi sont </w:t>
      </w:r>
      <w:r w:rsidRPr="00B360D3">
        <w:rPr>
          <w:rFonts w:ascii="Arial Narrow" w:eastAsia="Times New Roman" w:hAnsi="Arial Narrow"/>
          <w:b/>
          <w:sz w:val="20"/>
          <w:szCs w:val="20"/>
        </w:rPr>
        <w:t xml:space="preserve">pleinement satisfaites lorsque les termes utilisés sont d’ores et présents </w:t>
      </w:r>
      <w:r w:rsidR="00F44501">
        <w:rPr>
          <w:rFonts w:ascii="Arial Narrow" w:eastAsia="Times New Roman" w:hAnsi="Arial Narrow"/>
          <w:b/>
          <w:sz w:val="20"/>
          <w:szCs w:val="20"/>
        </w:rPr>
        <w:t xml:space="preserve">ailleurs </w:t>
      </w:r>
      <w:r w:rsidRPr="00B360D3">
        <w:rPr>
          <w:rFonts w:ascii="Arial Narrow" w:eastAsia="Times New Roman" w:hAnsi="Arial Narrow"/>
          <w:b/>
          <w:sz w:val="20"/>
          <w:szCs w:val="20"/>
        </w:rPr>
        <w:t xml:space="preserve">dans le droit positif et </w:t>
      </w:r>
      <w:r w:rsidR="00F44501">
        <w:rPr>
          <w:rFonts w:ascii="Arial Narrow" w:eastAsia="Times New Roman" w:hAnsi="Arial Narrow"/>
          <w:b/>
          <w:sz w:val="20"/>
          <w:szCs w:val="20"/>
        </w:rPr>
        <w:t xml:space="preserve">régulièrement </w:t>
      </w:r>
      <w:r w:rsidRPr="00B360D3">
        <w:rPr>
          <w:rFonts w:ascii="Arial Narrow" w:eastAsia="Times New Roman" w:hAnsi="Arial Narrow"/>
          <w:b/>
          <w:sz w:val="20"/>
          <w:szCs w:val="20"/>
        </w:rPr>
        <w:t>utilisés par les juges</w:t>
      </w:r>
      <w:r w:rsidRPr="00B360D3">
        <w:rPr>
          <w:rFonts w:ascii="Arial Narrow" w:eastAsia="Times New Roman" w:hAnsi="Arial Narrow"/>
          <w:sz w:val="20"/>
          <w:szCs w:val="20"/>
        </w:rPr>
        <w:t>. Or en l’espèce, c’est le cas de chacune des notions ainsi critiquées par les parlementaires. Leur critique su</w:t>
      </w:r>
      <w:r>
        <w:rPr>
          <w:rFonts w:ascii="Arial Narrow" w:eastAsia="Times New Roman" w:hAnsi="Arial Narrow"/>
          <w:sz w:val="20"/>
          <w:szCs w:val="20"/>
        </w:rPr>
        <w:t>r</w:t>
      </w:r>
      <w:r w:rsidRPr="00B360D3">
        <w:rPr>
          <w:rFonts w:ascii="Arial Narrow" w:eastAsia="Times New Roman" w:hAnsi="Arial Narrow"/>
          <w:sz w:val="20"/>
          <w:szCs w:val="20"/>
        </w:rPr>
        <w:t xml:space="preserve"> ce point n’est donc </w:t>
      </w:r>
      <w:r w:rsidRPr="00B360D3">
        <w:rPr>
          <w:rFonts w:ascii="Arial Narrow" w:eastAsia="Times New Roman" w:hAnsi="Arial Narrow"/>
          <w:b/>
          <w:sz w:val="20"/>
          <w:szCs w:val="20"/>
        </w:rPr>
        <w:t xml:space="preserve">pas fondée en fait. </w:t>
      </w:r>
    </w:p>
    <w:p w:rsidR="00A53B3E" w:rsidRPr="00FB2EF6" w:rsidRDefault="00A53B3E" w:rsidP="00A53B3E">
      <w:pPr>
        <w:shd w:val="clear" w:color="auto" w:fill="FFFFFF"/>
        <w:spacing w:before="100" w:beforeAutospacing="1" w:after="100" w:afterAutospacing="1" w:line="240" w:lineRule="auto"/>
        <w:contextualSpacing/>
        <w:jc w:val="both"/>
        <w:rPr>
          <w:rFonts w:ascii="Arial Narrow" w:eastAsia="Times New Roman" w:hAnsi="Arial Narrow"/>
          <w:sz w:val="20"/>
          <w:szCs w:val="20"/>
        </w:rPr>
      </w:pPr>
    </w:p>
    <w:p w:rsidR="00A53B3E" w:rsidRPr="00F8656A" w:rsidRDefault="00A53B3E" w:rsidP="00A53B3E">
      <w:pPr>
        <w:shd w:val="clear" w:color="auto" w:fill="FFFFFF"/>
        <w:spacing w:before="100" w:beforeAutospacing="1" w:after="100" w:afterAutospacing="1" w:line="240" w:lineRule="auto"/>
        <w:contextualSpacing/>
        <w:jc w:val="both"/>
        <w:rPr>
          <w:rFonts w:ascii="Arial Narrow" w:eastAsia="Times New Roman" w:hAnsi="Arial Narrow"/>
          <w:sz w:val="20"/>
          <w:szCs w:val="20"/>
          <w:u w:val="single"/>
        </w:rPr>
      </w:pPr>
      <w:r w:rsidRPr="006F5127">
        <w:rPr>
          <w:rFonts w:ascii="Arial Narrow" w:eastAsia="Times New Roman" w:hAnsi="Arial Narrow"/>
          <w:sz w:val="20"/>
          <w:szCs w:val="20"/>
          <w:u w:val="single"/>
        </w:rPr>
        <w:t>B) Critiques des députés et des sénateurs sur le</w:t>
      </w:r>
      <w:r w:rsidRPr="00F8656A">
        <w:rPr>
          <w:rFonts w:ascii="Arial Narrow" w:eastAsia="Times New Roman" w:hAnsi="Arial Narrow"/>
          <w:sz w:val="20"/>
          <w:szCs w:val="20"/>
          <w:u w:val="single"/>
        </w:rPr>
        <w:t xml:space="preserve"> fond de la loi</w:t>
      </w:r>
    </w:p>
    <w:p w:rsidR="00A53B3E" w:rsidRPr="00B360D3" w:rsidRDefault="00A53B3E" w:rsidP="00A53B3E">
      <w:pPr>
        <w:shd w:val="clear" w:color="auto" w:fill="FFFFFF"/>
        <w:spacing w:before="100" w:beforeAutospacing="1" w:after="100" w:afterAutospacing="1" w:line="240" w:lineRule="auto"/>
        <w:contextualSpacing/>
        <w:jc w:val="both"/>
        <w:rPr>
          <w:rFonts w:ascii="Arial Narrow" w:eastAsia="Times New Roman" w:hAnsi="Arial Narrow"/>
          <w:sz w:val="20"/>
          <w:szCs w:val="20"/>
        </w:rPr>
      </w:pPr>
    </w:p>
    <w:p w:rsidR="00A53B3E" w:rsidRPr="00B360D3" w:rsidRDefault="00A53B3E" w:rsidP="00A53B3E">
      <w:pPr>
        <w:shd w:val="clear" w:color="auto" w:fill="FFFFFF"/>
        <w:spacing w:before="100" w:beforeAutospacing="1" w:after="100" w:afterAutospacing="1" w:line="240" w:lineRule="auto"/>
        <w:ind w:firstLine="708"/>
        <w:contextualSpacing/>
        <w:jc w:val="both"/>
        <w:rPr>
          <w:rFonts w:ascii="Arial Narrow" w:eastAsia="Times New Roman" w:hAnsi="Arial Narrow"/>
          <w:sz w:val="20"/>
          <w:szCs w:val="20"/>
        </w:rPr>
      </w:pPr>
      <w:r w:rsidRPr="00CB7052">
        <w:rPr>
          <w:rFonts w:ascii="Arial Narrow" w:eastAsia="Times New Roman" w:hAnsi="Arial Narrow"/>
          <w:b/>
          <w:i/>
          <w:sz w:val="20"/>
          <w:szCs w:val="20"/>
        </w:rPr>
        <w:t>1. La responsabilité</w:t>
      </w:r>
      <w:r>
        <w:rPr>
          <w:rFonts w:ascii="Arial Narrow" w:eastAsia="Times New Roman" w:hAnsi="Arial Narrow"/>
          <w:b/>
          <w:sz w:val="20"/>
          <w:szCs w:val="20"/>
        </w:rPr>
        <w:t> : d</w:t>
      </w:r>
      <w:r w:rsidRPr="00B360D3">
        <w:rPr>
          <w:rFonts w:ascii="Arial Narrow" w:eastAsia="Times New Roman" w:hAnsi="Arial Narrow"/>
          <w:b/>
          <w:sz w:val="20"/>
          <w:szCs w:val="20"/>
        </w:rPr>
        <w:t>’après les parlementaires, le dispositif de responsabilité mis en place par le texte méconnaitrait l’exigence du caractère personnel de la responsabilité, l’interdiction faite au législateur d’établir des présomptions irréfragables de responsabilité ainsi que l’interdiction des actions en responsabilité pour des tiers</w:t>
      </w:r>
      <w:r w:rsidRPr="00B360D3">
        <w:rPr>
          <w:rFonts w:ascii="Arial Narrow" w:eastAsia="Times New Roman" w:hAnsi="Arial Narrow"/>
          <w:sz w:val="20"/>
          <w:szCs w:val="20"/>
        </w:rPr>
        <w:t xml:space="preserve">. Les sénateurs et députés estiment en effet que le texte créerait, en cas de dommage au sein des filiales ou de la chaine d’approvisionnement, une responsabilité automatique du fait d’autrui, </w:t>
      </w:r>
      <w:r w:rsidR="00CB7052">
        <w:rPr>
          <w:rFonts w:ascii="Arial Narrow" w:eastAsia="Times New Roman" w:hAnsi="Arial Narrow"/>
          <w:sz w:val="20"/>
          <w:szCs w:val="20"/>
        </w:rPr>
        <w:t xml:space="preserve">c’est-à-dire </w:t>
      </w:r>
      <w:r w:rsidRPr="00B360D3">
        <w:rPr>
          <w:rFonts w:ascii="Arial Narrow" w:eastAsia="Times New Roman" w:hAnsi="Arial Narrow"/>
          <w:sz w:val="20"/>
          <w:szCs w:val="20"/>
        </w:rPr>
        <w:t xml:space="preserve">de la société mère pour </w:t>
      </w:r>
      <w:r w:rsidR="00F44501" w:rsidRPr="00B360D3">
        <w:rPr>
          <w:rFonts w:ascii="Arial Narrow" w:eastAsia="Times New Roman" w:hAnsi="Arial Narrow"/>
          <w:sz w:val="20"/>
          <w:szCs w:val="20"/>
        </w:rPr>
        <w:t>les agissements</w:t>
      </w:r>
      <w:r w:rsidRPr="00B360D3">
        <w:rPr>
          <w:rFonts w:ascii="Arial Narrow" w:eastAsia="Times New Roman" w:hAnsi="Arial Narrow"/>
          <w:sz w:val="20"/>
          <w:szCs w:val="20"/>
        </w:rPr>
        <w:t xml:space="preserve"> d’une société distincte (société filiale ou sous-traitant ou fournisseur).  Ils estiment également que les associations qui ont présidé à la rédaction du texte ont essayé de formuler </w:t>
      </w:r>
      <w:r w:rsidR="00F44501">
        <w:rPr>
          <w:rFonts w:ascii="Arial Narrow" w:eastAsia="Times New Roman" w:hAnsi="Arial Narrow"/>
          <w:sz w:val="20"/>
          <w:szCs w:val="20"/>
        </w:rPr>
        <w:t xml:space="preserve">l’intérêt à agir </w:t>
      </w:r>
      <w:r w:rsidR="00CB7052">
        <w:rPr>
          <w:rFonts w:ascii="Arial Narrow" w:eastAsia="Times New Roman" w:hAnsi="Arial Narrow"/>
          <w:sz w:val="20"/>
          <w:szCs w:val="20"/>
        </w:rPr>
        <w:t xml:space="preserve">dans un sens leur permettant </w:t>
      </w:r>
      <w:r w:rsidR="00F44501">
        <w:rPr>
          <w:rFonts w:ascii="Arial Narrow" w:eastAsia="Times New Roman" w:hAnsi="Arial Narrow"/>
          <w:sz w:val="20"/>
          <w:szCs w:val="20"/>
        </w:rPr>
        <w:t>de déclencher des procédures en responsabilité</w:t>
      </w:r>
      <w:r w:rsidRPr="00B360D3">
        <w:rPr>
          <w:rFonts w:ascii="Arial Narrow" w:eastAsia="Times New Roman" w:hAnsi="Arial Narrow"/>
          <w:sz w:val="20"/>
          <w:szCs w:val="20"/>
        </w:rPr>
        <w:t xml:space="preserve"> en nom et place des victimes directes de dommages. </w:t>
      </w:r>
    </w:p>
    <w:p w:rsidR="00A53B3E" w:rsidRPr="00B360D3" w:rsidRDefault="00A53B3E" w:rsidP="00A53B3E">
      <w:pPr>
        <w:shd w:val="clear" w:color="auto" w:fill="FFFFFF"/>
        <w:spacing w:before="100" w:beforeAutospacing="1" w:after="100" w:afterAutospacing="1" w:line="240" w:lineRule="auto"/>
        <w:contextualSpacing/>
        <w:jc w:val="both"/>
        <w:rPr>
          <w:rFonts w:ascii="Arial Narrow" w:eastAsia="Times New Roman" w:hAnsi="Arial Narrow"/>
          <w:sz w:val="20"/>
          <w:szCs w:val="20"/>
        </w:rPr>
      </w:pPr>
    </w:p>
    <w:p w:rsidR="008C4B38" w:rsidRDefault="00F44501" w:rsidP="00A53B3E">
      <w:pPr>
        <w:spacing w:line="240" w:lineRule="auto"/>
        <w:contextualSpacing/>
        <w:jc w:val="both"/>
        <w:rPr>
          <w:rFonts w:ascii="Arial Narrow" w:eastAsia="Times New Roman" w:hAnsi="Arial Narrow"/>
          <w:sz w:val="20"/>
          <w:szCs w:val="20"/>
        </w:rPr>
      </w:pPr>
      <w:r>
        <w:rPr>
          <w:rFonts w:ascii="Arial Narrow" w:eastAsia="Times New Roman" w:hAnsi="Arial Narrow"/>
          <w:sz w:val="20"/>
          <w:szCs w:val="20"/>
        </w:rPr>
        <w:t>C</w:t>
      </w:r>
      <w:r w:rsidR="00A53B3E" w:rsidRPr="00B360D3">
        <w:rPr>
          <w:rFonts w:ascii="Arial Narrow" w:eastAsia="Times New Roman" w:hAnsi="Arial Narrow"/>
          <w:sz w:val="20"/>
          <w:szCs w:val="20"/>
        </w:rPr>
        <w:t>es arguments relèvent néanmoins d’une lecture politique et non juridique du texte. Ils constituent un procès d’intentions envers les ONG de la coalition plutôt qu’un raisonnement fondé en droit. En effet, il ressort clairement du texte que c’est le manquement à l’obligation incombant à la société mère et à elle seule (établir, mettre en œuvre et publier un P</w:t>
      </w:r>
      <w:r w:rsidR="00B83F62">
        <w:rPr>
          <w:rFonts w:ascii="Arial Narrow" w:eastAsia="Times New Roman" w:hAnsi="Arial Narrow"/>
          <w:sz w:val="20"/>
          <w:szCs w:val="20"/>
        </w:rPr>
        <w:t>lan de vigilance</w:t>
      </w:r>
      <w:r w:rsidR="00A53B3E" w:rsidRPr="00B360D3">
        <w:rPr>
          <w:rFonts w:ascii="Arial Narrow" w:eastAsia="Times New Roman" w:hAnsi="Arial Narrow"/>
          <w:sz w:val="20"/>
          <w:szCs w:val="20"/>
        </w:rPr>
        <w:t xml:space="preserve">) qui permettrait d’établir sa responsabilité en cas de dommage. Si </w:t>
      </w:r>
      <w:r w:rsidR="008C4B38">
        <w:rPr>
          <w:rFonts w:ascii="Arial Narrow" w:eastAsia="Times New Roman" w:hAnsi="Arial Narrow"/>
          <w:sz w:val="20"/>
          <w:szCs w:val="20"/>
        </w:rPr>
        <w:t xml:space="preserve">elle a respecté </w:t>
      </w:r>
      <w:r w:rsidR="00A53B3E" w:rsidRPr="00B360D3">
        <w:rPr>
          <w:rFonts w:ascii="Arial Narrow" w:eastAsia="Times New Roman" w:hAnsi="Arial Narrow"/>
          <w:sz w:val="20"/>
          <w:szCs w:val="20"/>
        </w:rPr>
        <w:t xml:space="preserve">ses obligations, sa responsabilité ne sera pas engagée du fait de la filiale. </w:t>
      </w:r>
    </w:p>
    <w:p w:rsidR="008C4B38" w:rsidRDefault="008C4B38" w:rsidP="00A53B3E">
      <w:pPr>
        <w:spacing w:line="240" w:lineRule="auto"/>
        <w:contextualSpacing/>
        <w:jc w:val="both"/>
        <w:rPr>
          <w:rFonts w:ascii="Arial Narrow" w:eastAsia="Times New Roman" w:hAnsi="Arial Narrow"/>
          <w:sz w:val="20"/>
          <w:szCs w:val="20"/>
        </w:rPr>
      </w:pPr>
    </w:p>
    <w:p w:rsidR="008C4B38" w:rsidRDefault="008C4B38" w:rsidP="00A53B3E">
      <w:pPr>
        <w:spacing w:line="240" w:lineRule="auto"/>
        <w:contextualSpacing/>
        <w:jc w:val="both"/>
        <w:rPr>
          <w:rFonts w:ascii="Arial Narrow" w:eastAsia="Times New Roman" w:hAnsi="Arial Narrow"/>
          <w:sz w:val="20"/>
          <w:szCs w:val="20"/>
        </w:rPr>
      </w:pPr>
      <w:r>
        <w:rPr>
          <w:rFonts w:ascii="Arial Narrow" w:hAnsi="Arial Narrow"/>
          <w:sz w:val="20"/>
          <w:szCs w:val="20"/>
        </w:rPr>
        <w:t>L</w:t>
      </w:r>
      <w:r w:rsidR="00A53B3E" w:rsidRPr="00FB2EF6">
        <w:rPr>
          <w:rFonts w:ascii="Arial Narrow" w:hAnsi="Arial Narrow"/>
          <w:sz w:val="20"/>
          <w:szCs w:val="20"/>
        </w:rPr>
        <w:t xml:space="preserve">e Conseil constitutionnel </w:t>
      </w:r>
      <w:r w:rsidR="00F44501">
        <w:rPr>
          <w:rFonts w:ascii="Arial Narrow" w:hAnsi="Arial Narrow"/>
          <w:sz w:val="20"/>
          <w:szCs w:val="20"/>
        </w:rPr>
        <w:t>a</w:t>
      </w:r>
      <w:r w:rsidR="00A53B3E" w:rsidRPr="00FB2EF6">
        <w:rPr>
          <w:rFonts w:ascii="Arial Narrow" w:hAnsi="Arial Narrow"/>
          <w:sz w:val="20"/>
          <w:szCs w:val="20"/>
        </w:rPr>
        <w:t xml:space="preserve"> déjà eu l’occasion de préciser dans sa décision du 22 janvier 2016</w:t>
      </w:r>
      <w:r w:rsidR="00A53B3E" w:rsidRPr="00FB2EF6">
        <w:rPr>
          <w:rStyle w:val="FootnoteReference"/>
          <w:rFonts w:ascii="Arial Narrow" w:hAnsi="Arial Narrow"/>
          <w:sz w:val="20"/>
          <w:szCs w:val="20"/>
        </w:rPr>
        <w:footnoteReference w:id="8"/>
      </w:r>
      <w:r w:rsidR="00A53B3E" w:rsidRPr="00FB2EF6">
        <w:rPr>
          <w:rFonts w:ascii="Arial Narrow" w:hAnsi="Arial Narrow"/>
          <w:sz w:val="20"/>
          <w:szCs w:val="20"/>
        </w:rPr>
        <w:t>, que l'article L. 4231-1 du Code du travail, qui impose lui aussi des obligations aux maîtres d’ouvrag</w:t>
      </w:r>
      <w:r w:rsidR="00A53B3E" w:rsidRPr="006F5127">
        <w:rPr>
          <w:rFonts w:ascii="Arial Narrow" w:hAnsi="Arial Narrow"/>
          <w:sz w:val="20"/>
          <w:szCs w:val="20"/>
        </w:rPr>
        <w:t xml:space="preserve">es et </w:t>
      </w:r>
      <w:r w:rsidR="00A53B3E" w:rsidRPr="00F8656A">
        <w:rPr>
          <w:rFonts w:ascii="Arial Narrow" w:hAnsi="Arial Narrow"/>
          <w:sz w:val="20"/>
          <w:szCs w:val="20"/>
        </w:rPr>
        <w:t>donneurs d’ordre à l’égard de leurs coc</w:t>
      </w:r>
      <w:r>
        <w:rPr>
          <w:rFonts w:ascii="Arial Narrow" w:hAnsi="Arial Narrow"/>
          <w:sz w:val="20"/>
          <w:szCs w:val="20"/>
        </w:rPr>
        <w:t xml:space="preserve">ontractants ou sous-traitants, </w:t>
      </w:r>
      <w:r w:rsidR="00A53B3E" w:rsidRPr="00F8656A">
        <w:rPr>
          <w:rFonts w:ascii="Arial Narrow" w:hAnsi="Arial Narrow"/>
          <w:sz w:val="20"/>
          <w:szCs w:val="20"/>
        </w:rPr>
        <w:t xml:space="preserve">est bien conforme au principe de responsabilité. </w:t>
      </w:r>
      <w:r w:rsidR="00A53B3E" w:rsidRPr="00B360D3">
        <w:rPr>
          <w:rFonts w:ascii="Arial Narrow" w:eastAsia="Times New Roman" w:hAnsi="Arial Narrow"/>
          <w:sz w:val="20"/>
          <w:szCs w:val="20"/>
        </w:rPr>
        <w:t xml:space="preserve">En outre s’agissant d’une obligation de moyens et non de résultat, la responsabilité de la société mère ne sera engagée que si le respect de ses obligations </w:t>
      </w:r>
      <w:r w:rsidR="00F44501">
        <w:rPr>
          <w:rFonts w:ascii="Arial Narrow" w:eastAsia="Times New Roman" w:hAnsi="Arial Narrow"/>
          <w:sz w:val="20"/>
          <w:szCs w:val="20"/>
        </w:rPr>
        <w:t>aurait</w:t>
      </w:r>
      <w:r w:rsidR="00F44501" w:rsidRPr="00B360D3">
        <w:rPr>
          <w:rFonts w:ascii="Arial Narrow" w:eastAsia="Times New Roman" w:hAnsi="Arial Narrow"/>
          <w:sz w:val="20"/>
          <w:szCs w:val="20"/>
        </w:rPr>
        <w:t xml:space="preserve"> </w:t>
      </w:r>
      <w:r w:rsidR="00A53B3E" w:rsidRPr="00B360D3">
        <w:rPr>
          <w:rFonts w:ascii="Arial Narrow" w:eastAsia="Times New Roman" w:hAnsi="Arial Narrow"/>
          <w:sz w:val="20"/>
          <w:szCs w:val="20"/>
        </w:rPr>
        <w:t xml:space="preserve">permis d’éviter le dommage : il est donc évident que la responsabilité ne sera pas automatique et qu’elle nécessitera, comme toujours en droit civil, la démonstration d’un lien de causalité entre le dommage et le défaut de vigilance de la société mère. </w:t>
      </w:r>
    </w:p>
    <w:p w:rsidR="008C4B38" w:rsidRDefault="008C4B38" w:rsidP="00A53B3E">
      <w:pPr>
        <w:spacing w:line="240" w:lineRule="auto"/>
        <w:contextualSpacing/>
        <w:jc w:val="both"/>
        <w:rPr>
          <w:rFonts w:ascii="Arial Narrow" w:eastAsia="Times New Roman" w:hAnsi="Arial Narrow"/>
          <w:sz w:val="20"/>
          <w:szCs w:val="20"/>
        </w:rPr>
      </w:pPr>
    </w:p>
    <w:p w:rsidR="00A53B3E" w:rsidRPr="00FB2EF6" w:rsidRDefault="00A53B3E" w:rsidP="00A53B3E">
      <w:pPr>
        <w:spacing w:line="240" w:lineRule="auto"/>
        <w:contextualSpacing/>
        <w:jc w:val="both"/>
        <w:rPr>
          <w:rFonts w:ascii="Arial Narrow" w:hAnsi="Arial Narrow"/>
          <w:sz w:val="20"/>
          <w:szCs w:val="20"/>
        </w:rPr>
      </w:pPr>
      <w:r w:rsidRPr="00B360D3">
        <w:rPr>
          <w:rFonts w:ascii="Arial Narrow" w:eastAsia="Times New Roman" w:hAnsi="Arial Narrow"/>
          <w:sz w:val="20"/>
          <w:szCs w:val="20"/>
        </w:rPr>
        <w:t xml:space="preserve">Enfin le texte de loi ne prévoit aucunement une action de groupe ou une action de substitution. L’exigence de l’intérêt à agir se trouve formulée simplement et précisément comme l’article 31 du code de procédure civile français qui prévoit les conditions subjectives d’accès au juge civil.   </w:t>
      </w:r>
    </w:p>
    <w:p w:rsidR="00A53B3E" w:rsidRPr="00B360D3" w:rsidRDefault="00A53B3E" w:rsidP="00A53B3E">
      <w:pPr>
        <w:shd w:val="clear" w:color="auto" w:fill="FFFFFF"/>
        <w:spacing w:before="100" w:beforeAutospacing="1" w:after="100" w:afterAutospacing="1" w:line="240" w:lineRule="auto"/>
        <w:contextualSpacing/>
        <w:jc w:val="both"/>
        <w:rPr>
          <w:rFonts w:ascii="Arial Narrow" w:eastAsia="Times New Roman" w:hAnsi="Arial Narrow"/>
          <w:b/>
          <w:sz w:val="20"/>
          <w:szCs w:val="20"/>
          <w:u w:val="single"/>
        </w:rPr>
      </w:pPr>
    </w:p>
    <w:p w:rsidR="00A53B3E" w:rsidRPr="00B360D3" w:rsidRDefault="00A53B3E" w:rsidP="00A53B3E">
      <w:pPr>
        <w:shd w:val="clear" w:color="auto" w:fill="FFFFFF"/>
        <w:spacing w:before="100" w:beforeAutospacing="1" w:after="100" w:afterAutospacing="1" w:line="240" w:lineRule="auto"/>
        <w:ind w:firstLine="708"/>
        <w:contextualSpacing/>
        <w:jc w:val="both"/>
        <w:rPr>
          <w:rFonts w:ascii="Arial Narrow" w:eastAsia="Times New Roman" w:hAnsi="Arial Narrow"/>
          <w:sz w:val="20"/>
          <w:szCs w:val="20"/>
        </w:rPr>
      </w:pPr>
      <w:r w:rsidRPr="00CB7052">
        <w:rPr>
          <w:rFonts w:ascii="Arial Narrow" w:eastAsia="Times New Roman" w:hAnsi="Arial Narrow"/>
          <w:b/>
          <w:i/>
          <w:sz w:val="20"/>
          <w:szCs w:val="20"/>
        </w:rPr>
        <w:t>2. Principe d’égalité</w:t>
      </w:r>
      <w:r w:rsidRPr="00B360D3">
        <w:rPr>
          <w:rFonts w:ascii="Arial Narrow" w:eastAsia="Times New Roman" w:hAnsi="Arial Narrow"/>
          <w:b/>
          <w:sz w:val="20"/>
          <w:szCs w:val="20"/>
        </w:rPr>
        <w:t xml:space="preserve"> : </w:t>
      </w:r>
      <w:r w:rsidRPr="00B360D3">
        <w:rPr>
          <w:rFonts w:ascii="Arial Narrow" w:eastAsia="Times New Roman" w:hAnsi="Arial Narrow"/>
          <w:sz w:val="20"/>
          <w:szCs w:val="20"/>
        </w:rPr>
        <w:t xml:space="preserve">le texte y contreviendrait en </w:t>
      </w:r>
      <w:r w:rsidRPr="00CB7052">
        <w:rPr>
          <w:rFonts w:ascii="Arial Narrow" w:eastAsia="Times New Roman" w:hAnsi="Arial Narrow"/>
          <w:b/>
          <w:sz w:val="20"/>
          <w:szCs w:val="20"/>
        </w:rPr>
        <w:t>imposant des obligations uniquement à certaines sociétés, à l’égard de certains fournisseurs et sous-traitants et en faisant varier le montant de l’amende civile</w:t>
      </w:r>
      <w:r w:rsidRPr="00B360D3">
        <w:rPr>
          <w:rFonts w:ascii="Arial Narrow" w:eastAsia="Times New Roman" w:hAnsi="Arial Narrow"/>
          <w:sz w:val="20"/>
          <w:szCs w:val="20"/>
        </w:rPr>
        <w:t xml:space="preserve"> selon que le juge relève une absence de plan ou la réalisation d’un dommage dont la société serait responsable. </w:t>
      </w:r>
    </w:p>
    <w:p w:rsidR="00A53B3E" w:rsidRPr="00B360D3" w:rsidRDefault="00A53B3E" w:rsidP="00A53B3E">
      <w:pPr>
        <w:shd w:val="clear" w:color="auto" w:fill="FFFFFF"/>
        <w:spacing w:before="100" w:beforeAutospacing="1" w:after="100" w:afterAutospacing="1" w:line="240" w:lineRule="auto"/>
        <w:ind w:firstLine="708"/>
        <w:contextualSpacing/>
        <w:jc w:val="both"/>
        <w:rPr>
          <w:rFonts w:ascii="Arial Narrow" w:eastAsia="Times New Roman" w:hAnsi="Arial Narrow"/>
          <w:sz w:val="20"/>
          <w:szCs w:val="20"/>
        </w:rPr>
      </w:pPr>
    </w:p>
    <w:p w:rsidR="00A53B3E" w:rsidRPr="00B360D3" w:rsidRDefault="00A53B3E" w:rsidP="00A53B3E">
      <w:pPr>
        <w:shd w:val="clear" w:color="auto" w:fill="FFFFFF"/>
        <w:spacing w:before="100" w:beforeAutospacing="1" w:after="100" w:afterAutospacing="1" w:line="240" w:lineRule="auto"/>
        <w:ind w:firstLine="708"/>
        <w:contextualSpacing/>
        <w:jc w:val="both"/>
        <w:rPr>
          <w:rFonts w:ascii="Arial Narrow" w:eastAsia="Times New Roman" w:hAnsi="Arial Narrow"/>
          <w:b/>
          <w:sz w:val="20"/>
          <w:szCs w:val="20"/>
        </w:rPr>
      </w:pPr>
      <w:r w:rsidRPr="00B360D3">
        <w:rPr>
          <w:rFonts w:ascii="Arial Narrow" w:eastAsia="Times New Roman" w:hAnsi="Arial Narrow"/>
          <w:sz w:val="20"/>
          <w:szCs w:val="20"/>
        </w:rPr>
        <w:t xml:space="preserve">Néanmoins, </w:t>
      </w:r>
      <w:r w:rsidRPr="00CB7052">
        <w:rPr>
          <w:rFonts w:ascii="Arial Narrow" w:eastAsia="Times New Roman" w:hAnsi="Arial Narrow"/>
          <w:b/>
          <w:sz w:val="20"/>
          <w:szCs w:val="20"/>
        </w:rPr>
        <w:t>un traitement différent de situations différentes ne constitue pas, juridiquement, une rupture d’égalité</w:t>
      </w:r>
      <w:r w:rsidRPr="00B360D3">
        <w:rPr>
          <w:rFonts w:ascii="Arial Narrow" w:eastAsia="Times New Roman" w:hAnsi="Arial Narrow"/>
          <w:sz w:val="20"/>
          <w:szCs w:val="20"/>
        </w:rPr>
        <w:t>. En effet, la discrimination est comprise en droit</w:t>
      </w:r>
      <w:r w:rsidR="00F44501">
        <w:rPr>
          <w:rFonts w:ascii="Arial Narrow" w:eastAsia="Times New Roman" w:hAnsi="Arial Narrow"/>
          <w:sz w:val="20"/>
          <w:szCs w:val="20"/>
        </w:rPr>
        <w:t>,</w:t>
      </w:r>
      <w:r w:rsidRPr="00B360D3">
        <w:rPr>
          <w:rFonts w:ascii="Arial Narrow" w:eastAsia="Times New Roman" w:hAnsi="Arial Narrow"/>
          <w:sz w:val="20"/>
          <w:szCs w:val="20"/>
        </w:rPr>
        <w:t xml:space="preserve"> soit comme le traitement différent imposé à des situations pourtant identiques ou bien le traitement identique de fait différentes. Ainsi, faire varier les obligations et les sanctions en fonctions des sociétés, des relations commerciales et des manquements considérés, ne constitue pas une rupture d’égalité puisque les situations visées ne sont pas identiques. </w:t>
      </w:r>
    </w:p>
    <w:p w:rsidR="005917DC" w:rsidRPr="005917DC" w:rsidRDefault="005917DC" w:rsidP="005917DC">
      <w:pPr>
        <w:shd w:val="clear" w:color="auto" w:fill="FFFFFF"/>
        <w:spacing w:before="100" w:beforeAutospacing="1" w:after="100" w:afterAutospacing="1" w:line="240" w:lineRule="auto"/>
        <w:ind w:firstLine="708"/>
        <w:contextualSpacing/>
        <w:jc w:val="both"/>
        <w:rPr>
          <w:rFonts w:ascii="Arial Narrow" w:eastAsia="Times New Roman" w:hAnsi="Arial Narrow"/>
          <w:sz w:val="20"/>
          <w:szCs w:val="20"/>
        </w:rPr>
      </w:pPr>
      <w:r w:rsidRPr="005917DC">
        <w:rPr>
          <w:rFonts w:ascii="Arial Narrow" w:eastAsia="Times New Roman" w:hAnsi="Arial Narrow"/>
          <w:b/>
          <w:sz w:val="20"/>
          <w:szCs w:val="20"/>
        </w:rPr>
        <w:lastRenderedPageBreak/>
        <w:t xml:space="preserve">3. Les principes de légalité et de proportionnalité des peines : </w:t>
      </w:r>
      <w:r w:rsidRPr="005917DC">
        <w:rPr>
          <w:rFonts w:ascii="Arial Narrow" w:eastAsia="Times New Roman" w:hAnsi="Arial Narrow"/>
          <w:sz w:val="20"/>
          <w:szCs w:val="20"/>
        </w:rPr>
        <w:t>les parlementaires soutiennent que les dispositions de la loi relatives aux amendes civiles méconnaitraient  le principe de légalité des délits et des peines et le principe de nécessité des peines. Cependant, la loi déférée fixe un plafond correspondant au montant maximum de l’amende civile susceptible d’être infligée dans deux séries d’hypothèses. La première hypothèse correspond à l’obligation d’établir un plan de vigilance et de le mettre en œuvre. Un manquement à cette obligation est punissable par une amende dont le montant ne peut être supérieur à 10 millions d’euros. La seconde hypothèse correspond à la réparation du préjudice que cette obligation auraient permis d’éviter et le montant de l’amende ne peut alors être supérieur à 30 millions d’euros.</w:t>
      </w:r>
    </w:p>
    <w:p w:rsidR="005917DC" w:rsidRPr="005917DC" w:rsidRDefault="005917DC" w:rsidP="005917DC">
      <w:pPr>
        <w:shd w:val="clear" w:color="auto" w:fill="FFFFFF"/>
        <w:spacing w:before="100" w:beforeAutospacing="1" w:after="100" w:afterAutospacing="1" w:line="240" w:lineRule="auto"/>
        <w:ind w:firstLine="708"/>
        <w:contextualSpacing/>
        <w:jc w:val="both"/>
        <w:rPr>
          <w:rFonts w:ascii="Arial Narrow" w:eastAsia="Times New Roman" w:hAnsi="Arial Narrow"/>
          <w:sz w:val="20"/>
          <w:szCs w:val="20"/>
        </w:rPr>
      </w:pPr>
    </w:p>
    <w:p w:rsidR="005917DC" w:rsidRPr="005917DC" w:rsidRDefault="005917DC" w:rsidP="005917DC">
      <w:pPr>
        <w:shd w:val="clear" w:color="auto" w:fill="FFFFFF"/>
        <w:spacing w:before="100" w:beforeAutospacing="1" w:after="100" w:afterAutospacing="1" w:line="240" w:lineRule="auto"/>
        <w:ind w:firstLine="708"/>
        <w:contextualSpacing/>
        <w:jc w:val="both"/>
        <w:rPr>
          <w:rFonts w:ascii="Arial Narrow" w:eastAsia="Times New Roman" w:hAnsi="Arial Narrow"/>
          <w:sz w:val="20"/>
          <w:szCs w:val="20"/>
        </w:rPr>
      </w:pPr>
      <w:r w:rsidRPr="005917DC">
        <w:rPr>
          <w:rFonts w:ascii="Arial Narrow" w:eastAsia="Times New Roman" w:hAnsi="Arial Narrow"/>
          <w:sz w:val="20"/>
          <w:szCs w:val="20"/>
        </w:rPr>
        <w:t xml:space="preserve"> En fixant ce montant maximum, le quantum de l’amende encourue ne s’expose pas au grief d’imprécision et l’exigence de proportionnalité de la peine est </w:t>
      </w:r>
      <w:proofErr w:type="gramStart"/>
      <w:r w:rsidR="00977AD6" w:rsidRPr="005917DC">
        <w:rPr>
          <w:rFonts w:ascii="Arial Narrow" w:eastAsia="Times New Roman" w:hAnsi="Arial Narrow"/>
          <w:sz w:val="20"/>
          <w:szCs w:val="20"/>
        </w:rPr>
        <w:t>rempli</w:t>
      </w:r>
      <w:r w:rsidR="00977AD6">
        <w:rPr>
          <w:rFonts w:ascii="Arial Narrow" w:eastAsia="Times New Roman" w:hAnsi="Arial Narrow"/>
          <w:sz w:val="20"/>
          <w:szCs w:val="20"/>
        </w:rPr>
        <w:t>e</w:t>
      </w:r>
      <w:proofErr w:type="gramEnd"/>
      <w:r w:rsidRPr="005917DC">
        <w:rPr>
          <w:rFonts w:ascii="Arial Narrow" w:eastAsia="Times New Roman" w:hAnsi="Arial Narrow"/>
          <w:sz w:val="20"/>
          <w:szCs w:val="20"/>
        </w:rPr>
        <w:t xml:space="preserve"> dès lors que l’amende est suffisamment dissuasive pour remplir la fonction de prévention assignée à la sanction. La loi est dans une parfaite cohérence avec son objectif qui consiste à rendre les entreprises et groupes importants vigilants quant aux risques que leurs activités font courir aux droits humains.</w:t>
      </w:r>
    </w:p>
    <w:p w:rsidR="00A53B3E" w:rsidRDefault="00A53B3E" w:rsidP="00A53B3E">
      <w:pPr>
        <w:shd w:val="clear" w:color="auto" w:fill="FFFFFF"/>
        <w:spacing w:before="100" w:beforeAutospacing="1" w:after="100" w:afterAutospacing="1" w:line="240" w:lineRule="auto"/>
        <w:contextualSpacing/>
        <w:jc w:val="both"/>
        <w:rPr>
          <w:rFonts w:ascii="Arial Narrow" w:eastAsia="Times New Roman" w:hAnsi="Arial Narrow"/>
          <w:b/>
          <w:sz w:val="20"/>
          <w:szCs w:val="20"/>
          <w:u w:val="single"/>
        </w:rPr>
      </w:pPr>
    </w:p>
    <w:p w:rsidR="005917DC" w:rsidRPr="00B360D3" w:rsidRDefault="005917DC" w:rsidP="00A53B3E">
      <w:pPr>
        <w:shd w:val="clear" w:color="auto" w:fill="FFFFFF"/>
        <w:spacing w:before="100" w:beforeAutospacing="1" w:after="100" w:afterAutospacing="1" w:line="240" w:lineRule="auto"/>
        <w:contextualSpacing/>
        <w:jc w:val="both"/>
        <w:rPr>
          <w:rFonts w:ascii="Arial Narrow" w:eastAsia="Times New Roman" w:hAnsi="Arial Narrow"/>
          <w:b/>
          <w:sz w:val="20"/>
          <w:szCs w:val="20"/>
          <w:u w:val="single"/>
        </w:rPr>
      </w:pPr>
    </w:p>
    <w:p w:rsidR="00A53B3E" w:rsidRPr="00B360D3" w:rsidRDefault="005917DC" w:rsidP="00CB7052">
      <w:pPr>
        <w:shd w:val="clear" w:color="auto" w:fill="FFFFFF"/>
        <w:spacing w:before="100" w:beforeAutospacing="1" w:after="100" w:afterAutospacing="1" w:line="240" w:lineRule="auto"/>
        <w:ind w:firstLine="708"/>
        <w:contextualSpacing/>
        <w:jc w:val="both"/>
        <w:rPr>
          <w:rFonts w:ascii="Arial Narrow" w:eastAsia="Times New Roman" w:hAnsi="Arial Narrow"/>
          <w:sz w:val="20"/>
          <w:szCs w:val="20"/>
        </w:rPr>
      </w:pPr>
      <w:r>
        <w:rPr>
          <w:rFonts w:ascii="Arial Narrow" w:eastAsia="Times New Roman" w:hAnsi="Arial Narrow"/>
          <w:b/>
          <w:sz w:val="20"/>
          <w:szCs w:val="20"/>
        </w:rPr>
        <w:t>4</w:t>
      </w:r>
      <w:r w:rsidR="00A53B3E" w:rsidRPr="00B360D3">
        <w:rPr>
          <w:rFonts w:ascii="Arial Narrow" w:eastAsia="Times New Roman" w:hAnsi="Arial Narrow"/>
          <w:b/>
          <w:sz w:val="20"/>
          <w:szCs w:val="20"/>
        </w:rPr>
        <w:t>. Principe de la liberté d’entreprendre</w:t>
      </w:r>
      <w:r w:rsidR="00A53B3E" w:rsidRPr="00B360D3">
        <w:rPr>
          <w:rFonts w:ascii="Arial Narrow" w:eastAsia="Times New Roman" w:hAnsi="Arial Narrow"/>
          <w:sz w:val="20"/>
          <w:szCs w:val="20"/>
        </w:rPr>
        <w:t xml:space="preserve">: le texte y porterait atteinte en </w:t>
      </w:r>
      <w:r w:rsidR="00A53B3E" w:rsidRPr="00CB7052">
        <w:rPr>
          <w:rFonts w:ascii="Arial Narrow" w:eastAsia="Times New Roman" w:hAnsi="Arial Narrow"/>
          <w:b/>
          <w:sz w:val="20"/>
          <w:szCs w:val="20"/>
        </w:rPr>
        <w:t>imposant la révélation d’informations pouvant porter atteinte au secret des affaires. Il y porterait également atteinte en organisant une ingérence importante des sociétés mères dans les activités des sociétés avec lesquelles elles entretiennent des relations commerciales établies</w:t>
      </w:r>
      <w:r w:rsidR="00A53B3E" w:rsidRPr="00B360D3">
        <w:rPr>
          <w:rFonts w:ascii="Arial Narrow" w:eastAsia="Times New Roman" w:hAnsi="Arial Narrow"/>
          <w:sz w:val="20"/>
          <w:szCs w:val="20"/>
        </w:rPr>
        <w:t>. La liberté d’entreprendre</w:t>
      </w:r>
      <w:r w:rsidR="00A221E8">
        <w:rPr>
          <w:rFonts w:ascii="Arial Narrow" w:eastAsia="Times New Roman" w:hAnsi="Arial Narrow"/>
          <w:sz w:val="20"/>
          <w:szCs w:val="20"/>
        </w:rPr>
        <w:t>, érigée au rang de norme constitutionnelle depuis 1982 par le Conseil constitutionnel, </w:t>
      </w:r>
      <w:r w:rsidR="00A53B3E" w:rsidRPr="00B360D3">
        <w:rPr>
          <w:rFonts w:ascii="Arial Narrow" w:eastAsia="Times New Roman" w:hAnsi="Arial Narrow"/>
          <w:sz w:val="20"/>
          <w:szCs w:val="20"/>
        </w:rPr>
        <w:t>connait actuellement la faveur de</w:t>
      </w:r>
      <w:r w:rsidR="00A221E8">
        <w:rPr>
          <w:rFonts w:ascii="Arial Narrow" w:eastAsia="Times New Roman" w:hAnsi="Arial Narrow"/>
          <w:sz w:val="20"/>
          <w:szCs w:val="20"/>
        </w:rPr>
        <w:t xml:space="preserve"> ses</w:t>
      </w:r>
      <w:r w:rsidR="00A53B3E" w:rsidRPr="00B360D3">
        <w:rPr>
          <w:rFonts w:ascii="Arial Narrow" w:eastAsia="Times New Roman" w:hAnsi="Arial Narrow"/>
          <w:sz w:val="20"/>
          <w:szCs w:val="20"/>
        </w:rPr>
        <w:t xml:space="preserve"> membres. </w:t>
      </w:r>
    </w:p>
    <w:p w:rsidR="00A53B3E" w:rsidRDefault="00A53B3E" w:rsidP="00A53B3E">
      <w:pPr>
        <w:pStyle w:val="NormalWeb"/>
        <w:jc w:val="both"/>
        <w:rPr>
          <w:rFonts w:ascii="Arial Narrow" w:hAnsi="Arial Narrow"/>
          <w:sz w:val="20"/>
          <w:szCs w:val="20"/>
        </w:rPr>
      </w:pPr>
      <w:r w:rsidRPr="00B360D3">
        <w:rPr>
          <w:rFonts w:ascii="Arial Narrow" w:hAnsi="Arial Narrow"/>
          <w:sz w:val="20"/>
          <w:szCs w:val="20"/>
        </w:rPr>
        <w:t xml:space="preserve">Néanmoins, la liberté d’entreprendre doit être </w:t>
      </w:r>
      <w:r w:rsidRPr="00CB7052">
        <w:rPr>
          <w:rFonts w:ascii="Arial Narrow" w:hAnsi="Arial Narrow"/>
          <w:b/>
          <w:sz w:val="20"/>
          <w:szCs w:val="20"/>
        </w:rPr>
        <w:t>conciliée avec toutes les autres libertés et peut faire l’objet de limitations sous réserve de proportionnalité quant à l’objectif poursuivi</w:t>
      </w:r>
      <w:r w:rsidRPr="00B360D3">
        <w:rPr>
          <w:rFonts w:ascii="Arial Narrow" w:hAnsi="Arial Narrow"/>
          <w:sz w:val="20"/>
          <w:szCs w:val="20"/>
        </w:rPr>
        <w:t>. A plus forte raison lorsque l’objectif en question relève de la protection d’exigences constitutionnelles ou de l’intérêt général, comme les droits humains</w:t>
      </w:r>
      <w:r w:rsidRPr="00B360D3">
        <w:rPr>
          <w:rStyle w:val="FootnoteReference"/>
          <w:rFonts w:ascii="Arial Narrow" w:hAnsi="Arial Narrow"/>
          <w:sz w:val="20"/>
          <w:szCs w:val="20"/>
        </w:rPr>
        <w:footnoteReference w:id="9"/>
      </w:r>
      <w:r w:rsidRPr="00B360D3">
        <w:rPr>
          <w:rFonts w:ascii="Arial Narrow" w:hAnsi="Arial Narrow"/>
          <w:sz w:val="20"/>
          <w:szCs w:val="20"/>
        </w:rPr>
        <w:t xml:space="preserve"> .</w:t>
      </w:r>
      <w:r w:rsidR="00A221E8">
        <w:rPr>
          <w:rFonts w:ascii="Arial Narrow" w:hAnsi="Arial Narrow"/>
          <w:sz w:val="20"/>
          <w:szCs w:val="20"/>
        </w:rPr>
        <w:t xml:space="preserve"> Le conseil a rappelé </w:t>
      </w:r>
      <w:r w:rsidR="003F08B7">
        <w:rPr>
          <w:rFonts w:ascii="Arial Narrow" w:hAnsi="Arial Narrow"/>
          <w:sz w:val="20"/>
          <w:szCs w:val="20"/>
        </w:rPr>
        <w:t xml:space="preserve">en effet </w:t>
      </w:r>
      <w:r w:rsidR="00A221E8">
        <w:rPr>
          <w:rFonts w:ascii="Arial Narrow" w:hAnsi="Arial Narrow"/>
          <w:sz w:val="20"/>
          <w:szCs w:val="20"/>
        </w:rPr>
        <w:t xml:space="preserve">que le </w:t>
      </w:r>
      <w:r w:rsidR="003F08B7">
        <w:rPr>
          <w:rFonts w:ascii="Arial Narrow" w:hAnsi="Arial Narrow"/>
          <w:sz w:val="20"/>
          <w:szCs w:val="20"/>
        </w:rPr>
        <w:t>législateur</w:t>
      </w:r>
      <w:r w:rsidR="00A221E8">
        <w:rPr>
          <w:rFonts w:ascii="Arial Narrow" w:hAnsi="Arial Narrow"/>
          <w:sz w:val="20"/>
          <w:szCs w:val="20"/>
        </w:rPr>
        <w:t xml:space="preserve"> pouvait </w:t>
      </w:r>
      <w:r w:rsidR="003F08B7">
        <w:rPr>
          <w:rFonts w:ascii="Arial Narrow" w:hAnsi="Arial Narrow"/>
          <w:sz w:val="20"/>
          <w:szCs w:val="20"/>
        </w:rPr>
        <w:t>apporter des limites à cette liberté d’entreprendre</w:t>
      </w:r>
      <w:r w:rsidR="003F08B7">
        <w:rPr>
          <w:rStyle w:val="FootnoteReference"/>
          <w:rFonts w:ascii="Arial Narrow" w:hAnsi="Arial Narrow"/>
          <w:sz w:val="20"/>
          <w:szCs w:val="20"/>
        </w:rPr>
        <w:footnoteReference w:id="10"/>
      </w:r>
      <w:r w:rsidR="003F08B7">
        <w:rPr>
          <w:rFonts w:ascii="Arial Narrow" w:hAnsi="Arial Narrow"/>
          <w:sz w:val="20"/>
          <w:szCs w:val="20"/>
        </w:rPr>
        <w:t>.</w:t>
      </w:r>
    </w:p>
    <w:p w:rsidR="00F567C4" w:rsidRDefault="00F567C4" w:rsidP="00A53B3E">
      <w:pPr>
        <w:pStyle w:val="NormalWeb"/>
        <w:jc w:val="both"/>
        <w:rPr>
          <w:rFonts w:ascii="Arial Narrow" w:hAnsi="Arial Narrow"/>
          <w:sz w:val="20"/>
          <w:szCs w:val="20"/>
        </w:rPr>
      </w:pPr>
      <w:r w:rsidRPr="00F567C4">
        <w:rPr>
          <w:rFonts w:ascii="Arial Narrow" w:hAnsi="Arial Narrow"/>
          <w:sz w:val="20"/>
          <w:szCs w:val="20"/>
        </w:rPr>
        <w:t>L’objectif poursuivi</w:t>
      </w:r>
      <w:r>
        <w:rPr>
          <w:rFonts w:ascii="Arial Narrow" w:hAnsi="Arial Narrow"/>
          <w:sz w:val="20"/>
          <w:szCs w:val="20"/>
        </w:rPr>
        <w:t xml:space="preserve"> par l’instauration d’un devoir de vigilance est de prévenir, autant que possible, </w:t>
      </w:r>
      <w:r w:rsidRPr="00F567C4">
        <w:rPr>
          <w:rFonts w:ascii="Arial Narrow" w:hAnsi="Arial Narrow"/>
          <w:sz w:val="20"/>
          <w:szCs w:val="20"/>
        </w:rPr>
        <w:t>« les atteintes graves envers les droits humains et les libertés fondamentales, la santé et la sécurité des personnes ainsi que l’environnement » résultant des activités économiques au sein des chaînes de valeur</w:t>
      </w:r>
      <w:r>
        <w:rPr>
          <w:rFonts w:ascii="Arial Narrow" w:hAnsi="Arial Narrow"/>
          <w:sz w:val="20"/>
          <w:szCs w:val="20"/>
        </w:rPr>
        <w:t xml:space="preserve">. Le plan de vigilance se présente dès lors comme </w:t>
      </w:r>
      <w:r w:rsidRPr="00F567C4">
        <w:rPr>
          <w:rFonts w:ascii="Arial Narrow" w:hAnsi="Arial Narrow"/>
          <w:sz w:val="20"/>
          <w:szCs w:val="20"/>
        </w:rPr>
        <w:t>un instrument de garantie effective de droits fondamentaux, constitutionnellement protégés.</w:t>
      </w:r>
      <w:r>
        <w:rPr>
          <w:rFonts w:ascii="Arial Narrow" w:hAnsi="Arial Narrow"/>
          <w:sz w:val="20"/>
          <w:szCs w:val="20"/>
        </w:rPr>
        <w:t xml:space="preserve"> En effet, la </w:t>
      </w:r>
      <w:r w:rsidRPr="00F567C4">
        <w:rPr>
          <w:rFonts w:ascii="Arial Narrow" w:hAnsi="Arial Narrow"/>
          <w:sz w:val="20"/>
          <w:szCs w:val="20"/>
        </w:rPr>
        <w:t xml:space="preserve">valeur constitutionnelle « </w:t>
      </w:r>
      <w:r w:rsidRPr="00977AD6">
        <w:rPr>
          <w:rFonts w:ascii="Arial Narrow" w:hAnsi="Arial Narrow"/>
          <w:b/>
          <w:sz w:val="20"/>
          <w:szCs w:val="20"/>
        </w:rPr>
        <w:t xml:space="preserve">des droits humains </w:t>
      </w:r>
      <w:r w:rsidRPr="00F567C4">
        <w:rPr>
          <w:rFonts w:ascii="Arial Narrow" w:hAnsi="Arial Narrow"/>
          <w:sz w:val="20"/>
          <w:szCs w:val="20"/>
        </w:rPr>
        <w:t>» et</w:t>
      </w:r>
      <w:r>
        <w:rPr>
          <w:rFonts w:ascii="Arial Narrow" w:hAnsi="Arial Narrow"/>
          <w:sz w:val="20"/>
          <w:szCs w:val="20"/>
        </w:rPr>
        <w:t xml:space="preserve"> des « </w:t>
      </w:r>
      <w:r w:rsidRPr="00977AD6">
        <w:rPr>
          <w:rFonts w:ascii="Arial Narrow" w:hAnsi="Arial Narrow"/>
          <w:b/>
          <w:sz w:val="20"/>
          <w:szCs w:val="20"/>
        </w:rPr>
        <w:t>libertés fondamentales</w:t>
      </w:r>
      <w:r>
        <w:rPr>
          <w:rFonts w:ascii="Arial Narrow" w:hAnsi="Arial Narrow"/>
          <w:sz w:val="20"/>
          <w:szCs w:val="20"/>
        </w:rPr>
        <w:t xml:space="preserve"> » est consacrée par l</w:t>
      </w:r>
      <w:r w:rsidRPr="00F567C4">
        <w:rPr>
          <w:rFonts w:ascii="Arial Narrow" w:hAnsi="Arial Narrow"/>
          <w:sz w:val="20"/>
          <w:szCs w:val="20"/>
        </w:rPr>
        <w:t>’alinéa 11 du Préam</w:t>
      </w:r>
      <w:r w:rsidR="00A94BD4">
        <w:rPr>
          <w:rFonts w:ascii="Arial Narrow" w:hAnsi="Arial Narrow"/>
          <w:sz w:val="20"/>
          <w:szCs w:val="20"/>
        </w:rPr>
        <w:t>bule de la Constitution consacrant</w:t>
      </w:r>
      <w:r w:rsidRPr="00F567C4">
        <w:rPr>
          <w:rFonts w:ascii="Arial Narrow" w:hAnsi="Arial Narrow"/>
          <w:sz w:val="20"/>
          <w:szCs w:val="20"/>
        </w:rPr>
        <w:t xml:space="preserve"> un droit à la santé et à la sécurité.</w:t>
      </w:r>
      <w:r w:rsidR="007F2ADC">
        <w:rPr>
          <w:rFonts w:ascii="Arial Narrow" w:hAnsi="Arial Narrow"/>
          <w:sz w:val="20"/>
          <w:szCs w:val="20"/>
        </w:rPr>
        <w:t xml:space="preserve"> </w:t>
      </w:r>
      <w:r w:rsidR="00977AD6">
        <w:rPr>
          <w:rFonts w:ascii="Arial Narrow" w:hAnsi="Arial Narrow"/>
          <w:sz w:val="20"/>
          <w:szCs w:val="20"/>
        </w:rPr>
        <w:t>Enfin</w:t>
      </w:r>
      <w:r w:rsidRPr="00F567C4">
        <w:rPr>
          <w:rFonts w:ascii="Arial Narrow" w:hAnsi="Arial Narrow"/>
          <w:sz w:val="20"/>
          <w:szCs w:val="20"/>
        </w:rPr>
        <w:t xml:space="preserve">, depuis la révision constitutionnelle du 1er mars 2005, la Charte de l’environnement fait </w:t>
      </w:r>
      <w:r w:rsidR="00977AD6">
        <w:rPr>
          <w:rFonts w:ascii="Arial Narrow" w:hAnsi="Arial Narrow"/>
          <w:sz w:val="20"/>
          <w:szCs w:val="20"/>
        </w:rPr>
        <w:t xml:space="preserve">également </w:t>
      </w:r>
      <w:r w:rsidRPr="00F567C4">
        <w:rPr>
          <w:rFonts w:ascii="Arial Narrow" w:hAnsi="Arial Narrow"/>
          <w:sz w:val="20"/>
          <w:szCs w:val="20"/>
        </w:rPr>
        <w:t>partie</w:t>
      </w:r>
      <w:r w:rsidR="00A94BD4">
        <w:rPr>
          <w:rFonts w:ascii="Arial Narrow" w:hAnsi="Arial Narrow"/>
          <w:sz w:val="20"/>
          <w:szCs w:val="20"/>
        </w:rPr>
        <w:t xml:space="preserve"> du bloc de constitutionnalité et </w:t>
      </w:r>
      <w:r w:rsidRPr="00F567C4">
        <w:rPr>
          <w:rFonts w:ascii="Arial Narrow" w:hAnsi="Arial Narrow"/>
          <w:sz w:val="20"/>
          <w:szCs w:val="20"/>
        </w:rPr>
        <w:t>consacre</w:t>
      </w:r>
      <w:r w:rsidR="00A94BD4">
        <w:rPr>
          <w:rFonts w:ascii="Arial Narrow" w:hAnsi="Arial Narrow"/>
          <w:sz w:val="20"/>
          <w:szCs w:val="20"/>
        </w:rPr>
        <w:t xml:space="preserve"> dans son article 1</w:t>
      </w:r>
      <w:r w:rsidR="00A94BD4" w:rsidRPr="00A94BD4">
        <w:rPr>
          <w:rFonts w:ascii="Arial Narrow" w:hAnsi="Arial Narrow"/>
          <w:sz w:val="20"/>
          <w:szCs w:val="20"/>
          <w:vertAlign w:val="superscript"/>
        </w:rPr>
        <w:t>er</w:t>
      </w:r>
      <w:r w:rsidRPr="00F567C4">
        <w:rPr>
          <w:rFonts w:ascii="Arial Narrow" w:hAnsi="Arial Narrow"/>
          <w:sz w:val="20"/>
          <w:szCs w:val="20"/>
        </w:rPr>
        <w:t xml:space="preserve"> le « </w:t>
      </w:r>
      <w:r w:rsidRPr="00977AD6">
        <w:rPr>
          <w:rFonts w:ascii="Arial Narrow" w:hAnsi="Arial Narrow"/>
          <w:b/>
          <w:sz w:val="20"/>
          <w:szCs w:val="20"/>
        </w:rPr>
        <w:t>droit à un environnement équilibré et respectueux de la santé</w:t>
      </w:r>
      <w:r w:rsidRPr="00F567C4">
        <w:rPr>
          <w:rFonts w:ascii="Arial Narrow" w:hAnsi="Arial Narrow"/>
          <w:sz w:val="20"/>
          <w:szCs w:val="20"/>
        </w:rPr>
        <w:t xml:space="preserve"> ».  </w:t>
      </w:r>
    </w:p>
    <w:p w:rsidR="00A94BD4" w:rsidRDefault="00A94BD4" w:rsidP="00A53B3E">
      <w:pPr>
        <w:pStyle w:val="NormalWeb"/>
        <w:jc w:val="both"/>
        <w:rPr>
          <w:rFonts w:ascii="Arial Narrow" w:hAnsi="Arial Narrow"/>
          <w:sz w:val="20"/>
          <w:szCs w:val="20"/>
        </w:rPr>
      </w:pPr>
      <w:r>
        <w:rPr>
          <w:rFonts w:ascii="Arial Narrow" w:hAnsi="Arial Narrow"/>
          <w:sz w:val="20"/>
          <w:szCs w:val="20"/>
        </w:rPr>
        <w:t xml:space="preserve">Ainsi, l’exigence de mise en œuvre d’un plan de vigilance aussi bien que sa publicité </w:t>
      </w:r>
      <w:r w:rsidR="00977AD6">
        <w:rPr>
          <w:rFonts w:ascii="Arial Narrow" w:hAnsi="Arial Narrow"/>
          <w:sz w:val="20"/>
          <w:szCs w:val="20"/>
        </w:rPr>
        <w:t>constitue</w:t>
      </w:r>
      <w:r>
        <w:rPr>
          <w:rFonts w:ascii="Arial Narrow" w:hAnsi="Arial Narrow"/>
          <w:sz w:val="20"/>
          <w:szCs w:val="20"/>
        </w:rPr>
        <w:t xml:space="preserve"> des restrictions à la liberté</w:t>
      </w:r>
      <w:r w:rsidR="007F2ADC">
        <w:rPr>
          <w:rFonts w:ascii="Arial Narrow" w:hAnsi="Arial Narrow"/>
          <w:sz w:val="20"/>
          <w:szCs w:val="20"/>
        </w:rPr>
        <w:t xml:space="preserve"> d’entreprendre</w:t>
      </w:r>
      <w:r>
        <w:rPr>
          <w:rFonts w:ascii="Arial Narrow" w:hAnsi="Arial Narrow"/>
          <w:sz w:val="20"/>
          <w:szCs w:val="20"/>
        </w:rPr>
        <w:t xml:space="preserve"> qui sont proportionnées. Le caractère mesuré du dispositif est d’autant plus net quand il est rapporté aux objectifs poursuivis par le législateur.</w:t>
      </w:r>
    </w:p>
    <w:p w:rsidR="00F567C4" w:rsidRPr="00F567C4" w:rsidRDefault="00F567C4" w:rsidP="00A53B3E">
      <w:pPr>
        <w:pStyle w:val="NormalWeb"/>
        <w:jc w:val="both"/>
        <w:rPr>
          <w:rFonts w:ascii="Arial Narrow" w:hAnsi="Arial Narrow"/>
          <w:sz w:val="20"/>
          <w:szCs w:val="20"/>
        </w:rPr>
      </w:pPr>
    </w:p>
    <w:p w:rsidR="00AD0B7E" w:rsidRPr="00F548E1" w:rsidRDefault="00AD0B7E" w:rsidP="000C2188">
      <w:pPr>
        <w:shd w:val="clear" w:color="auto" w:fill="FFFFFF"/>
        <w:spacing w:before="100" w:beforeAutospacing="1" w:after="100" w:afterAutospacing="1" w:line="240" w:lineRule="auto"/>
        <w:contextualSpacing/>
        <w:jc w:val="both"/>
        <w:rPr>
          <w:rFonts w:ascii="Arial Narrow" w:eastAsia="Times New Roman" w:hAnsi="Arial Narrow" w:cs="Times New Roman"/>
        </w:rPr>
      </w:pPr>
    </w:p>
    <w:p w:rsidR="00AD0B7E" w:rsidRPr="00F548E1" w:rsidRDefault="00AD0B7E" w:rsidP="00AD0B7E">
      <w:pPr>
        <w:contextualSpacing/>
        <w:jc w:val="both"/>
        <w:rPr>
          <w:rFonts w:ascii="Arial Narrow" w:hAnsi="Arial Narrow" w:cs="Times New Roman"/>
        </w:rPr>
      </w:pPr>
      <w:r w:rsidRPr="00F548E1">
        <w:rPr>
          <w:rFonts w:ascii="Arial Narrow" w:hAnsi="Arial Narrow" w:cs="Times New Roman"/>
        </w:rPr>
        <w:t xml:space="preserve"> </w:t>
      </w:r>
    </w:p>
    <w:p w:rsidR="00990FD6" w:rsidRPr="002565B4" w:rsidRDefault="006E5BEF" w:rsidP="006E5BEF">
      <w:pPr>
        <w:jc w:val="center"/>
        <w:rPr>
          <w:rFonts w:ascii="Arial Narrow" w:hAnsi="Arial Narrow"/>
          <w:sz w:val="20"/>
          <w:szCs w:val="20"/>
        </w:rPr>
      </w:pPr>
      <w:r>
        <w:rPr>
          <w:rFonts w:ascii="Arial Narrow" w:hAnsi="Arial Narrow"/>
          <w:sz w:val="20"/>
          <w:szCs w:val="20"/>
        </w:rPr>
        <w:t>***</w:t>
      </w:r>
    </w:p>
    <w:sectPr w:rsidR="00990FD6" w:rsidRPr="002565B4" w:rsidSect="00B049B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5BA" w:rsidRDefault="000835BA" w:rsidP="008F6373">
      <w:pPr>
        <w:spacing w:after="0" w:line="240" w:lineRule="auto"/>
      </w:pPr>
      <w:r>
        <w:separator/>
      </w:r>
    </w:p>
  </w:endnote>
  <w:endnote w:type="continuationSeparator" w:id="0">
    <w:p w:rsidR="000835BA" w:rsidRDefault="000835BA" w:rsidP="008F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6465719"/>
      <w:docPartObj>
        <w:docPartGallery w:val="Page Numbers (Bottom of Page)"/>
        <w:docPartUnique/>
      </w:docPartObj>
    </w:sdtPr>
    <w:sdtEndPr/>
    <w:sdtContent>
      <w:p w:rsidR="000C2188" w:rsidRPr="00C72328" w:rsidRDefault="000C2188">
        <w:pPr>
          <w:pStyle w:val="Footer"/>
          <w:jc w:val="right"/>
          <w:rPr>
            <w:sz w:val="16"/>
            <w:szCs w:val="16"/>
          </w:rPr>
        </w:pPr>
        <w:r w:rsidRPr="00C72328">
          <w:rPr>
            <w:rFonts w:ascii="Arial Narrow" w:hAnsi="Arial Narrow"/>
            <w:sz w:val="16"/>
            <w:szCs w:val="16"/>
          </w:rPr>
          <w:fldChar w:fldCharType="begin"/>
        </w:r>
        <w:r w:rsidRPr="00C72328">
          <w:rPr>
            <w:rFonts w:ascii="Arial Narrow" w:hAnsi="Arial Narrow"/>
            <w:sz w:val="16"/>
            <w:szCs w:val="16"/>
          </w:rPr>
          <w:instrText xml:space="preserve"> PAGE   \* MERGEFORMAT </w:instrText>
        </w:r>
        <w:r w:rsidRPr="00C72328">
          <w:rPr>
            <w:rFonts w:ascii="Arial Narrow" w:hAnsi="Arial Narrow"/>
            <w:sz w:val="16"/>
            <w:szCs w:val="16"/>
          </w:rPr>
          <w:fldChar w:fldCharType="separate"/>
        </w:r>
        <w:r w:rsidR="005A4258">
          <w:rPr>
            <w:rFonts w:ascii="Arial Narrow" w:hAnsi="Arial Narrow"/>
            <w:noProof/>
            <w:sz w:val="16"/>
            <w:szCs w:val="16"/>
          </w:rPr>
          <w:t>1</w:t>
        </w:r>
        <w:r w:rsidRPr="00C72328">
          <w:rPr>
            <w:rFonts w:ascii="Arial Narrow" w:hAnsi="Arial Narrow"/>
            <w:sz w:val="16"/>
            <w:szCs w:val="16"/>
          </w:rPr>
          <w:fldChar w:fldCharType="end"/>
        </w:r>
      </w:p>
    </w:sdtContent>
  </w:sdt>
  <w:p w:rsidR="000C2188" w:rsidRDefault="000C2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5BA" w:rsidRDefault="000835BA" w:rsidP="008F6373">
      <w:pPr>
        <w:spacing w:after="0" w:line="240" w:lineRule="auto"/>
      </w:pPr>
      <w:r>
        <w:separator/>
      </w:r>
    </w:p>
  </w:footnote>
  <w:footnote w:type="continuationSeparator" w:id="0">
    <w:p w:rsidR="000835BA" w:rsidRDefault="000835BA" w:rsidP="008F6373">
      <w:pPr>
        <w:spacing w:after="0" w:line="240" w:lineRule="auto"/>
      </w:pPr>
      <w:r>
        <w:continuationSeparator/>
      </w:r>
    </w:p>
  </w:footnote>
  <w:footnote w:id="1">
    <w:p w:rsidR="009F1B18" w:rsidRPr="00F71C0F" w:rsidRDefault="00AA20A6" w:rsidP="009F1B18">
      <w:pPr>
        <w:pStyle w:val="NormalWeb"/>
        <w:spacing w:before="60" w:beforeAutospacing="0" w:after="0" w:afterAutospacing="0"/>
        <w:contextualSpacing/>
        <w:jc w:val="both"/>
        <w:rPr>
          <w:sz w:val="18"/>
          <w:szCs w:val="18"/>
        </w:rPr>
      </w:pPr>
      <w:r w:rsidRPr="00F71C0F">
        <w:rPr>
          <w:rStyle w:val="FootnoteReference"/>
          <w:sz w:val="18"/>
          <w:szCs w:val="18"/>
        </w:rPr>
        <w:footnoteRef/>
      </w:r>
      <w:r w:rsidR="009F1B18">
        <w:rPr>
          <w:bCs/>
          <w:sz w:val="18"/>
          <w:szCs w:val="18"/>
        </w:rPr>
        <w:t xml:space="preserve"> </w:t>
      </w:r>
      <w:r w:rsidRPr="00F71C0F">
        <w:rPr>
          <w:bCs/>
          <w:sz w:val="18"/>
          <w:szCs w:val="18"/>
        </w:rPr>
        <w:t xml:space="preserve">Loi </w:t>
      </w:r>
      <w:r w:rsidRPr="00F71C0F">
        <w:rPr>
          <w:iCs/>
          <w:sz w:val="18"/>
          <w:szCs w:val="18"/>
        </w:rPr>
        <w:t xml:space="preserve">relative au </w:t>
      </w:r>
      <w:r w:rsidRPr="00F71C0F">
        <w:rPr>
          <w:bCs/>
          <w:sz w:val="18"/>
          <w:szCs w:val="18"/>
        </w:rPr>
        <w:t>devoir</w:t>
      </w:r>
      <w:r w:rsidRPr="00F71C0F">
        <w:rPr>
          <w:iCs/>
          <w:sz w:val="18"/>
          <w:szCs w:val="18"/>
        </w:rPr>
        <w:t xml:space="preserve"> de </w:t>
      </w:r>
      <w:r w:rsidRPr="00F71C0F">
        <w:rPr>
          <w:bCs/>
          <w:sz w:val="18"/>
          <w:szCs w:val="18"/>
        </w:rPr>
        <w:t>vigilance</w:t>
      </w:r>
      <w:r w:rsidRPr="00F71C0F">
        <w:rPr>
          <w:iCs/>
          <w:sz w:val="18"/>
          <w:szCs w:val="18"/>
        </w:rPr>
        <w:t xml:space="preserve"> des </w:t>
      </w:r>
      <w:r w:rsidRPr="00F71C0F">
        <w:rPr>
          <w:bCs/>
          <w:sz w:val="18"/>
          <w:szCs w:val="18"/>
        </w:rPr>
        <w:t>sociétés mères</w:t>
      </w:r>
      <w:r w:rsidR="009F1B18">
        <w:rPr>
          <w:iCs/>
          <w:sz w:val="18"/>
          <w:szCs w:val="18"/>
        </w:rPr>
        <w:t xml:space="preserve"> </w:t>
      </w:r>
      <w:r w:rsidRPr="00F71C0F">
        <w:rPr>
          <w:iCs/>
          <w:sz w:val="18"/>
          <w:szCs w:val="18"/>
        </w:rPr>
        <w:t xml:space="preserve">et des </w:t>
      </w:r>
      <w:r w:rsidRPr="00F71C0F">
        <w:rPr>
          <w:bCs/>
          <w:sz w:val="18"/>
          <w:szCs w:val="18"/>
        </w:rPr>
        <w:t>entreprises donneuses d’ordre</w:t>
      </w:r>
      <w:r w:rsidRPr="00F71C0F">
        <w:rPr>
          <w:sz w:val="18"/>
          <w:szCs w:val="18"/>
        </w:rPr>
        <w:t xml:space="preserve">, </w:t>
      </w:r>
      <w:hyperlink r:id="rId1" w:history="1">
        <w:r w:rsidRPr="00F71C0F">
          <w:rPr>
            <w:rStyle w:val="Hyperlink"/>
            <w:sz w:val="18"/>
            <w:szCs w:val="18"/>
          </w:rPr>
          <w:t>http://www.assemblee-nationale.fr/14/ta/ta0924.asp</w:t>
        </w:r>
      </w:hyperlink>
      <w:r w:rsidRPr="00F71C0F">
        <w:rPr>
          <w:sz w:val="18"/>
          <w:szCs w:val="18"/>
        </w:rPr>
        <w:t xml:space="preserve"> </w:t>
      </w:r>
    </w:p>
  </w:footnote>
  <w:footnote w:id="2">
    <w:p w:rsidR="000C2188" w:rsidRPr="008B6F52" w:rsidRDefault="000C2188" w:rsidP="009F1B18">
      <w:pPr>
        <w:pStyle w:val="FootnoteText"/>
        <w:spacing w:before="60"/>
        <w:contextualSpacing/>
        <w:jc w:val="both"/>
        <w:rPr>
          <w:rFonts w:ascii="Times New Roman" w:hAnsi="Times New Roman" w:cs="Times New Roman"/>
          <w:bCs/>
          <w:sz w:val="18"/>
          <w:szCs w:val="18"/>
        </w:rPr>
      </w:pPr>
      <w:r w:rsidRPr="008B6F52">
        <w:rPr>
          <w:rStyle w:val="FootnoteReference"/>
          <w:rFonts w:ascii="Times New Roman" w:hAnsi="Times New Roman" w:cs="Times New Roman"/>
          <w:sz w:val="18"/>
          <w:szCs w:val="18"/>
        </w:rPr>
        <w:footnoteRef/>
      </w:r>
      <w:r w:rsidRPr="008B6F52">
        <w:rPr>
          <w:rFonts w:ascii="Times New Roman" w:hAnsi="Times New Roman" w:cs="Times New Roman"/>
          <w:sz w:val="18"/>
          <w:szCs w:val="18"/>
        </w:rPr>
        <w:t xml:space="preserve"> Voir notamment, à propos de la décision du Conseil Constitutionnel</w:t>
      </w:r>
      <w:r w:rsidRPr="008B6F52">
        <w:rPr>
          <w:rFonts w:ascii="Times New Roman" w:eastAsia="Times New Roman" w:hAnsi="Times New Roman" w:cs="Times New Roman"/>
          <w:sz w:val="18"/>
          <w:szCs w:val="18"/>
        </w:rPr>
        <w:t xml:space="preserve"> </w:t>
      </w:r>
      <w:r w:rsidRPr="008B6F52">
        <w:rPr>
          <w:rFonts w:ascii="Times New Roman" w:hAnsi="Times New Roman" w:cs="Times New Roman"/>
          <w:sz w:val="18"/>
          <w:szCs w:val="18"/>
        </w:rPr>
        <w:t>du 27 mars 2014, loi sur la reconquête de l'économie réelle « </w:t>
      </w:r>
      <w:r w:rsidRPr="008B6F52">
        <w:rPr>
          <w:rFonts w:ascii="Times New Roman" w:hAnsi="Times New Roman" w:cs="Times New Roman"/>
          <w:bCs/>
          <w:sz w:val="18"/>
          <w:szCs w:val="18"/>
        </w:rPr>
        <w:t xml:space="preserve">Propriété et entreprise : le Conseil constitutionnel, le droit et la démocratie » – Jean-Pascal </w:t>
      </w:r>
      <w:proofErr w:type="spellStart"/>
      <w:r w:rsidRPr="008B6F52">
        <w:rPr>
          <w:rFonts w:ascii="Times New Roman" w:hAnsi="Times New Roman" w:cs="Times New Roman"/>
          <w:bCs/>
          <w:sz w:val="18"/>
          <w:szCs w:val="18"/>
        </w:rPr>
        <w:t>Chazal</w:t>
      </w:r>
      <w:proofErr w:type="spellEnd"/>
      <w:r w:rsidRPr="008B6F52">
        <w:rPr>
          <w:rFonts w:ascii="Times New Roman" w:hAnsi="Times New Roman" w:cs="Times New Roman"/>
          <w:bCs/>
          <w:sz w:val="18"/>
          <w:szCs w:val="18"/>
        </w:rPr>
        <w:t xml:space="preserve"> – D. 2014. 1101 ; voir également, « La </w:t>
      </w:r>
      <w:proofErr w:type="spellStart"/>
      <w:r w:rsidRPr="008B6F52">
        <w:rPr>
          <w:rFonts w:ascii="Times New Roman" w:hAnsi="Times New Roman" w:cs="Times New Roman"/>
          <w:bCs/>
          <w:sz w:val="18"/>
          <w:szCs w:val="18"/>
        </w:rPr>
        <w:t>fondamentalisation</w:t>
      </w:r>
      <w:proofErr w:type="spellEnd"/>
      <w:r w:rsidRPr="008B6F52">
        <w:rPr>
          <w:rFonts w:ascii="Times New Roman" w:hAnsi="Times New Roman" w:cs="Times New Roman"/>
          <w:bCs/>
          <w:sz w:val="18"/>
          <w:szCs w:val="18"/>
        </w:rPr>
        <w:t xml:space="preserve"> d'un ordre libéral » – Tatiana Sachs – Stéphane </w:t>
      </w:r>
      <w:proofErr w:type="spellStart"/>
      <w:r w:rsidRPr="008B6F52">
        <w:rPr>
          <w:rFonts w:ascii="Times New Roman" w:hAnsi="Times New Roman" w:cs="Times New Roman"/>
          <w:bCs/>
          <w:sz w:val="18"/>
          <w:szCs w:val="18"/>
        </w:rPr>
        <w:t>Vernac</w:t>
      </w:r>
      <w:proofErr w:type="spellEnd"/>
      <w:r w:rsidRPr="008B6F52">
        <w:rPr>
          <w:rFonts w:ascii="Times New Roman" w:hAnsi="Times New Roman" w:cs="Times New Roman"/>
          <w:bCs/>
          <w:sz w:val="18"/>
          <w:szCs w:val="18"/>
        </w:rPr>
        <w:t xml:space="preserve"> – </w:t>
      </w:r>
      <w:proofErr w:type="spellStart"/>
      <w:r w:rsidRPr="008B6F52">
        <w:rPr>
          <w:rFonts w:ascii="Times New Roman" w:hAnsi="Times New Roman" w:cs="Times New Roman"/>
          <w:bCs/>
          <w:sz w:val="18"/>
          <w:szCs w:val="18"/>
        </w:rPr>
        <w:t>Rev</w:t>
      </w:r>
      <w:proofErr w:type="spellEnd"/>
      <w:r w:rsidRPr="008B6F52">
        <w:rPr>
          <w:rFonts w:ascii="Times New Roman" w:hAnsi="Times New Roman" w:cs="Times New Roman"/>
          <w:bCs/>
          <w:sz w:val="18"/>
          <w:szCs w:val="18"/>
        </w:rPr>
        <w:t xml:space="preserve">. </w:t>
      </w:r>
      <w:proofErr w:type="spellStart"/>
      <w:r w:rsidRPr="008B6F52">
        <w:rPr>
          <w:rFonts w:ascii="Times New Roman" w:hAnsi="Times New Roman" w:cs="Times New Roman"/>
          <w:bCs/>
          <w:sz w:val="18"/>
          <w:szCs w:val="18"/>
        </w:rPr>
        <w:t>trav</w:t>
      </w:r>
      <w:proofErr w:type="spellEnd"/>
      <w:r w:rsidRPr="008B6F52">
        <w:rPr>
          <w:rFonts w:ascii="Times New Roman" w:hAnsi="Times New Roman" w:cs="Times New Roman"/>
          <w:bCs/>
          <w:sz w:val="18"/>
          <w:szCs w:val="18"/>
        </w:rPr>
        <w:t xml:space="preserve">. 2014. 528. Pour une analyse plus générale de la notion de liberté d’entreprendre,  « La liberté d'entreprendre au pays des droits fondamentaux » – Véronique </w:t>
      </w:r>
      <w:proofErr w:type="spellStart"/>
      <w:r w:rsidRPr="008B6F52">
        <w:rPr>
          <w:rFonts w:ascii="Times New Roman" w:hAnsi="Times New Roman" w:cs="Times New Roman"/>
          <w:bCs/>
          <w:sz w:val="18"/>
          <w:szCs w:val="18"/>
        </w:rPr>
        <w:t>Champeil-Desplats</w:t>
      </w:r>
      <w:proofErr w:type="spellEnd"/>
      <w:r w:rsidRPr="008B6F52">
        <w:rPr>
          <w:rFonts w:ascii="Times New Roman" w:hAnsi="Times New Roman" w:cs="Times New Roman"/>
          <w:bCs/>
          <w:sz w:val="18"/>
          <w:szCs w:val="18"/>
        </w:rPr>
        <w:t xml:space="preserve"> – </w:t>
      </w:r>
      <w:proofErr w:type="spellStart"/>
      <w:r w:rsidRPr="008B6F52">
        <w:rPr>
          <w:rFonts w:ascii="Times New Roman" w:hAnsi="Times New Roman" w:cs="Times New Roman"/>
          <w:bCs/>
          <w:sz w:val="18"/>
          <w:szCs w:val="18"/>
        </w:rPr>
        <w:t>Rev</w:t>
      </w:r>
      <w:proofErr w:type="spellEnd"/>
      <w:r w:rsidRPr="008B6F52">
        <w:rPr>
          <w:rFonts w:ascii="Times New Roman" w:hAnsi="Times New Roman" w:cs="Times New Roman"/>
          <w:bCs/>
          <w:sz w:val="18"/>
          <w:szCs w:val="18"/>
        </w:rPr>
        <w:t xml:space="preserve">. </w:t>
      </w:r>
      <w:proofErr w:type="spellStart"/>
      <w:r w:rsidRPr="008B6F52">
        <w:rPr>
          <w:rFonts w:ascii="Times New Roman" w:hAnsi="Times New Roman" w:cs="Times New Roman"/>
          <w:bCs/>
          <w:sz w:val="18"/>
          <w:szCs w:val="18"/>
        </w:rPr>
        <w:t>trav</w:t>
      </w:r>
      <w:proofErr w:type="spellEnd"/>
      <w:r w:rsidRPr="008B6F52">
        <w:rPr>
          <w:rFonts w:ascii="Times New Roman" w:hAnsi="Times New Roman" w:cs="Times New Roman"/>
          <w:bCs/>
          <w:sz w:val="18"/>
          <w:szCs w:val="18"/>
        </w:rPr>
        <w:t>. 2007. 1</w:t>
      </w:r>
    </w:p>
  </w:footnote>
  <w:footnote w:id="3">
    <w:p w:rsidR="000C2188" w:rsidRPr="008B6F52" w:rsidRDefault="000C2188" w:rsidP="009F1B18">
      <w:pPr>
        <w:pStyle w:val="FootnoteText"/>
        <w:spacing w:before="60"/>
        <w:contextualSpacing/>
        <w:jc w:val="both"/>
        <w:rPr>
          <w:rFonts w:ascii="Times New Roman" w:hAnsi="Times New Roman" w:cs="Times New Roman"/>
          <w:b/>
          <w:bCs/>
          <w:sz w:val="18"/>
          <w:szCs w:val="18"/>
        </w:rPr>
      </w:pPr>
      <w:r w:rsidRPr="008B6F52">
        <w:rPr>
          <w:rStyle w:val="FootnoteReference"/>
          <w:rFonts w:ascii="Times New Roman" w:hAnsi="Times New Roman" w:cs="Times New Roman"/>
          <w:sz w:val="18"/>
          <w:szCs w:val="18"/>
        </w:rPr>
        <w:footnoteRef/>
      </w:r>
      <w:r w:rsidRPr="008B6F52">
        <w:rPr>
          <w:rFonts w:ascii="Times New Roman" w:hAnsi="Times New Roman" w:cs="Times New Roman"/>
          <w:sz w:val="18"/>
          <w:szCs w:val="18"/>
        </w:rPr>
        <w:t xml:space="preserve"> Là encore, se reporter à l’article de Jean-Pascal </w:t>
      </w:r>
      <w:proofErr w:type="spellStart"/>
      <w:r w:rsidRPr="008B6F52">
        <w:rPr>
          <w:rFonts w:ascii="Times New Roman" w:hAnsi="Times New Roman" w:cs="Times New Roman"/>
          <w:sz w:val="18"/>
          <w:szCs w:val="18"/>
        </w:rPr>
        <w:t>Chazal</w:t>
      </w:r>
      <w:proofErr w:type="spellEnd"/>
      <w:r>
        <w:rPr>
          <w:rFonts w:ascii="Times New Roman" w:hAnsi="Times New Roman" w:cs="Times New Roman"/>
          <w:sz w:val="18"/>
          <w:szCs w:val="18"/>
        </w:rPr>
        <w:t xml:space="preserve">. </w:t>
      </w:r>
    </w:p>
  </w:footnote>
  <w:footnote w:id="4">
    <w:p w:rsidR="00787C01" w:rsidRPr="008B6F52" w:rsidRDefault="00787C01" w:rsidP="009F1B18">
      <w:pPr>
        <w:pStyle w:val="FootnoteText"/>
        <w:spacing w:before="60"/>
        <w:jc w:val="both"/>
        <w:rPr>
          <w:rFonts w:ascii="Times New Roman" w:hAnsi="Times New Roman" w:cs="Times New Roman"/>
          <w:sz w:val="18"/>
          <w:szCs w:val="18"/>
        </w:rPr>
      </w:pPr>
      <w:r w:rsidRPr="008B6F52">
        <w:rPr>
          <w:rStyle w:val="FootnoteReference"/>
          <w:rFonts w:ascii="Times New Roman" w:hAnsi="Times New Roman" w:cs="Times New Roman"/>
          <w:sz w:val="18"/>
          <w:szCs w:val="18"/>
        </w:rPr>
        <w:footnoteRef/>
      </w:r>
      <w:r w:rsidR="009F1B18">
        <w:rPr>
          <w:rFonts w:ascii="Times New Roman" w:hAnsi="Times New Roman" w:cs="Times New Roman"/>
          <w:sz w:val="18"/>
          <w:szCs w:val="18"/>
        </w:rPr>
        <w:t xml:space="preserve"> </w:t>
      </w:r>
      <w:r w:rsidRPr="008B6F52">
        <w:rPr>
          <w:rFonts w:ascii="Times New Roman" w:hAnsi="Times New Roman" w:cs="Times New Roman"/>
          <w:sz w:val="18"/>
          <w:szCs w:val="18"/>
        </w:rPr>
        <w:t>Voir par exemple la motion préjudicielle déposée par</w:t>
      </w:r>
      <w:r w:rsidR="009F1B18">
        <w:rPr>
          <w:rFonts w:ascii="Times New Roman" w:hAnsi="Times New Roman" w:cs="Times New Roman"/>
          <w:sz w:val="18"/>
          <w:szCs w:val="18"/>
        </w:rPr>
        <w:t xml:space="preserve"> les Sénateurs les Républicains, </w:t>
      </w:r>
      <w:hyperlink r:id="rId2" w:tgtFrame="_blank" w:history="1">
        <w:r w:rsidRPr="008B6F52">
          <w:rPr>
            <w:rStyle w:val="Hyperlink"/>
            <w:rFonts w:ascii="Times New Roman" w:hAnsi="Times New Roman" w:cs="Times New Roman"/>
            <w:sz w:val="18"/>
            <w:szCs w:val="18"/>
          </w:rPr>
          <w:t>http://www.senat.fr/amendements/commissions/2014-2015/376/Amdt_COM-4.html</w:t>
        </w:r>
      </w:hyperlink>
    </w:p>
  </w:footnote>
  <w:footnote w:id="5">
    <w:p w:rsidR="000C2188" w:rsidRPr="008B6F52" w:rsidRDefault="000C2188" w:rsidP="008B6F52">
      <w:pPr>
        <w:pStyle w:val="FootnoteText"/>
        <w:spacing w:before="60"/>
        <w:jc w:val="both"/>
        <w:rPr>
          <w:rFonts w:ascii="Times New Roman" w:hAnsi="Times New Roman" w:cs="Times New Roman"/>
          <w:b/>
          <w:bCs/>
          <w:sz w:val="18"/>
          <w:szCs w:val="18"/>
        </w:rPr>
      </w:pPr>
      <w:r w:rsidRPr="008B6F52">
        <w:rPr>
          <w:rStyle w:val="FootnoteReference"/>
          <w:rFonts w:ascii="Times New Roman" w:hAnsi="Times New Roman" w:cs="Times New Roman"/>
          <w:sz w:val="18"/>
          <w:szCs w:val="18"/>
        </w:rPr>
        <w:footnoteRef/>
      </w:r>
      <w:r w:rsidRPr="008B6F52">
        <w:rPr>
          <w:rFonts w:ascii="Times New Roman" w:hAnsi="Times New Roman" w:cs="Times New Roman"/>
          <w:sz w:val="18"/>
          <w:szCs w:val="18"/>
        </w:rPr>
        <w:t xml:space="preserve"> Voir Fanny Roux, </w:t>
      </w:r>
      <w:r w:rsidRPr="008B6F52">
        <w:rPr>
          <w:rFonts w:ascii="Times New Roman" w:hAnsi="Times New Roman" w:cs="Times New Roman"/>
          <w:bCs/>
          <w:i/>
          <w:sz w:val="18"/>
          <w:szCs w:val="18"/>
        </w:rPr>
        <w:t>Devoir de vigilance : récit du lobbying autour de la loi,</w:t>
      </w:r>
      <w:r w:rsidRPr="008B6F52">
        <w:rPr>
          <w:rFonts w:ascii="Times New Roman" w:hAnsi="Times New Roman" w:cs="Times New Roman"/>
          <w:b/>
          <w:bCs/>
          <w:sz w:val="18"/>
          <w:szCs w:val="18"/>
        </w:rPr>
        <w:t xml:space="preserve"> </w:t>
      </w:r>
      <w:r w:rsidRPr="008B6F52">
        <w:rPr>
          <w:rFonts w:ascii="Times New Roman" w:hAnsi="Times New Roman" w:cs="Times New Roman"/>
          <w:sz w:val="18"/>
          <w:szCs w:val="18"/>
        </w:rPr>
        <w:t xml:space="preserve">01 avril 2015, Contexte, accessible en ligne </w:t>
      </w:r>
      <w:hyperlink r:id="rId3" w:history="1">
        <w:r w:rsidRPr="008B6F52">
          <w:rPr>
            <w:rStyle w:val="Hyperlink"/>
            <w:rFonts w:ascii="Times New Roman" w:hAnsi="Times New Roman" w:cs="Times New Roman"/>
            <w:sz w:val="18"/>
            <w:szCs w:val="18"/>
          </w:rPr>
          <w:t>https://www.contexte.com/article/pouvoirs/loi-sur-le-devoir-de-vigilance-retour-sur-le-lobbying-autour-du-texte_27997.html</w:t>
        </w:r>
      </w:hyperlink>
      <w:r w:rsidRPr="008B6F52">
        <w:rPr>
          <w:rFonts w:ascii="Times New Roman" w:hAnsi="Times New Roman" w:cs="Times New Roman"/>
          <w:sz w:val="18"/>
          <w:szCs w:val="18"/>
        </w:rPr>
        <w:t xml:space="preserve"> </w:t>
      </w:r>
    </w:p>
  </w:footnote>
  <w:footnote w:id="6">
    <w:p w:rsidR="000C2188" w:rsidRPr="008B6F52" w:rsidRDefault="000C2188" w:rsidP="008B6F52">
      <w:pPr>
        <w:pStyle w:val="FootnoteText"/>
        <w:spacing w:before="60"/>
        <w:jc w:val="both"/>
        <w:rPr>
          <w:rFonts w:ascii="Times New Roman" w:hAnsi="Times New Roman" w:cs="Times New Roman"/>
          <w:bCs/>
          <w:iCs/>
          <w:sz w:val="18"/>
          <w:szCs w:val="18"/>
        </w:rPr>
      </w:pPr>
      <w:r w:rsidRPr="008B6F52">
        <w:rPr>
          <w:rStyle w:val="FootnoteReference"/>
          <w:rFonts w:ascii="Times New Roman" w:hAnsi="Times New Roman" w:cs="Times New Roman"/>
          <w:sz w:val="18"/>
          <w:szCs w:val="18"/>
        </w:rPr>
        <w:footnoteRef/>
      </w:r>
      <w:r w:rsidRPr="008B6F52">
        <w:rPr>
          <w:rFonts w:ascii="Times New Roman" w:hAnsi="Times New Roman" w:cs="Times New Roman"/>
          <w:sz w:val="18"/>
          <w:szCs w:val="18"/>
        </w:rPr>
        <w:t xml:space="preserve"> Pour le MEDEF, ces quatre articles de loi sont rien de moins qu’une « menace » pour notre économie. </w:t>
      </w:r>
      <w:r w:rsidRPr="008B6F52">
        <w:rPr>
          <w:rFonts w:ascii="Times New Roman" w:hAnsi="Times New Roman" w:cs="Times New Roman"/>
          <w:bCs/>
          <w:sz w:val="18"/>
          <w:szCs w:val="18"/>
        </w:rPr>
        <w:t>« </w:t>
      </w:r>
      <w:r w:rsidRPr="008B6F52">
        <w:rPr>
          <w:rFonts w:ascii="Times New Roman" w:hAnsi="Times New Roman" w:cs="Times New Roman"/>
          <w:sz w:val="18"/>
          <w:szCs w:val="18"/>
        </w:rPr>
        <w:t>Une telle initiative va totalement à l’encontre de l’ensemble des discours du gouvernement en faveur de la compétitivité et de l’attractivité de notre territoire et concernera toutes nos entreprises (…)</w:t>
      </w:r>
      <w:r>
        <w:rPr>
          <w:rFonts w:ascii="Times New Roman" w:hAnsi="Times New Roman" w:cs="Times New Roman"/>
          <w:sz w:val="18"/>
          <w:szCs w:val="18"/>
        </w:rPr>
        <w:t xml:space="preserve"> </w:t>
      </w:r>
      <w:r w:rsidRPr="008B6F52">
        <w:rPr>
          <w:rFonts w:ascii="Times New Roman" w:hAnsi="Times New Roman" w:cs="Times New Roman"/>
          <w:sz w:val="18"/>
          <w:szCs w:val="18"/>
        </w:rPr>
        <w:t xml:space="preserve">les sociétés mères ou donneuses d’ordre répercuteront nécessairement ces nouvelles obligations sur leurs fournisseurs et/ou sous-traitants (…) </w:t>
      </w:r>
      <w:r w:rsidRPr="008B6F52">
        <w:rPr>
          <w:rFonts w:ascii="Times New Roman" w:hAnsi="Times New Roman" w:cs="Times New Roman"/>
          <w:iCs/>
          <w:sz w:val="18"/>
          <w:szCs w:val="18"/>
        </w:rPr>
        <w:t xml:space="preserve">cette politique économique faite de zigs et de </w:t>
      </w:r>
      <w:proofErr w:type="spellStart"/>
      <w:r w:rsidRPr="008B6F52">
        <w:rPr>
          <w:rFonts w:ascii="Times New Roman" w:hAnsi="Times New Roman" w:cs="Times New Roman"/>
          <w:iCs/>
          <w:sz w:val="18"/>
          <w:szCs w:val="18"/>
        </w:rPr>
        <w:t>zags</w:t>
      </w:r>
      <w:proofErr w:type="spellEnd"/>
      <w:r w:rsidRPr="008B6F52">
        <w:rPr>
          <w:rFonts w:ascii="Times New Roman" w:hAnsi="Times New Roman" w:cs="Times New Roman"/>
          <w:iCs/>
          <w:sz w:val="18"/>
          <w:szCs w:val="18"/>
        </w:rPr>
        <w:t xml:space="preserve"> permanents nuit à la confiance des chefs d’entreprise, élément essentiel du redressement de la France. ». Voir, MEDEF, </w:t>
      </w:r>
      <w:r w:rsidRPr="008B6F52">
        <w:rPr>
          <w:rFonts w:ascii="Times New Roman" w:hAnsi="Times New Roman" w:cs="Times New Roman"/>
          <w:bCs/>
          <w:i/>
          <w:sz w:val="18"/>
          <w:szCs w:val="18"/>
        </w:rPr>
        <w:t>Devoir de vigilance : une loi inefficace qui menace notre économie</w:t>
      </w:r>
      <w:r w:rsidRPr="008B6F52">
        <w:rPr>
          <w:rFonts w:ascii="Times New Roman" w:hAnsi="Times New Roman" w:cs="Times New Roman"/>
          <w:bCs/>
          <w:sz w:val="18"/>
          <w:szCs w:val="18"/>
        </w:rPr>
        <w:t xml:space="preserve">, 01 Décembre 2016, </w:t>
      </w:r>
      <w:hyperlink r:id="rId4" w:history="1">
        <w:r w:rsidRPr="008B6F52">
          <w:rPr>
            <w:rStyle w:val="Hyperlink"/>
            <w:rFonts w:ascii="Times New Roman" w:hAnsi="Times New Roman" w:cs="Times New Roman"/>
            <w:bCs/>
            <w:sz w:val="18"/>
            <w:szCs w:val="18"/>
          </w:rPr>
          <w:t>http://www.medef.com/medef-tv/actualites/detail/article/devoir-de-vigilance-une-loi-inefficace-qui-menace-notre-economie.html</w:t>
        </w:r>
      </w:hyperlink>
      <w:r w:rsidRPr="008B6F52">
        <w:rPr>
          <w:rFonts w:ascii="Times New Roman" w:hAnsi="Times New Roman" w:cs="Times New Roman"/>
          <w:bCs/>
          <w:sz w:val="18"/>
          <w:szCs w:val="18"/>
        </w:rPr>
        <w:t xml:space="preserve">. Voir également, MEDEF, </w:t>
      </w:r>
      <w:r w:rsidRPr="008B6F52">
        <w:rPr>
          <w:rFonts w:ascii="Times New Roman" w:hAnsi="Times New Roman" w:cs="Times New Roman"/>
          <w:bCs/>
          <w:i/>
          <w:iCs/>
          <w:sz w:val="18"/>
          <w:szCs w:val="18"/>
        </w:rPr>
        <w:t xml:space="preserve">La PPL « devoir de vigilance » a été adoptée en première lecture à l'Assemble Nationale, </w:t>
      </w:r>
      <w:r w:rsidRPr="008B6F52">
        <w:rPr>
          <w:rFonts w:ascii="Times New Roman" w:hAnsi="Times New Roman" w:cs="Times New Roman"/>
          <w:bCs/>
          <w:iCs/>
          <w:sz w:val="18"/>
          <w:szCs w:val="18"/>
        </w:rPr>
        <w:t xml:space="preserve">6 avril 2015, </w:t>
      </w:r>
      <w:hyperlink r:id="rId5" w:history="1">
        <w:r w:rsidRPr="008B6F52">
          <w:rPr>
            <w:rStyle w:val="Hyperlink"/>
            <w:rFonts w:ascii="Times New Roman" w:hAnsi="Times New Roman" w:cs="Times New Roman"/>
            <w:iCs/>
            <w:sz w:val="18"/>
            <w:szCs w:val="18"/>
          </w:rPr>
          <w:t>http://www.medef.com/medef-tv/actualites/detail/article/la-ppl-devoir-de-vigilance-a-ete-adoptee-en-premiere-lecture-a-lassemble-nationale.html</w:t>
        </w:r>
      </w:hyperlink>
      <w:r w:rsidRPr="008B6F52">
        <w:rPr>
          <w:rFonts w:ascii="Times New Roman" w:hAnsi="Times New Roman" w:cs="Times New Roman"/>
          <w:iCs/>
          <w:sz w:val="18"/>
          <w:szCs w:val="18"/>
        </w:rPr>
        <w:t xml:space="preserve"> </w:t>
      </w:r>
      <w:r w:rsidRPr="008B6F52">
        <w:rPr>
          <w:rFonts w:ascii="Times New Roman" w:hAnsi="Times New Roman" w:cs="Times New Roman"/>
          <w:i/>
          <w:iCs/>
          <w:sz w:val="18"/>
          <w:szCs w:val="18"/>
        </w:rPr>
        <w:t xml:space="preserve">; </w:t>
      </w:r>
      <w:r w:rsidRPr="008B6F52">
        <w:rPr>
          <w:rFonts w:ascii="Times New Roman" w:hAnsi="Times New Roman" w:cs="Times New Roman"/>
          <w:bCs/>
          <w:sz w:val="18"/>
          <w:szCs w:val="18"/>
        </w:rPr>
        <w:t xml:space="preserve">voir aussi, la </w:t>
      </w:r>
      <w:r w:rsidRPr="008B6F52">
        <w:rPr>
          <w:rFonts w:ascii="Times New Roman" w:hAnsi="Times New Roman" w:cs="Times New Roman"/>
          <w:sz w:val="18"/>
          <w:szCs w:val="18"/>
        </w:rPr>
        <w:t xml:space="preserve">CCI Paris Ile de France, </w:t>
      </w:r>
      <w:r w:rsidRPr="008B6F52">
        <w:rPr>
          <w:rFonts w:ascii="Times New Roman" w:hAnsi="Times New Roman" w:cs="Times New Roman"/>
          <w:bCs/>
          <w:i/>
          <w:sz w:val="18"/>
          <w:szCs w:val="18"/>
        </w:rPr>
        <w:t>Proposition de loi instaurant une obligation de vigilance à l’encontre de certaines sociétés</w:t>
      </w:r>
      <w:r w:rsidRPr="008B6F52">
        <w:rPr>
          <w:rFonts w:ascii="Times New Roman" w:hAnsi="Times New Roman" w:cs="Times New Roman"/>
          <w:bCs/>
          <w:sz w:val="18"/>
          <w:szCs w:val="18"/>
        </w:rPr>
        <w:t xml:space="preserve">, Rapport, </w:t>
      </w:r>
      <w:r w:rsidRPr="008B6F52">
        <w:rPr>
          <w:rFonts w:ascii="Times New Roman" w:hAnsi="Times New Roman" w:cs="Times New Roman"/>
          <w:sz w:val="18"/>
          <w:szCs w:val="18"/>
        </w:rPr>
        <w:t xml:space="preserve">29 juin 2015 </w:t>
      </w:r>
      <w:hyperlink r:id="rId6" w:history="1">
        <w:r w:rsidRPr="008B6F52">
          <w:rPr>
            <w:rStyle w:val="Hyperlink"/>
            <w:rFonts w:ascii="Times New Roman" w:hAnsi="Times New Roman" w:cs="Times New Roman"/>
            <w:sz w:val="18"/>
            <w:szCs w:val="18"/>
          </w:rPr>
          <w:t>http://www.cci-paris-idf.fr/etudes/competitivite/droit-entreprise/obligation-de-vigilance-etudes</w:t>
        </w:r>
      </w:hyperlink>
      <w:r w:rsidRPr="008B6F52">
        <w:rPr>
          <w:rFonts w:ascii="Times New Roman" w:hAnsi="Times New Roman" w:cs="Times New Roman"/>
          <w:sz w:val="18"/>
          <w:szCs w:val="18"/>
        </w:rPr>
        <w:t xml:space="preserve">. Voir enfin, pour l’Association Française des Entreprises Privées (AFEP), </w:t>
      </w:r>
      <w:r w:rsidRPr="008B6F52">
        <w:rPr>
          <w:rFonts w:ascii="Times New Roman" w:hAnsi="Times New Roman" w:cs="Times New Roman"/>
          <w:i/>
          <w:sz w:val="18"/>
          <w:szCs w:val="18"/>
        </w:rPr>
        <w:t>Proposition de loi sur la responsabilité des sociétés mères et entreprises donneuses d’ordre</w:t>
      </w:r>
      <w:r w:rsidRPr="008B6F52">
        <w:rPr>
          <w:rFonts w:ascii="Times New Roman" w:hAnsi="Times New Roman" w:cs="Times New Roman"/>
          <w:sz w:val="18"/>
          <w:szCs w:val="18"/>
        </w:rPr>
        <w:t>, Communiqué</w:t>
      </w:r>
      <w:r w:rsidRPr="008B6F52">
        <w:rPr>
          <w:rFonts w:ascii="Times New Roman" w:hAnsi="Times New Roman" w:cs="Times New Roman"/>
          <w:bCs/>
          <w:iCs/>
          <w:sz w:val="18"/>
          <w:szCs w:val="18"/>
        </w:rPr>
        <w:t xml:space="preserve"> </w:t>
      </w:r>
      <w:r w:rsidRPr="008B6F52">
        <w:rPr>
          <w:rFonts w:ascii="Times New Roman" w:hAnsi="Times New Roman" w:cs="Times New Roman"/>
          <w:sz w:val="18"/>
          <w:szCs w:val="18"/>
        </w:rPr>
        <w:t>de presse, 31 mars 2015</w:t>
      </w:r>
      <w:r w:rsidRPr="008B6F52">
        <w:rPr>
          <w:rFonts w:ascii="Times New Roman" w:hAnsi="Times New Roman" w:cs="Times New Roman"/>
          <w:bCs/>
          <w:iCs/>
          <w:sz w:val="18"/>
          <w:szCs w:val="18"/>
        </w:rPr>
        <w:t xml:space="preserve"> </w:t>
      </w:r>
      <w:hyperlink r:id="rId7" w:history="1">
        <w:r w:rsidRPr="008B6F52">
          <w:rPr>
            <w:rStyle w:val="Hyperlink"/>
            <w:rFonts w:ascii="Times New Roman" w:hAnsi="Times New Roman" w:cs="Times New Roman"/>
            <w:sz w:val="18"/>
            <w:szCs w:val="18"/>
          </w:rPr>
          <w:t>http://www.afep.com/uploads/medias/documents/Communique%20de%20presse%20PPL%20sur%20la%20responsabilite%20des%20soci%C3%A9tes%20meres%20et%20entreprises%20donneuses%20dordre.pdf</w:t>
        </w:r>
      </w:hyperlink>
    </w:p>
  </w:footnote>
  <w:footnote w:id="7">
    <w:p w:rsidR="009F1B18" w:rsidRPr="00EB11CE" w:rsidRDefault="009F1B18" w:rsidP="009F1B18">
      <w:pPr>
        <w:pStyle w:val="FootnoteText"/>
        <w:jc w:val="both"/>
        <w:rPr>
          <w:rFonts w:ascii="Times New Roman" w:hAnsi="Times New Roman" w:cs="Times New Roman"/>
          <w:sz w:val="18"/>
          <w:szCs w:val="18"/>
        </w:rPr>
      </w:pPr>
      <w:r w:rsidRPr="00EB11CE">
        <w:rPr>
          <w:rStyle w:val="FootnoteReference"/>
          <w:rFonts w:ascii="Times New Roman" w:hAnsi="Times New Roman" w:cs="Times New Roman"/>
          <w:sz w:val="18"/>
          <w:szCs w:val="18"/>
        </w:rPr>
        <w:footnoteRef/>
      </w:r>
      <w:r w:rsidRPr="00EB11CE">
        <w:rPr>
          <w:rFonts w:ascii="Times New Roman" w:hAnsi="Times New Roman" w:cs="Times New Roman"/>
          <w:sz w:val="18"/>
          <w:szCs w:val="18"/>
        </w:rPr>
        <w:t xml:space="preserve"> Voir : </w:t>
      </w:r>
      <w:hyperlink r:id="rId8" w:history="1">
        <w:r w:rsidRPr="00EB11CE">
          <w:rPr>
            <w:rStyle w:val="Hyperlink"/>
            <w:rFonts w:ascii="Times New Roman" w:hAnsi="Times New Roman" w:cs="Times New Roman"/>
            <w:sz w:val="18"/>
            <w:szCs w:val="18"/>
          </w:rPr>
          <w:t>http://www.conseil-constitutionnel.fr/conseil-constitutionnel/root/bank/pdf/conseil-constitutionnel-148310.pdf</w:t>
        </w:r>
      </w:hyperlink>
      <w:r w:rsidRPr="00EB11CE">
        <w:rPr>
          <w:rFonts w:ascii="Times New Roman" w:hAnsi="Times New Roman" w:cs="Times New Roman"/>
          <w:sz w:val="18"/>
          <w:szCs w:val="18"/>
        </w:rPr>
        <w:t xml:space="preserve"> </w:t>
      </w:r>
    </w:p>
  </w:footnote>
  <w:footnote w:id="8">
    <w:p w:rsidR="00A53B3E" w:rsidRPr="002F58A1" w:rsidRDefault="00A53B3E" w:rsidP="00A53B3E">
      <w:pPr>
        <w:pStyle w:val="FootnoteText"/>
        <w:spacing w:before="60"/>
        <w:jc w:val="both"/>
        <w:rPr>
          <w:rFonts w:ascii="Times New Roman" w:hAnsi="Times New Roman"/>
          <w:sz w:val="18"/>
          <w:szCs w:val="18"/>
        </w:rPr>
      </w:pPr>
      <w:r w:rsidRPr="002F58A1">
        <w:rPr>
          <w:rStyle w:val="FootnoteReference"/>
          <w:rFonts w:ascii="Times New Roman" w:hAnsi="Times New Roman"/>
          <w:sz w:val="18"/>
          <w:szCs w:val="18"/>
        </w:rPr>
        <w:footnoteRef/>
      </w:r>
      <w:r w:rsidRPr="002F58A1">
        <w:rPr>
          <w:rFonts w:ascii="Times New Roman" w:hAnsi="Times New Roman"/>
          <w:sz w:val="18"/>
          <w:szCs w:val="18"/>
        </w:rPr>
        <w:t xml:space="preserve"> Décision n° 2015-517 QPC du 22 janvier 2016</w:t>
      </w:r>
    </w:p>
  </w:footnote>
  <w:footnote w:id="9">
    <w:p w:rsidR="00A53B3E" w:rsidRPr="002F58A1" w:rsidRDefault="00A53B3E" w:rsidP="00A53B3E">
      <w:pPr>
        <w:pStyle w:val="FootnoteText"/>
        <w:spacing w:before="60"/>
        <w:jc w:val="both"/>
        <w:rPr>
          <w:rFonts w:ascii="Times New Roman" w:hAnsi="Times New Roman"/>
          <w:sz w:val="18"/>
          <w:szCs w:val="18"/>
        </w:rPr>
      </w:pPr>
      <w:r w:rsidRPr="002F58A1">
        <w:rPr>
          <w:rStyle w:val="FootnoteReference"/>
          <w:rFonts w:ascii="Times New Roman" w:hAnsi="Times New Roman"/>
          <w:sz w:val="18"/>
          <w:szCs w:val="18"/>
        </w:rPr>
        <w:footnoteRef/>
      </w:r>
      <w:r w:rsidRPr="002F58A1">
        <w:rPr>
          <w:rFonts w:ascii="Times New Roman" w:hAnsi="Times New Roman"/>
          <w:sz w:val="18"/>
          <w:szCs w:val="18"/>
        </w:rPr>
        <w:t xml:space="preserve"> Décision n°2000-439 DC </w:t>
      </w:r>
      <w:r w:rsidR="003F08B7">
        <w:rPr>
          <w:rFonts w:ascii="Times New Roman" w:hAnsi="Times New Roman"/>
          <w:sz w:val="18"/>
          <w:szCs w:val="18"/>
        </w:rPr>
        <w:t>d</w:t>
      </w:r>
      <w:r w:rsidRPr="002F58A1">
        <w:rPr>
          <w:rFonts w:ascii="Times New Roman" w:hAnsi="Times New Roman"/>
          <w:sz w:val="18"/>
          <w:szCs w:val="18"/>
        </w:rPr>
        <w:t>u 16 janvier 2001</w:t>
      </w:r>
    </w:p>
  </w:footnote>
  <w:footnote w:id="10">
    <w:p w:rsidR="003F08B7" w:rsidRDefault="003F08B7">
      <w:pPr>
        <w:pStyle w:val="FootnoteText"/>
      </w:pPr>
      <w:r>
        <w:rPr>
          <w:rStyle w:val="FootnoteReference"/>
        </w:rPr>
        <w:footnoteRef/>
      </w:r>
      <w:r>
        <w:t xml:space="preserve"> D</w:t>
      </w:r>
      <w:r w:rsidRPr="003F08B7">
        <w:t xml:space="preserve">écision </w:t>
      </w:r>
      <w:r>
        <w:t xml:space="preserve">n°2013-682 DC </w:t>
      </w:r>
      <w:r w:rsidRPr="003F08B7">
        <w:t>du 19</w:t>
      </w:r>
      <w:r>
        <w:t xml:space="preserve"> décembre </w:t>
      </w:r>
      <w:r w:rsidRPr="003F08B7">
        <w:t>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B21"/>
    <w:multiLevelType w:val="multilevel"/>
    <w:tmpl w:val="71D4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6160E"/>
    <w:multiLevelType w:val="multilevel"/>
    <w:tmpl w:val="AEA0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F7FC7"/>
    <w:multiLevelType w:val="multilevel"/>
    <w:tmpl w:val="BA74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20989"/>
    <w:multiLevelType w:val="multilevel"/>
    <w:tmpl w:val="0FDA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B1C09"/>
    <w:multiLevelType w:val="hybridMultilevel"/>
    <w:tmpl w:val="1E368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E41788"/>
    <w:multiLevelType w:val="multilevel"/>
    <w:tmpl w:val="EB886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121B0"/>
    <w:multiLevelType w:val="multilevel"/>
    <w:tmpl w:val="42BE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DB77C5"/>
    <w:multiLevelType w:val="multilevel"/>
    <w:tmpl w:val="295E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6D4706"/>
    <w:multiLevelType w:val="multilevel"/>
    <w:tmpl w:val="F904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2B018F"/>
    <w:multiLevelType w:val="multilevel"/>
    <w:tmpl w:val="FD46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BA7595"/>
    <w:multiLevelType w:val="multilevel"/>
    <w:tmpl w:val="6722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D623E5"/>
    <w:multiLevelType w:val="multilevel"/>
    <w:tmpl w:val="78AE1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261C02"/>
    <w:multiLevelType w:val="multilevel"/>
    <w:tmpl w:val="7A34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2E7CD7"/>
    <w:multiLevelType w:val="multilevel"/>
    <w:tmpl w:val="0FFEF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B748D0"/>
    <w:multiLevelType w:val="multilevel"/>
    <w:tmpl w:val="41EC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F80B19"/>
    <w:multiLevelType w:val="multilevel"/>
    <w:tmpl w:val="0548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AF64A4"/>
    <w:multiLevelType w:val="multilevel"/>
    <w:tmpl w:val="57A0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1476FC"/>
    <w:multiLevelType w:val="multilevel"/>
    <w:tmpl w:val="C6FE8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934425"/>
    <w:multiLevelType w:val="multilevel"/>
    <w:tmpl w:val="11EE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1429C1"/>
    <w:multiLevelType w:val="multilevel"/>
    <w:tmpl w:val="15BAE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5C54DC"/>
    <w:multiLevelType w:val="multilevel"/>
    <w:tmpl w:val="83EE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7"/>
  </w:num>
  <w:num w:numId="4">
    <w:abstractNumId w:val="9"/>
  </w:num>
  <w:num w:numId="5">
    <w:abstractNumId w:val="12"/>
  </w:num>
  <w:num w:numId="6">
    <w:abstractNumId w:val="13"/>
  </w:num>
  <w:num w:numId="7">
    <w:abstractNumId w:val="10"/>
  </w:num>
  <w:num w:numId="8">
    <w:abstractNumId w:val="0"/>
  </w:num>
  <w:num w:numId="9">
    <w:abstractNumId w:val="1"/>
  </w:num>
  <w:num w:numId="10">
    <w:abstractNumId w:val="3"/>
  </w:num>
  <w:num w:numId="11">
    <w:abstractNumId w:val="14"/>
  </w:num>
  <w:num w:numId="12">
    <w:abstractNumId w:val="19"/>
  </w:num>
  <w:num w:numId="13">
    <w:abstractNumId w:val="17"/>
  </w:num>
  <w:num w:numId="14">
    <w:abstractNumId w:val="8"/>
  </w:num>
  <w:num w:numId="15">
    <w:abstractNumId w:val="16"/>
  </w:num>
  <w:num w:numId="16">
    <w:abstractNumId w:val="20"/>
  </w:num>
  <w:num w:numId="17">
    <w:abstractNumId w:val="18"/>
  </w:num>
  <w:num w:numId="18">
    <w:abstractNumId w:val="5"/>
  </w:num>
  <w:num w:numId="19">
    <w:abstractNumId w:val="11"/>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6A"/>
    <w:rsid w:val="000270B3"/>
    <w:rsid w:val="00043245"/>
    <w:rsid w:val="00046DE5"/>
    <w:rsid w:val="0006721C"/>
    <w:rsid w:val="000835BA"/>
    <w:rsid w:val="00090C3F"/>
    <w:rsid w:val="0009183C"/>
    <w:rsid w:val="000A175E"/>
    <w:rsid w:val="000A63AC"/>
    <w:rsid w:val="000C2188"/>
    <w:rsid w:val="000C7CF4"/>
    <w:rsid w:val="000D7575"/>
    <w:rsid w:val="000E196C"/>
    <w:rsid w:val="000E5400"/>
    <w:rsid w:val="000E5C13"/>
    <w:rsid w:val="0010477E"/>
    <w:rsid w:val="0011536C"/>
    <w:rsid w:val="00132988"/>
    <w:rsid w:val="00132A39"/>
    <w:rsid w:val="0013533E"/>
    <w:rsid w:val="00182057"/>
    <w:rsid w:val="001A44A7"/>
    <w:rsid w:val="001A4EA5"/>
    <w:rsid w:val="001A7B40"/>
    <w:rsid w:val="001B1F47"/>
    <w:rsid w:val="001B6A31"/>
    <w:rsid w:val="001B6FE1"/>
    <w:rsid w:val="001B7C57"/>
    <w:rsid w:val="0020103E"/>
    <w:rsid w:val="00204340"/>
    <w:rsid w:val="002205E8"/>
    <w:rsid w:val="00232B87"/>
    <w:rsid w:val="002565B4"/>
    <w:rsid w:val="002648F8"/>
    <w:rsid w:val="00273CBE"/>
    <w:rsid w:val="00275B2C"/>
    <w:rsid w:val="002955E2"/>
    <w:rsid w:val="002A7176"/>
    <w:rsid w:val="002C6299"/>
    <w:rsid w:val="002C6344"/>
    <w:rsid w:val="002C6911"/>
    <w:rsid w:val="002C75B9"/>
    <w:rsid w:val="002E7989"/>
    <w:rsid w:val="002F1913"/>
    <w:rsid w:val="002F5FEA"/>
    <w:rsid w:val="003102CF"/>
    <w:rsid w:val="00322808"/>
    <w:rsid w:val="00333BC5"/>
    <w:rsid w:val="00336A24"/>
    <w:rsid w:val="00342B10"/>
    <w:rsid w:val="00356D05"/>
    <w:rsid w:val="0036158C"/>
    <w:rsid w:val="00374A50"/>
    <w:rsid w:val="00392502"/>
    <w:rsid w:val="00393D9B"/>
    <w:rsid w:val="003A75A4"/>
    <w:rsid w:val="003B2856"/>
    <w:rsid w:val="003B306A"/>
    <w:rsid w:val="003C0274"/>
    <w:rsid w:val="003C590B"/>
    <w:rsid w:val="003D284C"/>
    <w:rsid w:val="003E3F10"/>
    <w:rsid w:val="003E4B0D"/>
    <w:rsid w:val="003E5F44"/>
    <w:rsid w:val="003F08B7"/>
    <w:rsid w:val="003F2F6E"/>
    <w:rsid w:val="003F489B"/>
    <w:rsid w:val="003F4C34"/>
    <w:rsid w:val="003F54C3"/>
    <w:rsid w:val="00403555"/>
    <w:rsid w:val="00420B2F"/>
    <w:rsid w:val="00422E3F"/>
    <w:rsid w:val="004259D4"/>
    <w:rsid w:val="0043714E"/>
    <w:rsid w:val="00450304"/>
    <w:rsid w:val="004C1852"/>
    <w:rsid w:val="004E6550"/>
    <w:rsid w:val="004F13C6"/>
    <w:rsid w:val="004F1A92"/>
    <w:rsid w:val="00547F5D"/>
    <w:rsid w:val="005835BC"/>
    <w:rsid w:val="00587C5E"/>
    <w:rsid w:val="005917DC"/>
    <w:rsid w:val="005A4258"/>
    <w:rsid w:val="005C1904"/>
    <w:rsid w:val="005C30A7"/>
    <w:rsid w:val="005D1642"/>
    <w:rsid w:val="005F3956"/>
    <w:rsid w:val="005F656A"/>
    <w:rsid w:val="00606565"/>
    <w:rsid w:val="00606623"/>
    <w:rsid w:val="00620EAA"/>
    <w:rsid w:val="00623BFA"/>
    <w:rsid w:val="00626A5E"/>
    <w:rsid w:val="00672F4E"/>
    <w:rsid w:val="00686DAC"/>
    <w:rsid w:val="00696E31"/>
    <w:rsid w:val="006B514F"/>
    <w:rsid w:val="006D2691"/>
    <w:rsid w:val="006E5BEF"/>
    <w:rsid w:val="006F6020"/>
    <w:rsid w:val="00702FB3"/>
    <w:rsid w:val="00703383"/>
    <w:rsid w:val="00724523"/>
    <w:rsid w:val="00745B61"/>
    <w:rsid w:val="0077177C"/>
    <w:rsid w:val="007739C6"/>
    <w:rsid w:val="00783F95"/>
    <w:rsid w:val="00786172"/>
    <w:rsid w:val="00787C01"/>
    <w:rsid w:val="007B450F"/>
    <w:rsid w:val="007C4A14"/>
    <w:rsid w:val="007C6C59"/>
    <w:rsid w:val="007E3CEF"/>
    <w:rsid w:val="007F1E65"/>
    <w:rsid w:val="007F2ADC"/>
    <w:rsid w:val="00804D4F"/>
    <w:rsid w:val="008060EA"/>
    <w:rsid w:val="00821B26"/>
    <w:rsid w:val="00823ED2"/>
    <w:rsid w:val="0082460B"/>
    <w:rsid w:val="0085643A"/>
    <w:rsid w:val="00861CCA"/>
    <w:rsid w:val="008679B2"/>
    <w:rsid w:val="00881B07"/>
    <w:rsid w:val="00886745"/>
    <w:rsid w:val="008B6F52"/>
    <w:rsid w:val="008C4B38"/>
    <w:rsid w:val="008D4746"/>
    <w:rsid w:val="008F6373"/>
    <w:rsid w:val="0090417E"/>
    <w:rsid w:val="0091080F"/>
    <w:rsid w:val="00911D70"/>
    <w:rsid w:val="009152FA"/>
    <w:rsid w:val="009300B8"/>
    <w:rsid w:val="009431C0"/>
    <w:rsid w:val="00946EB6"/>
    <w:rsid w:val="00963C83"/>
    <w:rsid w:val="009767FD"/>
    <w:rsid w:val="00976B61"/>
    <w:rsid w:val="00977138"/>
    <w:rsid w:val="00977AD6"/>
    <w:rsid w:val="00980F2C"/>
    <w:rsid w:val="00990FD6"/>
    <w:rsid w:val="00991231"/>
    <w:rsid w:val="009B627E"/>
    <w:rsid w:val="009E2833"/>
    <w:rsid w:val="009F1B18"/>
    <w:rsid w:val="009F2633"/>
    <w:rsid w:val="00A10E49"/>
    <w:rsid w:val="00A12425"/>
    <w:rsid w:val="00A12461"/>
    <w:rsid w:val="00A1337B"/>
    <w:rsid w:val="00A221E8"/>
    <w:rsid w:val="00A30F7F"/>
    <w:rsid w:val="00A53B3E"/>
    <w:rsid w:val="00A6406A"/>
    <w:rsid w:val="00A64C9C"/>
    <w:rsid w:val="00A77496"/>
    <w:rsid w:val="00A827AD"/>
    <w:rsid w:val="00A94BD4"/>
    <w:rsid w:val="00AA20A6"/>
    <w:rsid w:val="00AA5B32"/>
    <w:rsid w:val="00AB1257"/>
    <w:rsid w:val="00AB2787"/>
    <w:rsid w:val="00AD0B7E"/>
    <w:rsid w:val="00AD5E8C"/>
    <w:rsid w:val="00AE0066"/>
    <w:rsid w:val="00B03F5A"/>
    <w:rsid w:val="00B049B0"/>
    <w:rsid w:val="00B069BB"/>
    <w:rsid w:val="00B11A51"/>
    <w:rsid w:val="00B274F9"/>
    <w:rsid w:val="00B35A60"/>
    <w:rsid w:val="00B4589D"/>
    <w:rsid w:val="00B470D1"/>
    <w:rsid w:val="00B47AE8"/>
    <w:rsid w:val="00B65B0F"/>
    <w:rsid w:val="00B83F62"/>
    <w:rsid w:val="00B86C59"/>
    <w:rsid w:val="00B9542B"/>
    <w:rsid w:val="00BB268A"/>
    <w:rsid w:val="00BB426D"/>
    <w:rsid w:val="00BB564B"/>
    <w:rsid w:val="00BB5CA1"/>
    <w:rsid w:val="00BC4B85"/>
    <w:rsid w:val="00BE5A80"/>
    <w:rsid w:val="00BF7B5E"/>
    <w:rsid w:val="00C32337"/>
    <w:rsid w:val="00C3500D"/>
    <w:rsid w:val="00C477E8"/>
    <w:rsid w:val="00C568E5"/>
    <w:rsid w:val="00C72328"/>
    <w:rsid w:val="00C936DC"/>
    <w:rsid w:val="00CA0405"/>
    <w:rsid w:val="00CB7052"/>
    <w:rsid w:val="00CD5FA6"/>
    <w:rsid w:val="00D06E74"/>
    <w:rsid w:val="00D307A3"/>
    <w:rsid w:val="00D8341A"/>
    <w:rsid w:val="00DA0090"/>
    <w:rsid w:val="00DA6BB3"/>
    <w:rsid w:val="00DB0E5B"/>
    <w:rsid w:val="00DC0300"/>
    <w:rsid w:val="00DC2495"/>
    <w:rsid w:val="00DC283B"/>
    <w:rsid w:val="00DC52F4"/>
    <w:rsid w:val="00DC739F"/>
    <w:rsid w:val="00DE4962"/>
    <w:rsid w:val="00DE5D25"/>
    <w:rsid w:val="00DF131A"/>
    <w:rsid w:val="00E035EA"/>
    <w:rsid w:val="00E321C7"/>
    <w:rsid w:val="00E34201"/>
    <w:rsid w:val="00E51ED6"/>
    <w:rsid w:val="00E62175"/>
    <w:rsid w:val="00E651AA"/>
    <w:rsid w:val="00E72C71"/>
    <w:rsid w:val="00EB0A95"/>
    <w:rsid w:val="00EB11CE"/>
    <w:rsid w:val="00EB548E"/>
    <w:rsid w:val="00EC682E"/>
    <w:rsid w:val="00F031C5"/>
    <w:rsid w:val="00F117CA"/>
    <w:rsid w:val="00F1497C"/>
    <w:rsid w:val="00F3269E"/>
    <w:rsid w:val="00F34166"/>
    <w:rsid w:val="00F37844"/>
    <w:rsid w:val="00F44501"/>
    <w:rsid w:val="00F53012"/>
    <w:rsid w:val="00F567C4"/>
    <w:rsid w:val="00F6058C"/>
    <w:rsid w:val="00F65ABE"/>
    <w:rsid w:val="00F71C0F"/>
    <w:rsid w:val="00F90F72"/>
    <w:rsid w:val="00FA5DD8"/>
    <w:rsid w:val="00FB09B4"/>
    <w:rsid w:val="00FC0053"/>
    <w:rsid w:val="00FC0917"/>
    <w:rsid w:val="00FC3C84"/>
    <w:rsid w:val="00FD2F2E"/>
    <w:rsid w:val="00FE2372"/>
    <w:rsid w:val="00FE591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17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73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C73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73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65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656A"/>
    <w:rPr>
      <w:b/>
      <w:bCs/>
    </w:rPr>
  </w:style>
  <w:style w:type="paragraph" w:styleId="Header">
    <w:name w:val="header"/>
    <w:basedOn w:val="Normal"/>
    <w:link w:val="HeaderChar"/>
    <w:uiPriority w:val="99"/>
    <w:semiHidden/>
    <w:unhideWhenUsed/>
    <w:rsid w:val="008F637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F6373"/>
  </w:style>
  <w:style w:type="paragraph" w:styleId="Footer">
    <w:name w:val="footer"/>
    <w:basedOn w:val="Normal"/>
    <w:link w:val="FooterChar"/>
    <w:uiPriority w:val="99"/>
    <w:unhideWhenUsed/>
    <w:rsid w:val="008F63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6373"/>
  </w:style>
  <w:style w:type="paragraph" w:styleId="FootnoteText">
    <w:name w:val="footnote text"/>
    <w:aliases w:val="fn"/>
    <w:basedOn w:val="Normal"/>
    <w:link w:val="FootnoteTextChar"/>
    <w:unhideWhenUsed/>
    <w:rsid w:val="00F90F72"/>
    <w:pPr>
      <w:spacing w:after="0" w:line="240" w:lineRule="auto"/>
    </w:pPr>
    <w:rPr>
      <w:sz w:val="20"/>
      <w:szCs w:val="20"/>
    </w:rPr>
  </w:style>
  <w:style w:type="character" w:customStyle="1" w:styleId="FootnoteTextChar">
    <w:name w:val="Footnote Text Char"/>
    <w:aliases w:val="fn Char"/>
    <w:basedOn w:val="DefaultParagraphFont"/>
    <w:link w:val="FootnoteText"/>
    <w:rsid w:val="00F90F72"/>
    <w:rPr>
      <w:sz w:val="20"/>
      <w:szCs w:val="20"/>
    </w:rPr>
  </w:style>
  <w:style w:type="character" w:styleId="FootnoteReference">
    <w:name w:val="footnote reference"/>
    <w:basedOn w:val="DefaultParagraphFont"/>
    <w:unhideWhenUsed/>
    <w:rsid w:val="00F90F72"/>
    <w:rPr>
      <w:vertAlign w:val="superscript"/>
    </w:rPr>
  </w:style>
  <w:style w:type="character" w:styleId="Hyperlink">
    <w:name w:val="Hyperlink"/>
    <w:basedOn w:val="DefaultParagraphFont"/>
    <w:uiPriority w:val="99"/>
    <w:unhideWhenUsed/>
    <w:rsid w:val="00F6058C"/>
    <w:rPr>
      <w:color w:val="0000FF" w:themeColor="hyperlink"/>
      <w:u w:val="single"/>
    </w:rPr>
  </w:style>
  <w:style w:type="character" w:styleId="CommentReference">
    <w:name w:val="annotation reference"/>
    <w:basedOn w:val="DefaultParagraphFont"/>
    <w:uiPriority w:val="99"/>
    <w:semiHidden/>
    <w:unhideWhenUsed/>
    <w:rsid w:val="00977138"/>
    <w:rPr>
      <w:sz w:val="16"/>
      <w:szCs w:val="16"/>
    </w:rPr>
  </w:style>
  <w:style w:type="paragraph" w:styleId="CommentText">
    <w:name w:val="annotation text"/>
    <w:basedOn w:val="Normal"/>
    <w:link w:val="CommentTextChar"/>
    <w:uiPriority w:val="99"/>
    <w:semiHidden/>
    <w:unhideWhenUsed/>
    <w:rsid w:val="00977138"/>
    <w:pPr>
      <w:spacing w:line="240" w:lineRule="auto"/>
    </w:pPr>
    <w:rPr>
      <w:sz w:val="20"/>
      <w:szCs w:val="20"/>
    </w:rPr>
  </w:style>
  <w:style w:type="character" w:customStyle="1" w:styleId="CommentTextChar">
    <w:name w:val="Comment Text Char"/>
    <w:basedOn w:val="DefaultParagraphFont"/>
    <w:link w:val="CommentText"/>
    <w:uiPriority w:val="99"/>
    <w:semiHidden/>
    <w:rsid w:val="00977138"/>
    <w:rPr>
      <w:sz w:val="20"/>
      <w:szCs w:val="20"/>
    </w:rPr>
  </w:style>
  <w:style w:type="paragraph" w:styleId="CommentSubject">
    <w:name w:val="annotation subject"/>
    <w:basedOn w:val="CommentText"/>
    <w:next w:val="CommentText"/>
    <w:link w:val="CommentSubjectChar"/>
    <w:uiPriority w:val="99"/>
    <w:semiHidden/>
    <w:unhideWhenUsed/>
    <w:rsid w:val="00977138"/>
    <w:rPr>
      <w:b/>
      <w:bCs/>
    </w:rPr>
  </w:style>
  <w:style w:type="character" w:customStyle="1" w:styleId="CommentSubjectChar">
    <w:name w:val="Comment Subject Char"/>
    <w:basedOn w:val="CommentTextChar"/>
    <w:link w:val="CommentSubject"/>
    <w:uiPriority w:val="99"/>
    <w:semiHidden/>
    <w:rsid w:val="00977138"/>
    <w:rPr>
      <w:b/>
      <w:bCs/>
      <w:sz w:val="20"/>
      <w:szCs w:val="20"/>
    </w:rPr>
  </w:style>
  <w:style w:type="paragraph" w:styleId="BalloonText">
    <w:name w:val="Balloon Text"/>
    <w:basedOn w:val="Normal"/>
    <w:link w:val="BalloonTextChar"/>
    <w:uiPriority w:val="99"/>
    <w:semiHidden/>
    <w:unhideWhenUsed/>
    <w:rsid w:val="00977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138"/>
    <w:rPr>
      <w:rFonts w:ascii="Tahoma" w:hAnsi="Tahoma" w:cs="Tahoma"/>
      <w:sz w:val="16"/>
      <w:szCs w:val="16"/>
    </w:rPr>
  </w:style>
  <w:style w:type="character" w:customStyle="1" w:styleId="Heading2Char">
    <w:name w:val="Heading 2 Char"/>
    <w:basedOn w:val="DefaultParagraphFont"/>
    <w:link w:val="Heading2"/>
    <w:uiPriority w:val="9"/>
    <w:semiHidden/>
    <w:rsid w:val="00DC73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739F"/>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rsid w:val="00DC739F"/>
    <w:rPr>
      <w:rFonts w:ascii="Times New Roman" w:eastAsia="Times New Roman" w:hAnsi="Times New Roman" w:cs="Times New Roman"/>
      <w:b/>
      <w:bCs/>
      <w:sz w:val="24"/>
      <w:szCs w:val="24"/>
      <w:lang w:eastAsia="fr-FR"/>
    </w:rPr>
  </w:style>
  <w:style w:type="character" w:styleId="Emphasis">
    <w:name w:val="Emphasis"/>
    <w:basedOn w:val="DefaultParagraphFont"/>
    <w:uiPriority w:val="20"/>
    <w:qFormat/>
    <w:rsid w:val="00DC739F"/>
    <w:rPr>
      <w:i/>
      <w:iCs/>
    </w:rPr>
  </w:style>
  <w:style w:type="paragraph" w:styleId="Revision">
    <w:name w:val="Revision"/>
    <w:hidden/>
    <w:uiPriority w:val="99"/>
    <w:semiHidden/>
    <w:rsid w:val="00DC739F"/>
    <w:pPr>
      <w:spacing w:after="0" w:line="240" w:lineRule="auto"/>
    </w:pPr>
  </w:style>
  <w:style w:type="character" w:customStyle="1" w:styleId="Heading1Char">
    <w:name w:val="Heading 1 Char"/>
    <w:basedOn w:val="DefaultParagraphFont"/>
    <w:link w:val="Heading1"/>
    <w:uiPriority w:val="9"/>
    <w:rsid w:val="0077177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917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17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73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C73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73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65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656A"/>
    <w:rPr>
      <w:b/>
      <w:bCs/>
    </w:rPr>
  </w:style>
  <w:style w:type="paragraph" w:styleId="Header">
    <w:name w:val="header"/>
    <w:basedOn w:val="Normal"/>
    <w:link w:val="HeaderChar"/>
    <w:uiPriority w:val="99"/>
    <w:semiHidden/>
    <w:unhideWhenUsed/>
    <w:rsid w:val="008F637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F6373"/>
  </w:style>
  <w:style w:type="paragraph" w:styleId="Footer">
    <w:name w:val="footer"/>
    <w:basedOn w:val="Normal"/>
    <w:link w:val="FooterChar"/>
    <w:uiPriority w:val="99"/>
    <w:unhideWhenUsed/>
    <w:rsid w:val="008F63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6373"/>
  </w:style>
  <w:style w:type="paragraph" w:styleId="FootnoteText">
    <w:name w:val="footnote text"/>
    <w:aliases w:val="fn"/>
    <w:basedOn w:val="Normal"/>
    <w:link w:val="FootnoteTextChar"/>
    <w:unhideWhenUsed/>
    <w:rsid w:val="00F90F72"/>
    <w:pPr>
      <w:spacing w:after="0" w:line="240" w:lineRule="auto"/>
    </w:pPr>
    <w:rPr>
      <w:sz w:val="20"/>
      <w:szCs w:val="20"/>
    </w:rPr>
  </w:style>
  <w:style w:type="character" w:customStyle="1" w:styleId="FootnoteTextChar">
    <w:name w:val="Footnote Text Char"/>
    <w:aliases w:val="fn Char"/>
    <w:basedOn w:val="DefaultParagraphFont"/>
    <w:link w:val="FootnoteText"/>
    <w:rsid w:val="00F90F72"/>
    <w:rPr>
      <w:sz w:val="20"/>
      <w:szCs w:val="20"/>
    </w:rPr>
  </w:style>
  <w:style w:type="character" w:styleId="FootnoteReference">
    <w:name w:val="footnote reference"/>
    <w:basedOn w:val="DefaultParagraphFont"/>
    <w:unhideWhenUsed/>
    <w:rsid w:val="00F90F72"/>
    <w:rPr>
      <w:vertAlign w:val="superscript"/>
    </w:rPr>
  </w:style>
  <w:style w:type="character" w:styleId="Hyperlink">
    <w:name w:val="Hyperlink"/>
    <w:basedOn w:val="DefaultParagraphFont"/>
    <w:uiPriority w:val="99"/>
    <w:unhideWhenUsed/>
    <w:rsid w:val="00F6058C"/>
    <w:rPr>
      <w:color w:val="0000FF" w:themeColor="hyperlink"/>
      <w:u w:val="single"/>
    </w:rPr>
  </w:style>
  <w:style w:type="character" w:styleId="CommentReference">
    <w:name w:val="annotation reference"/>
    <w:basedOn w:val="DefaultParagraphFont"/>
    <w:uiPriority w:val="99"/>
    <w:semiHidden/>
    <w:unhideWhenUsed/>
    <w:rsid w:val="00977138"/>
    <w:rPr>
      <w:sz w:val="16"/>
      <w:szCs w:val="16"/>
    </w:rPr>
  </w:style>
  <w:style w:type="paragraph" w:styleId="CommentText">
    <w:name w:val="annotation text"/>
    <w:basedOn w:val="Normal"/>
    <w:link w:val="CommentTextChar"/>
    <w:uiPriority w:val="99"/>
    <w:semiHidden/>
    <w:unhideWhenUsed/>
    <w:rsid w:val="00977138"/>
    <w:pPr>
      <w:spacing w:line="240" w:lineRule="auto"/>
    </w:pPr>
    <w:rPr>
      <w:sz w:val="20"/>
      <w:szCs w:val="20"/>
    </w:rPr>
  </w:style>
  <w:style w:type="character" w:customStyle="1" w:styleId="CommentTextChar">
    <w:name w:val="Comment Text Char"/>
    <w:basedOn w:val="DefaultParagraphFont"/>
    <w:link w:val="CommentText"/>
    <w:uiPriority w:val="99"/>
    <w:semiHidden/>
    <w:rsid w:val="00977138"/>
    <w:rPr>
      <w:sz w:val="20"/>
      <w:szCs w:val="20"/>
    </w:rPr>
  </w:style>
  <w:style w:type="paragraph" w:styleId="CommentSubject">
    <w:name w:val="annotation subject"/>
    <w:basedOn w:val="CommentText"/>
    <w:next w:val="CommentText"/>
    <w:link w:val="CommentSubjectChar"/>
    <w:uiPriority w:val="99"/>
    <w:semiHidden/>
    <w:unhideWhenUsed/>
    <w:rsid w:val="00977138"/>
    <w:rPr>
      <w:b/>
      <w:bCs/>
    </w:rPr>
  </w:style>
  <w:style w:type="character" w:customStyle="1" w:styleId="CommentSubjectChar">
    <w:name w:val="Comment Subject Char"/>
    <w:basedOn w:val="CommentTextChar"/>
    <w:link w:val="CommentSubject"/>
    <w:uiPriority w:val="99"/>
    <w:semiHidden/>
    <w:rsid w:val="00977138"/>
    <w:rPr>
      <w:b/>
      <w:bCs/>
      <w:sz w:val="20"/>
      <w:szCs w:val="20"/>
    </w:rPr>
  </w:style>
  <w:style w:type="paragraph" w:styleId="BalloonText">
    <w:name w:val="Balloon Text"/>
    <w:basedOn w:val="Normal"/>
    <w:link w:val="BalloonTextChar"/>
    <w:uiPriority w:val="99"/>
    <w:semiHidden/>
    <w:unhideWhenUsed/>
    <w:rsid w:val="00977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138"/>
    <w:rPr>
      <w:rFonts w:ascii="Tahoma" w:hAnsi="Tahoma" w:cs="Tahoma"/>
      <w:sz w:val="16"/>
      <w:szCs w:val="16"/>
    </w:rPr>
  </w:style>
  <w:style w:type="character" w:customStyle="1" w:styleId="Heading2Char">
    <w:name w:val="Heading 2 Char"/>
    <w:basedOn w:val="DefaultParagraphFont"/>
    <w:link w:val="Heading2"/>
    <w:uiPriority w:val="9"/>
    <w:semiHidden/>
    <w:rsid w:val="00DC73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739F"/>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rsid w:val="00DC739F"/>
    <w:rPr>
      <w:rFonts w:ascii="Times New Roman" w:eastAsia="Times New Roman" w:hAnsi="Times New Roman" w:cs="Times New Roman"/>
      <w:b/>
      <w:bCs/>
      <w:sz w:val="24"/>
      <w:szCs w:val="24"/>
      <w:lang w:eastAsia="fr-FR"/>
    </w:rPr>
  </w:style>
  <w:style w:type="character" w:styleId="Emphasis">
    <w:name w:val="Emphasis"/>
    <w:basedOn w:val="DefaultParagraphFont"/>
    <w:uiPriority w:val="20"/>
    <w:qFormat/>
    <w:rsid w:val="00DC739F"/>
    <w:rPr>
      <w:i/>
      <w:iCs/>
    </w:rPr>
  </w:style>
  <w:style w:type="paragraph" w:styleId="Revision">
    <w:name w:val="Revision"/>
    <w:hidden/>
    <w:uiPriority w:val="99"/>
    <w:semiHidden/>
    <w:rsid w:val="00DC739F"/>
    <w:pPr>
      <w:spacing w:after="0" w:line="240" w:lineRule="auto"/>
    </w:pPr>
  </w:style>
  <w:style w:type="character" w:customStyle="1" w:styleId="Heading1Char">
    <w:name w:val="Heading 1 Char"/>
    <w:basedOn w:val="DefaultParagraphFont"/>
    <w:link w:val="Heading1"/>
    <w:uiPriority w:val="9"/>
    <w:rsid w:val="0077177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91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1774">
      <w:bodyDiv w:val="1"/>
      <w:marLeft w:val="0"/>
      <w:marRight w:val="0"/>
      <w:marTop w:val="0"/>
      <w:marBottom w:val="0"/>
      <w:divBdr>
        <w:top w:val="none" w:sz="0" w:space="0" w:color="auto"/>
        <w:left w:val="none" w:sz="0" w:space="0" w:color="auto"/>
        <w:bottom w:val="none" w:sz="0" w:space="0" w:color="auto"/>
        <w:right w:val="none" w:sz="0" w:space="0" w:color="auto"/>
      </w:divBdr>
    </w:div>
    <w:div w:id="74396684">
      <w:bodyDiv w:val="1"/>
      <w:marLeft w:val="0"/>
      <w:marRight w:val="0"/>
      <w:marTop w:val="0"/>
      <w:marBottom w:val="0"/>
      <w:divBdr>
        <w:top w:val="none" w:sz="0" w:space="0" w:color="auto"/>
        <w:left w:val="none" w:sz="0" w:space="0" w:color="auto"/>
        <w:bottom w:val="none" w:sz="0" w:space="0" w:color="auto"/>
        <w:right w:val="none" w:sz="0" w:space="0" w:color="auto"/>
      </w:divBdr>
      <w:divsChild>
        <w:div w:id="1688797875">
          <w:marLeft w:val="0"/>
          <w:marRight w:val="0"/>
          <w:marTop w:val="0"/>
          <w:marBottom w:val="0"/>
          <w:divBdr>
            <w:top w:val="none" w:sz="0" w:space="0" w:color="auto"/>
            <w:left w:val="none" w:sz="0" w:space="0" w:color="auto"/>
            <w:bottom w:val="none" w:sz="0" w:space="0" w:color="auto"/>
            <w:right w:val="none" w:sz="0" w:space="0" w:color="auto"/>
          </w:divBdr>
        </w:div>
      </w:divsChild>
    </w:div>
    <w:div w:id="91098044">
      <w:bodyDiv w:val="1"/>
      <w:marLeft w:val="0"/>
      <w:marRight w:val="0"/>
      <w:marTop w:val="0"/>
      <w:marBottom w:val="0"/>
      <w:divBdr>
        <w:top w:val="none" w:sz="0" w:space="0" w:color="auto"/>
        <w:left w:val="none" w:sz="0" w:space="0" w:color="auto"/>
        <w:bottom w:val="none" w:sz="0" w:space="0" w:color="auto"/>
        <w:right w:val="none" w:sz="0" w:space="0" w:color="auto"/>
      </w:divBdr>
    </w:div>
    <w:div w:id="110589545">
      <w:bodyDiv w:val="1"/>
      <w:marLeft w:val="0"/>
      <w:marRight w:val="0"/>
      <w:marTop w:val="0"/>
      <w:marBottom w:val="0"/>
      <w:divBdr>
        <w:top w:val="none" w:sz="0" w:space="0" w:color="auto"/>
        <w:left w:val="none" w:sz="0" w:space="0" w:color="auto"/>
        <w:bottom w:val="none" w:sz="0" w:space="0" w:color="auto"/>
        <w:right w:val="none" w:sz="0" w:space="0" w:color="auto"/>
      </w:divBdr>
      <w:divsChild>
        <w:div w:id="1488934978">
          <w:marLeft w:val="0"/>
          <w:marRight w:val="0"/>
          <w:marTop w:val="0"/>
          <w:marBottom w:val="0"/>
          <w:divBdr>
            <w:top w:val="none" w:sz="0" w:space="0" w:color="auto"/>
            <w:left w:val="none" w:sz="0" w:space="0" w:color="auto"/>
            <w:bottom w:val="none" w:sz="0" w:space="0" w:color="auto"/>
            <w:right w:val="none" w:sz="0" w:space="0" w:color="auto"/>
          </w:divBdr>
        </w:div>
      </w:divsChild>
    </w:div>
    <w:div w:id="215943459">
      <w:bodyDiv w:val="1"/>
      <w:marLeft w:val="0"/>
      <w:marRight w:val="0"/>
      <w:marTop w:val="0"/>
      <w:marBottom w:val="0"/>
      <w:divBdr>
        <w:top w:val="none" w:sz="0" w:space="0" w:color="auto"/>
        <w:left w:val="none" w:sz="0" w:space="0" w:color="auto"/>
        <w:bottom w:val="none" w:sz="0" w:space="0" w:color="auto"/>
        <w:right w:val="none" w:sz="0" w:space="0" w:color="auto"/>
      </w:divBdr>
    </w:div>
    <w:div w:id="234702570">
      <w:bodyDiv w:val="1"/>
      <w:marLeft w:val="0"/>
      <w:marRight w:val="0"/>
      <w:marTop w:val="0"/>
      <w:marBottom w:val="0"/>
      <w:divBdr>
        <w:top w:val="none" w:sz="0" w:space="0" w:color="auto"/>
        <w:left w:val="none" w:sz="0" w:space="0" w:color="auto"/>
        <w:bottom w:val="none" w:sz="0" w:space="0" w:color="auto"/>
        <w:right w:val="none" w:sz="0" w:space="0" w:color="auto"/>
      </w:divBdr>
    </w:div>
    <w:div w:id="250546925">
      <w:bodyDiv w:val="1"/>
      <w:marLeft w:val="0"/>
      <w:marRight w:val="0"/>
      <w:marTop w:val="0"/>
      <w:marBottom w:val="0"/>
      <w:divBdr>
        <w:top w:val="none" w:sz="0" w:space="0" w:color="auto"/>
        <w:left w:val="none" w:sz="0" w:space="0" w:color="auto"/>
        <w:bottom w:val="none" w:sz="0" w:space="0" w:color="auto"/>
        <w:right w:val="none" w:sz="0" w:space="0" w:color="auto"/>
      </w:divBdr>
    </w:div>
    <w:div w:id="266472772">
      <w:bodyDiv w:val="1"/>
      <w:marLeft w:val="0"/>
      <w:marRight w:val="0"/>
      <w:marTop w:val="0"/>
      <w:marBottom w:val="0"/>
      <w:divBdr>
        <w:top w:val="none" w:sz="0" w:space="0" w:color="auto"/>
        <w:left w:val="none" w:sz="0" w:space="0" w:color="auto"/>
        <w:bottom w:val="none" w:sz="0" w:space="0" w:color="auto"/>
        <w:right w:val="none" w:sz="0" w:space="0" w:color="auto"/>
      </w:divBdr>
      <w:divsChild>
        <w:div w:id="728962603">
          <w:marLeft w:val="0"/>
          <w:marRight w:val="0"/>
          <w:marTop w:val="0"/>
          <w:marBottom w:val="0"/>
          <w:divBdr>
            <w:top w:val="none" w:sz="0" w:space="0" w:color="auto"/>
            <w:left w:val="none" w:sz="0" w:space="0" w:color="auto"/>
            <w:bottom w:val="none" w:sz="0" w:space="0" w:color="auto"/>
            <w:right w:val="none" w:sz="0" w:space="0" w:color="auto"/>
          </w:divBdr>
        </w:div>
      </w:divsChild>
    </w:div>
    <w:div w:id="290867311">
      <w:bodyDiv w:val="1"/>
      <w:marLeft w:val="0"/>
      <w:marRight w:val="0"/>
      <w:marTop w:val="0"/>
      <w:marBottom w:val="0"/>
      <w:divBdr>
        <w:top w:val="none" w:sz="0" w:space="0" w:color="auto"/>
        <w:left w:val="none" w:sz="0" w:space="0" w:color="auto"/>
        <w:bottom w:val="none" w:sz="0" w:space="0" w:color="auto"/>
        <w:right w:val="none" w:sz="0" w:space="0" w:color="auto"/>
      </w:divBdr>
      <w:divsChild>
        <w:div w:id="1126504386">
          <w:marLeft w:val="0"/>
          <w:marRight w:val="0"/>
          <w:marTop w:val="0"/>
          <w:marBottom w:val="0"/>
          <w:divBdr>
            <w:top w:val="none" w:sz="0" w:space="0" w:color="auto"/>
            <w:left w:val="none" w:sz="0" w:space="0" w:color="auto"/>
            <w:bottom w:val="none" w:sz="0" w:space="0" w:color="auto"/>
            <w:right w:val="none" w:sz="0" w:space="0" w:color="auto"/>
          </w:divBdr>
        </w:div>
        <w:div w:id="117383137">
          <w:marLeft w:val="0"/>
          <w:marRight w:val="0"/>
          <w:marTop w:val="0"/>
          <w:marBottom w:val="0"/>
          <w:divBdr>
            <w:top w:val="none" w:sz="0" w:space="0" w:color="auto"/>
            <w:left w:val="none" w:sz="0" w:space="0" w:color="auto"/>
            <w:bottom w:val="none" w:sz="0" w:space="0" w:color="auto"/>
            <w:right w:val="none" w:sz="0" w:space="0" w:color="auto"/>
          </w:divBdr>
        </w:div>
        <w:div w:id="449014472">
          <w:marLeft w:val="0"/>
          <w:marRight w:val="0"/>
          <w:marTop w:val="0"/>
          <w:marBottom w:val="0"/>
          <w:divBdr>
            <w:top w:val="none" w:sz="0" w:space="0" w:color="auto"/>
            <w:left w:val="none" w:sz="0" w:space="0" w:color="auto"/>
            <w:bottom w:val="none" w:sz="0" w:space="0" w:color="auto"/>
            <w:right w:val="none" w:sz="0" w:space="0" w:color="auto"/>
          </w:divBdr>
        </w:div>
      </w:divsChild>
    </w:div>
    <w:div w:id="325868740">
      <w:bodyDiv w:val="1"/>
      <w:marLeft w:val="0"/>
      <w:marRight w:val="0"/>
      <w:marTop w:val="0"/>
      <w:marBottom w:val="0"/>
      <w:divBdr>
        <w:top w:val="none" w:sz="0" w:space="0" w:color="auto"/>
        <w:left w:val="none" w:sz="0" w:space="0" w:color="auto"/>
        <w:bottom w:val="none" w:sz="0" w:space="0" w:color="auto"/>
        <w:right w:val="none" w:sz="0" w:space="0" w:color="auto"/>
      </w:divBdr>
      <w:divsChild>
        <w:div w:id="453794622">
          <w:marLeft w:val="520"/>
          <w:marRight w:val="0"/>
          <w:marTop w:val="0"/>
          <w:marBottom w:val="0"/>
          <w:divBdr>
            <w:top w:val="none" w:sz="0" w:space="0" w:color="auto"/>
            <w:left w:val="none" w:sz="0" w:space="0" w:color="auto"/>
            <w:bottom w:val="none" w:sz="0" w:space="0" w:color="auto"/>
            <w:right w:val="none" w:sz="0" w:space="0" w:color="auto"/>
          </w:divBdr>
        </w:div>
        <w:div w:id="2012441969">
          <w:marLeft w:val="520"/>
          <w:marRight w:val="0"/>
          <w:marTop w:val="0"/>
          <w:marBottom w:val="0"/>
          <w:divBdr>
            <w:top w:val="none" w:sz="0" w:space="0" w:color="auto"/>
            <w:left w:val="none" w:sz="0" w:space="0" w:color="auto"/>
            <w:bottom w:val="none" w:sz="0" w:space="0" w:color="auto"/>
            <w:right w:val="none" w:sz="0" w:space="0" w:color="auto"/>
          </w:divBdr>
        </w:div>
        <w:div w:id="957759895">
          <w:marLeft w:val="520"/>
          <w:marRight w:val="0"/>
          <w:marTop w:val="0"/>
          <w:marBottom w:val="0"/>
          <w:divBdr>
            <w:top w:val="none" w:sz="0" w:space="0" w:color="auto"/>
            <w:left w:val="none" w:sz="0" w:space="0" w:color="auto"/>
            <w:bottom w:val="none" w:sz="0" w:space="0" w:color="auto"/>
            <w:right w:val="none" w:sz="0" w:space="0" w:color="auto"/>
          </w:divBdr>
        </w:div>
        <w:div w:id="1505894785">
          <w:marLeft w:val="520"/>
          <w:marRight w:val="0"/>
          <w:marTop w:val="0"/>
          <w:marBottom w:val="0"/>
          <w:divBdr>
            <w:top w:val="none" w:sz="0" w:space="0" w:color="auto"/>
            <w:left w:val="none" w:sz="0" w:space="0" w:color="auto"/>
            <w:bottom w:val="none" w:sz="0" w:space="0" w:color="auto"/>
            <w:right w:val="none" w:sz="0" w:space="0" w:color="auto"/>
          </w:divBdr>
        </w:div>
        <w:div w:id="1876891119">
          <w:marLeft w:val="520"/>
          <w:marRight w:val="0"/>
          <w:marTop w:val="0"/>
          <w:marBottom w:val="0"/>
          <w:divBdr>
            <w:top w:val="none" w:sz="0" w:space="0" w:color="auto"/>
            <w:left w:val="none" w:sz="0" w:space="0" w:color="auto"/>
            <w:bottom w:val="none" w:sz="0" w:space="0" w:color="auto"/>
            <w:right w:val="none" w:sz="0" w:space="0" w:color="auto"/>
          </w:divBdr>
        </w:div>
      </w:divsChild>
    </w:div>
    <w:div w:id="343097444">
      <w:bodyDiv w:val="1"/>
      <w:marLeft w:val="0"/>
      <w:marRight w:val="0"/>
      <w:marTop w:val="0"/>
      <w:marBottom w:val="0"/>
      <w:divBdr>
        <w:top w:val="none" w:sz="0" w:space="0" w:color="auto"/>
        <w:left w:val="none" w:sz="0" w:space="0" w:color="auto"/>
        <w:bottom w:val="none" w:sz="0" w:space="0" w:color="auto"/>
        <w:right w:val="none" w:sz="0" w:space="0" w:color="auto"/>
      </w:divBdr>
    </w:div>
    <w:div w:id="447093569">
      <w:bodyDiv w:val="1"/>
      <w:marLeft w:val="0"/>
      <w:marRight w:val="0"/>
      <w:marTop w:val="0"/>
      <w:marBottom w:val="0"/>
      <w:divBdr>
        <w:top w:val="none" w:sz="0" w:space="0" w:color="auto"/>
        <w:left w:val="none" w:sz="0" w:space="0" w:color="auto"/>
        <w:bottom w:val="none" w:sz="0" w:space="0" w:color="auto"/>
        <w:right w:val="none" w:sz="0" w:space="0" w:color="auto"/>
      </w:divBdr>
    </w:div>
    <w:div w:id="503978306">
      <w:bodyDiv w:val="1"/>
      <w:marLeft w:val="0"/>
      <w:marRight w:val="0"/>
      <w:marTop w:val="0"/>
      <w:marBottom w:val="0"/>
      <w:divBdr>
        <w:top w:val="none" w:sz="0" w:space="0" w:color="auto"/>
        <w:left w:val="none" w:sz="0" w:space="0" w:color="auto"/>
        <w:bottom w:val="none" w:sz="0" w:space="0" w:color="auto"/>
        <w:right w:val="none" w:sz="0" w:space="0" w:color="auto"/>
      </w:divBdr>
    </w:div>
    <w:div w:id="533427650">
      <w:bodyDiv w:val="1"/>
      <w:marLeft w:val="0"/>
      <w:marRight w:val="0"/>
      <w:marTop w:val="0"/>
      <w:marBottom w:val="0"/>
      <w:divBdr>
        <w:top w:val="none" w:sz="0" w:space="0" w:color="auto"/>
        <w:left w:val="none" w:sz="0" w:space="0" w:color="auto"/>
        <w:bottom w:val="none" w:sz="0" w:space="0" w:color="auto"/>
        <w:right w:val="none" w:sz="0" w:space="0" w:color="auto"/>
      </w:divBdr>
    </w:div>
    <w:div w:id="571546668">
      <w:bodyDiv w:val="1"/>
      <w:marLeft w:val="0"/>
      <w:marRight w:val="0"/>
      <w:marTop w:val="0"/>
      <w:marBottom w:val="0"/>
      <w:divBdr>
        <w:top w:val="none" w:sz="0" w:space="0" w:color="auto"/>
        <w:left w:val="none" w:sz="0" w:space="0" w:color="auto"/>
        <w:bottom w:val="none" w:sz="0" w:space="0" w:color="auto"/>
        <w:right w:val="none" w:sz="0" w:space="0" w:color="auto"/>
      </w:divBdr>
    </w:div>
    <w:div w:id="707534375">
      <w:bodyDiv w:val="1"/>
      <w:marLeft w:val="0"/>
      <w:marRight w:val="0"/>
      <w:marTop w:val="0"/>
      <w:marBottom w:val="0"/>
      <w:divBdr>
        <w:top w:val="none" w:sz="0" w:space="0" w:color="auto"/>
        <w:left w:val="none" w:sz="0" w:space="0" w:color="auto"/>
        <w:bottom w:val="none" w:sz="0" w:space="0" w:color="auto"/>
        <w:right w:val="none" w:sz="0" w:space="0" w:color="auto"/>
      </w:divBdr>
    </w:div>
    <w:div w:id="762805193">
      <w:bodyDiv w:val="1"/>
      <w:marLeft w:val="0"/>
      <w:marRight w:val="0"/>
      <w:marTop w:val="0"/>
      <w:marBottom w:val="0"/>
      <w:divBdr>
        <w:top w:val="none" w:sz="0" w:space="0" w:color="auto"/>
        <w:left w:val="none" w:sz="0" w:space="0" w:color="auto"/>
        <w:bottom w:val="none" w:sz="0" w:space="0" w:color="auto"/>
        <w:right w:val="none" w:sz="0" w:space="0" w:color="auto"/>
      </w:divBdr>
    </w:div>
    <w:div w:id="792558901">
      <w:bodyDiv w:val="1"/>
      <w:marLeft w:val="0"/>
      <w:marRight w:val="0"/>
      <w:marTop w:val="0"/>
      <w:marBottom w:val="0"/>
      <w:divBdr>
        <w:top w:val="none" w:sz="0" w:space="0" w:color="auto"/>
        <w:left w:val="none" w:sz="0" w:space="0" w:color="auto"/>
        <w:bottom w:val="none" w:sz="0" w:space="0" w:color="auto"/>
        <w:right w:val="none" w:sz="0" w:space="0" w:color="auto"/>
      </w:divBdr>
    </w:div>
    <w:div w:id="794369561">
      <w:bodyDiv w:val="1"/>
      <w:marLeft w:val="0"/>
      <w:marRight w:val="0"/>
      <w:marTop w:val="0"/>
      <w:marBottom w:val="0"/>
      <w:divBdr>
        <w:top w:val="none" w:sz="0" w:space="0" w:color="auto"/>
        <w:left w:val="none" w:sz="0" w:space="0" w:color="auto"/>
        <w:bottom w:val="none" w:sz="0" w:space="0" w:color="auto"/>
        <w:right w:val="none" w:sz="0" w:space="0" w:color="auto"/>
      </w:divBdr>
    </w:div>
    <w:div w:id="872185371">
      <w:bodyDiv w:val="1"/>
      <w:marLeft w:val="0"/>
      <w:marRight w:val="0"/>
      <w:marTop w:val="0"/>
      <w:marBottom w:val="0"/>
      <w:divBdr>
        <w:top w:val="none" w:sz="0" w:space="0" w:color="auto"/>
        <w:left w:val="none" w:sz="0" w:space="0" w:color="auto"/>
        <w:bottom w:val="none" w:sz="0" w:space="0" w:color="auto"/>
        <w:right w:val="none" w:sz="0" w:space="0" w:color="auto"/>
      </w:divBdr>
      <w:divsChild>
        <w:div w:id="75980104">
          <w:marLeft w:val="0"/>
          <w:marRight w:val="0"/>
          <w:marTop w:val="0"/>
          <w:marBottom w:val="0"/>
          <w:divBdr>
            <w:top w:val="none" w:sz="0" w:space="0" w:color="auto"/>
            <w:left w:val="none" w:sz="0" w:space="0" w:color="auto"/>
            <w:bottom w:val="none" w:sz="0" w:space="0" w:color="auto"/>
            <w:right w:val="none" w:sz="0" w:space="0" w:color="auto"/>
          </w:divBdr>
        </w:div>
      </w:divsChild>
    </w:div>
    <w:div w:id="889808159">
      <w:bodyDiv w:val="1"/>
      <w:marLeft w:val="0"/>
      <w:marRight w:val="0"/>
      <w:marTop w:val="0"/>
      <w:marBottom w:val="0"/>
      <w:divBdr>
        <w:top w:val="none" w:sz="0" w:space="0" w:color="auto"/>
        <w:left w:val="none" w:sz="0" w:space="0" w:color="auto"/>
        <w:bottom w:val="none" w:sz="0" w:space="0" w:color="auto"/>
        <w:right w:val="none" w:sz="0" w:space="0" w:color="auto"/>
      </w:divBdr>
      <w:divsChild>
        <w:div w:id="1856920156">
          <w:marLeft w:val="0"/>
          <w:marRight w:val="0"/>
          <w:marTop w:val="0"/>
          <w:marBottom w:val="0"/>
          <w:divBdr>
            <w:top w:val="none" w:sz="0" w:space="0" w:color="auto"/>
            <w:left w:val="none" w:sz="0" w:space="0" w:color="auto"/>
            <w:bottom w:val="none" w:sz="0" w:space="0" w:color="auto"/>
            <w:right w:val="none" w:sz="0" w:space="0" w:color="auto"/>
          </w:divBdr>
          <w:divsChild>
            <w:div w:id="39786218">
              <w:marLeft w:val="0"/>
              <w:marRight w:val="0"/>
              <w:marTop w:val="0"/>
              <w:marBottom w:val="0"/>
              <w:divBdr>
                <w:top w:val="none" w:sz="0" w:space="0" w:color="auto"/>
                <w:left w:val="none" w:sz="0" w:space="0" w:color="auto"/>
                <w:bottom w:val="none" w:sz="0" w:space="0" w:color="auto"/>
                <w:right w:val="none" w:sz="0" w:space="0" w:color="auto"/>
              </w:divBdr>
            </w:div>
          </w:divsChild>
        </w:div>
        <w:div w:id="2012752224">
          <w:marLeft w:val="0"/>
          <w:marRight w:val="0"/>
          <w:marTop w:val="0"/>
          <w:marBottom w:val="0"/>
          <w:divBdr>
            <w:top w:val="none" w:sz="0" w:space="0" w:color="auto"/>
            <w:left w:val="none" w:sz="0" w:space="0" w:color="auto"/>
            <w:bottom w:val="none" w:sz="0" w:space="0" w:color="auto"/>
            <w:right w:val="none" w:sz="0" w:space="0" w:color="auto"/>
          </w:divBdr>
          <w:divsChild>
            <w:div w:id="371809619">
              <w:marLeft w:val="0"/>
              <w:marRight w:val="0"/>
              <w:marTop w:val="0"/>
              <w:marBottom w:val="0"/>
              <w:divBdr>
                <w:top w:val="none" w:sz="0" w:space="0" w:color="auto"/>
                <w:left w:val="none" w:sz="0" w:space="0" w:color="auto"/>
                <w:bottom w:val="none" w:sz="0" w:space="0" w:color="auto"/>
                <w:right w:val="none" w:sz="0" w:space="0" w:color="auto"/>
              </w:divBdr>
            </w:div>
          </w:divsChild>
        </w:div>
        <w:div w:id="359817078">
          <w:marLeft w:val="0"/>
          <w:marRight w:val="0"/>
          <w:marTop w:val="0"/>
          <w:marBottom w:val="0"/>
          <w:divBdr>
            <w:top w:val="none" w:sz="0" w:space="0" w:color="auto"/>
            <w:left w:val="none" w:sz="0" w:space="0" w:color="auto"/>
            <w:bottom w:val="none" w:sz="0" w:space="0" w:color="auto"/>
            <w:right w:val="none" w:sz="0" w:space="0" w:color="auto"/>
          </w:divBdr>
          <w:divsChild>
            <w:div w:id="1297566676">
              <w:marLeft w:val="0"/>
              <w:marRight w:val="0"/>
              <w:marTop w:val="0"/>
              <w:marBottom w:val="0"/>
              <w:divBdr>
                <w:top w:val="none" w:sz="0" w:space="0" w:color="auto"/>
                <w:left w:val="none" w:sz="0" w:space="0" w:color="auto"/>
                <w:bottom w:val="none" w:sz="0" w:space="0" w:color="auto"/>
                <w:right w:val="none" w:sz="0" w:space="0" w:color="auto"/>
              </w:divBdr>
            </w:div>
          </w:divsChild>
        </w:div>
        <w:div w:id="1609464085">
          <w:marLeft w:val="0"/>
          <w:marRight w:val="0"/>
          <w:marTop w:val="0"/>
          <w:marBottom w:val="0"/>
          <w:divBdr>
            <w:top w:val="none" w:sz="0" w:space="0" w:color="auto"/>
            <w:left w:val="none" w:sz="0" w:space="0" w:color="auto"/>
            <w:bottom w:val="none" w:sz="0" w:space="0" w:color="auto"/>
            <w:right w:val="none" w:sz="0" w:space="0" w:color="auto"/>
          </w:divBdr>
        </w:div>
        <w:div w:id="1035083091">
          <w:marLeft w:val="0"/>
          <w:marRight w:val="0"/>
          <w:marTop w:val="0"/>
          <w:marBottom w:val="0"/>
          <w:divBdr>
            <w:top w:val="none" w:sz="0" w:space="0" w:color="auto"/>
            <w:left w:val="none" w:sz="0" w:space="0" w:color="auto"/>
            <w:bottom w:val="none" w:sz="0" w:space="0" w:color="auto"/>
            <w:right w:val="none" w:sz="0" w:space="0" w:color="auto"/>
          </w:divBdr>
          <w:divsChild>
            <w:div w:id="1147286870">
              <w:marLeft w:val="0"/>
              <w:marRight w:val="0"/>
              <w:marTop w:val="0"/>
              <w:marBottom w:val="0"/>
              <w:divBdr>
                <w:top w:val="none" w:sz="0" w:space="0" w:color="auto"/>
                <w:left w:val="none" w:sz="0" w:space="0" w:color="auto"/>
                <w:bottom w:val="none" w:sz="0" w:space="0" w:color="auto"/>
                <w:right w:val="none" w:sz="0" w:space="0" w:color="auto"/>
              </w:divBdr>
            </w:div>
          </w:divsChild>
        </w:div>
        <w:div w:id="1792092591">
          <w:marLeft w:val="0"/>
          <w:marRight w:val="0"/>
          <w:marTop w:val="0"/>
          <w:marBottom w:val="0"/>
          <w:divBdr>
            <w:top w:val="none" w:sz="0" w:space="0" w:color="auto"/>
            <w:left w:val="none" w:sz="0" w:space="0" w:color="auto"/>
            <w:bottom w:val="none" w:sz="0" w:space="0" w:color="auto"/>
            <w:right w:val="none" w:sz="0" w:space="0" w:color="auto"/>
          </w:divBdr>
          <w:divsChild>
            <w:div w:id="90397554">
              <w:marLeft w:val="0"/>
              <w:marRight w:val="0"/>
              <w:marTop w:val="0"/>
              <w:marBottom w:val="0"/>
              <w:divBdr>
                <w:top w:val="none" w:sz="0" w:space="0" w:color="auto"/>
                <w:left w:val="none" w:sz="0" w:space="0" w:color="auto"/>
                <w:bottom w:val="none" w:sz="0" w:space="0" w:color="auto"/>
                <w:right w:val="none" w:sz="0" w:space="0" w:color="auto"/>
              </w:divBdr>
            </w:div>
          </w:divsChild>
        </w:div>
        <w:div w:id="2113895935">
          <w:marLeft w:val="0"/>
          <w:marRight w:val="0"/>
          <w:marTop w:val="0"/>
          <w:marBottom w:val="0"/>
          <w:divBdr>
            <w:top w:val="none" w:sz="0" w:space="0" w:color="auto"/>
            <w:left w:val="none" w:sz="0" w:space="0" w:color="auto"/>
            <w:bottom w:val="none" w:sz="0" w:space="0" w:color="auto"/>
            <w:right w:val="none" w:sz="0" w:space="0" w:color="auto"/>
          </w:divBdr>
          <w:divsChild>
            <w:div w:id="1030449181">
              <w:marLeft w:val="0"/>
              <w:marRight w:val="0"/>
              <w:marTop w:val="0"/>
              <w:marBottom w:val="0"/>
              <w:divBdr>
                <w:top w:val="none" w:sz="0" w:space="0" w:color="auto"/>
                <w:left w:val="none" w:sz="0" w:space="0" w:color="auto"/>
                <w:bottom w:val="none" w:sz="0" w:space="0" w:color="auto"/>
                <w:right w:val="none" w:sz="0" w:space="0" w:color="auto"/>
              </w:divBdr>
            </w:div>
          </w:divsChild>
        </w:div>
        <w:div w:id="1159035088">
          <w:marLeft w:val="0"/>
          <w:marRight w:val="0"/>
          <w:marTop w:val="0"/>
          <w:marBottom w:val="0"/>
          <w:divBdr>
            <w:top w:val="none" w:sz="0" w:space="0" w:color="auto"/>
            <w:left w:val="none" w:sz="0" w:space="0" w:color="auto"/>
            <w:bottom w:val="none" w:sz="0" w:space="0" w:color="auto"/>
            <w:right w:val="none" w:sz="0" w:space="0" w:color="auto"/>
          </w:divBdr>
        </w:div>
        <w:div w:id="1651592431">
          <w:marLeft w:val="0"/>
          <w:marRight w:val="0"/>
          <w:marTop w:val="0"/>
          <w:marBottom w:val="0"/>
          <w:divBdr>
            <w:top w:val="none" w:sz="0" w:space="0" w:color="auto"/>
            <w:left w:val="none" w:sz="0" w:space="0" w:color="auto"/>
            <w:bottom w:val="none" w:sz="0" w:space="0" w:color="auto"/>
            <w:right w:val="none" w:sz="0" w:space="0" w:color="auto"/>
          </w:divBdr>
          <w:divsChild>
            <w:div w:id="1573809705">
              <w:marLeft w:val="0"/>
              <w:marRight w:val="0"/>
              <w:marTop w:val="0"/>
              <w:marBottom w:val="0"/>
              <w:divBdr>
                <w:top w:val="none" w:sz="0" w:space="0" w:color="auto"/>
                <w:left w:val="none" w:sz="0" w:space="0" w:color="auto"/>
                <w:bottom w:val="none" w:sz="0" w:space="0" w:color="auto"/>
                <w:right w:val="none" w:sz="0" w:space="0" w:color="auto"/>
              </w:divBdr>
            </w:div>
          </w:divsChild>
        </w:div>
        <w:div w:id="271475557">
          <w:marLeft w:val="0"/>
          <w:marRight w:val="0"/>
          <w:marTop w:val="0"/>
          <w:marBottom w:val="0"/>
          <w:divBdr>
            <w:top w:val="none" w:sz="0" w:space="0" w:color="auto"/>
            <w:left w:val="none" w:sz="0" w:space="0" w:color="auto"/>
            <w:bottom w:val="none" w:sz="0" w:space="0" w:color="auto"/>
            <w:right w:val="none" w:sz="0" w:space="0" w:color="auto"/>
          </w:divBdr>
          <w:divsChild>
            <w:div w:id="221605209">
              <w:marLeft w:val="0"/>
              <w:marRight w:val="0"/>
              <w:marTop w:val="0"/>
              <w:marBottom w:val="0"/>
              <w:divBdr>
                <w:top w:val="none" w:sz="0" w:space="0" w:color="auto"/>
                <w:left w:val="none" w:sz="0" w:space="0" w:color="auto"/>
                <w:bottom w:val="none" w:sz="0" w:space="0" w:color="auto"/>
                <w:right w:val="none" w:sz="0" w:space="0" w:color="auto"/>
              </w:divBdr>
            </w:div>
          </w:divsChild>
        </w:div>
        <w:div w:id="1499417134">
          <w:marLeft w:val="0"/>
          <w:marRight w:val="0"/>
          <w:marTop w:val="0"/>
          <w:marBottom w:val="0"/>
          <w:divBdr>
            <w:top w:val="none" w:sz="0" w:space="0" w:color="auto"/>
            <w:left w:val="none" w:sz="0" w:space="0" w:color="auto"/>
            <w:bottom w:val="none" w:sz="0" w:space="0" w:color="auto"/>
            <w:right w:val="none" w:sz="0" w:space="0" w:color="auto"/>
          </w:divBdr>
          <w:divsChild>
            <w:div w:id="952132155">
              <w:marLeft w:val="0"/>
              <w:marRight w:val="0"/>
              <w:marTop w:val="0"/>
              <w:marBottom w:val="0"/>
              <w:divBdr>
                <w:top w:val="none" w:sz="0" w:space="0" w:color="auto"/>
                <w:left w:val="none" w:sz="0" w:space="0" w:color="auto"/>
                <w:bottom w:val="none" w:sz="0" w:space="0" w:color="auto"/>
                <w:right w:val="none" w:sz="0" w:space="0" w:color="auto"/>
              </w:divBdr>
            </w:div>
          </w:divsChild>
        </w:div>
        <w:div w:id="1642886018">
          <w:marLeft w:val="0"/>
          <w:marRight w:val="0"/>
          <w:marTop w:val="0"/>
          <w:marBottom w:val="0"/>
          <w:divBdr>
            <w:top w:val="none" w:sz="0" w:space="0" w:color="auto"/>
            <w:left w:val="none" w:sz="0" w:space="0" w:color="auto"/>
            <w:bottom w:val="none" w:sz="0" w:space="0" w:color="auto"/>
            <w:right w:val="none" w:sz="0" w:space="0" w:color="auto"/>
          </w:divBdr>
        </w:div>
        <w:div w:id="1382285761">
          <w:marLeft w:val="0"/>
          <w:marRight w:val="0"/>
          <w:marTop w:val="0"/>
          <w:marBottom w:val="0"/>
          <w:divBdr>
            <w:top w:val="none" w:sz="0" w:space="0" w:color="auto"/>
            <w:left w:val="none" w:sz="0" w:space="0" w:color="auto"/>
            <w:bottom w:val="none" w:sz="0" w:space="0" w:color="auto"/>
            <w:right w:val="none" w:sz="0" w:space="0" w:color="auto"/>
          </w:divBdr>
          <w:divsChild>
            <w:div w:id="1690446525">
              <w:marLeft w:val="0"/>
              <w:marRight w:val="0"/>
              <w:marTop w:val="0"/>
              <w:marBottom w:val="0"/>
              <w:divBdr>
                <w:top w:val="none" w:sz="0" w:space="0" w:color="auto"/>
                <w:left w:val="none" w:sz="0" w:space="0" w:color="auto"/>
                <w:bottom w:val="none" w:sz="0" w:space="0" w:color="auto"/>
                <w:right w:val="none" w:sz="0" w:space="0" w:color="auto"/>
              </w:divBdr>
            </w:div>
          </w:divsChild>
        </w:div>
        <w:div w:id="31074927">
          <w:marLeft w:val="0"/>
          <w:marRight w:val="0"/>
          <w:marTop w:val="0"/>
          <w:marBottom w:val="0"/>
          <w:divBdr>
            <w:top w:val="none" w:sz="0" w:space="0" w:color="auto"/>
            <w:left w:val="none" w:sz="0" w:space="0" w:color="auto"/>
            <w:bottom w:val="none" w:sz="0" w:space="0" w:color="auto"/>
            <w:right w:val="none" w:sz="0" w:space="0" w:color="auto"/>
          </w:divBdr>
          <w:divsChild>
            <w:div w:id="1504277704">
              <w:marLeft w:val="0"/>
              <w:marRight w:val="0"/>
              <w:marTop w:val="0"/>
              <w:marBottom w:val="0"/>
              <w:divBdr>
                <w:top w:val="none" w:sz="0" w:space="0" w:color="auto"/>
                <w:left w:val="none" w:sz="0" w:space="0" w:color="auto"/>
                <w:bottom w:val="none" w:sz="0" w:space="0" w:color="auto"/>
                <w:right w:val="none" w:sz="0" w:space="0" w:color="auto"/>
              </w:divBdr>
            </w:div>
          </w:divsChild>
        </w:div>
        <w:div w:id="278999103">
          <w:marLeft w:val="0"/>
          <w:marRight w:val="0"/>
          <w:marTop w:val="0"/>
          <w:marBottom w:val="0"/>
          <w:divBdr>
            <w:top w:val="none" w:sz="0" w:space="0" w:color="auto"/>
            <w:left w:val="none" w:sz="0" w:space="0" w:color="auto"/>
            <w:bottom w:val="none" w:sz="0" w:space="0" w:color="auto"/>
            <w:right w:val="none" w:sz="0" w:space="0" w:color="auto"/>
          </w:divBdr>
          <w:divsChild>
            <w:div w:id="2017879117">
              <w:marLeft w:val="0"/>
              <w:marRight w:val="0"/>
              <w:marTop w:val="0"/>
              <w:marBottom w:val="0"/>
              <w:divBdr>
                <w:top w:val="none" w:sz="0" w:space="0" w:color="auto"/>
                <w:left w:val="none" w:sz="0" w:space="0" w:color="auto"/>
                <w:bottom w:val="none" w:sz="0" w:space="0" w:color="auto"/>
                <w:right w:val="none" w:sz="0" w:space="0" w:color="auto"/>
              </w:divBdr>
            </w:div>
          </w:divsChild>
        </w:div>
        <w:div w:id="1717393494">
          <w:marLeft w:val="0"/>
          <w:marRight w:val="0"/>
          <w:marTop w:val="0"/>
          <w:marBottom w:val="0"/>
          <w:divBdr>
            <w:top w:val="none" w:sz="0" w:space="0" w:color="auto"/>
            <w:left w:val="none" w:sz="0" w:space="0" w:color="auto"/>
            <w:bottom w:val="none" w:sz="0" w:space="0" w:color="auto"/>
            <w:right w:val="none" w:sz="0" w:space="0" w:color="auto"/>
          </w:divBdr>
        </w:div>
        <w:div w:id="32193360">
          <w:marLeft w:val="0"/>
          <w:marRight w:val="0"/>
          <w:marTop w:val="0"/>
          <w:marBottom w:val="0"/>
          <w:divBdr>
            <w:top w:val="none" w:sz="0" w:space="0" w:color="auto"/>
            <w:left w:val="none" w:sz="0" w:space="0" w:color="auto"/>
            <w:bottom w:val="none" w:sz="0" w:space="0" w:color="auto"/>
            <w:right w:val="none" w:sz="0" w:space="0" w:color="auto"/>
          </w:divBdr>
        </w:div>
        <w:div w:id="1044603820">
          <w:marLeft w:val="0"/>
          <w:marRight w:val="0"/>
          <w:marTop w:val="0"/>
          <w:marBottom w:val="0"/>
          <w:divBdr>
            <w:top w:val="none" w:sz="0" w:space="0" w:color="auto"/>
            <w:left w:val="none" w:sz="0" w:space="0" w:color="auto"/>
            <w:bottom w:val="none" w:sz="0" w:space="0" w:color="auto"/>
            <w:right w:val="none" w:sz="0" w:space="0" w:color="auto"/>
          </w:divBdr>
          <w:divsChild>
            <w:div w:id="209995340">
              <w:marLeft w:val="0"/>
              <w:marRight w:val="0"/>
              <w:marTop w:val="0"/>
              <w:marBottom w:val="0"/>
              <w:divBdr>
                <w:top w:val="none" w:sz="0" w:space="0" w:color="auto"/>
                <w:left w:val="none" w:sz="0" w:space="0" w:color="auto"/>
                <w:bottom w:val="none" w:sz="0" w:space="0" w:color="auto"/>
                <w:right w:val="none" w:sz="0" w:space="0" w:color="auto"/>
              </w:divBdr>
            </w:div>
          </w:divsChild>
        </w:div>
        <w:div w:id="1468544230">
          <w:marLeft w:val="0"/>
          <w:marRight w:val="0"/>
          <w:marTop w:val="0"/>
          <w:marBottom w:val="0"/>
          <w:divBdr>
            <w:top w:val="none" w:sz="0" w:space="0" w:color="auto"/>
            <w:left w:val="none" w:sz="0" w:space="0" w:color="auto"/>
            <w:bottom w:val="none" w:sz="0" w:space="0" w:color="auto"/>
            <w:right w:val="none" w:sz="0" w:space="0" w:color="auto"/>
          </w:divBdr>
        </w:div>
        <w:div w:id="2107384014">
          <w:marLeft w:val="0"/>
          <w:marRight w:val="0"/>
          <w:marTop w:val="0"/>
          <w:marBottom w:val="0"/>
          <w:divBdr>
            <w:top w:val="none" w:sz="0" w:space="0" w:color="auto"/>
            <w:left w:val="none" w:sz="0" w:space="0" w:color="auto"/>
            <w:bottom w:val="none" w:sz="0" w:space="0" w:color="auto"/>
            <w:right w:val="none" w:sz="0" w:space="0" w:color="auto"/>
          </w:divBdr>
          <w:divsChild>
            <w:div w:id="1825121580">
              <w:marLeft w:val="0"/>
              <w:marRight w:val="0"/>
              <w:marTop w:val="0"/>
              <w:marBottom w:val="0"/>
              <w:divBdr>
                <w:top w:val="none" w:sz="0" w:space="0" w:color="auto"/>
                <w:left w:val="none" w:sz="0" w:space="0" w:color="auto"/>
                <w:bottom w:val="none" w:sz="0" w:space="0" w:color="auto"/>
                <w:right w:val="none" w:sz="0" w:space="0" w:color="auto"/>
              </w:divBdr>
            </w:div>
          </w:divsChild>
        </w:div>
        <w:div w:id="1994985909">
          <w:marLeft w:val="0"/>
          <w:marRight w:val="0"/>
          <w:marTop w:val="0"/>
          <w:marBottom w:val="0"/>
          <w:divBdr>
            <w:top w:val="none" w:sz="0" w:space="0" w:color="auto"/>
            <w:left w:val="none" w:sz="0" w:space="0" w:color="auto"/>
            <w:bottom w:val="none" w:sz="0" w:space="0" w:color="auto"/>
            <w:right w:val="none" w:sz="0" w:space="0" w:color="auto"/>
          </w:divBdr>
          <w:divsChild>
            <w:div w:id="253365748">
              <w:marLeft w:val="0"/>
              <w:marRight w:val="0"/>
              <w:marTop w:val="0"/>
              <w:marBottom w:val="0"/>
              <w:divBdr>
                <w:top w:val="none" w:sz="0" w:space="0" w:color="auto"/>
                <w:left w:val="none" w:sz="0" w:space="0" w:color="auto"/>
                <w:bottom w:val="none" w:sz="0" w:space="0" w:color="auto"/>
                <w:right w:val="none" w:sz="0" w:space="0" w:color="auto"/>
              </w:divBdr>
            </w:div>
          </w:divsChild>
        </w:div>
        <w:div w:id="1075012872">
          <w:marLeft w:val="0"/>
          <w:marRight w:val="0"/>
          <w:marTop w:val="0"/>
          <w:marBottom w:val="0"/>
          <w:divBdr>
            <w:top w:val="none" w:sz="0" w:space="0" w:color="auto"/>
            <w:left w:val="none" w:sz="0" w:space="0" w:color="auto"/>
            <w:bottom w:val="none" w:sz="0" w:space="0" w:color="auto"/>
            <w:right w:val="none" w:sz="0" w:space="0" w:color="auto"/>
          </w:divBdr>
          <w:divsChild>
            <w:div w:id="1220826982">
              <w:marLeft w:val="0"/>
              <w:marRight w:val="0"/>
              <w:marTop w:val="0"/>
              <w:marBottom w:val="0"/>
              <w:divBdr>
                <w:top w:val="none" w:sz="0" w:space="0" w:color="auto"/>
                <w:left w:val="none" w:sz="0" w:space="0" w:color="auto"/>
                <w:bottom w:val="none" w:sz="0" w:space="0" w:color="auto"/>
                <w:right w:val="none" w:sz="0" w:space="0" w:color="auto"/>
              </w:divBdr>
            </w:div>
          </w:divsChild>
        </w:div>
        <w:div w:id="2030059281">
          <w:marLeft w:val="0"/>
          <w:marRight w:val="0"/>
          <w:marTop w:val="0"/>
          <w:marBottom w:val="0"/>
          <w:divBdr>
            <w:top w:val="none" w:sz="0" w:space="0" w:color="auto"/>
            <w:left w:val="none" w:sz="0" w:space="0" w:color="auto"/>
            <w:bottom w:val="none" w:sz="0" w:space="0" w:color="auto"/>
            <w:right w:val="none" w:sz="0" w:space="0" w:color="auto"/>
          </w:divBdr>
        </w:div>
        <w:div w:id="1462193513">
          <w:marLeft w:val="0"/>
          <w:marRight w:val="0"/>
          <w:marTop w:val="0"/>
          <w:marBottom w:val="0"/>
          <w:divBdr>
            <w:top w:val="none" w:sz="0" w:space="0" w:color="auto"/>
            <w:left w:val="none" w:sz="0" w:space="0" w:color="auto"/>
            <w:bottom w:val="none" w:sz="0" w:space="0" w:color="auto"/>
            <w:right w:val="none" w:sz="0" w:space="0" w:color="auto"/>
          </w:divBdr>
          <w:divsChild>
            <w:div w:id="181482906">
              <w:marLeft w:val="0"/>
              <w:marRight w:val="0"/>
              <w:marTop w:val="0"/>
              <w:marBottom w:val="0"/>
              <w:divBdr>
                <w:top w:val="none" w:sz="0" w:space="0" w:color="auto"/>
                <w:left w:val="none" w:sz="0" w:space="0" w:color="auto"/>
                <w:bottom w:val="none" w:sz="0" w:space="0" w:color="auto"/>
                <w:right w:val="none" w:sz="0" w:space="0" w:color="auto"/>
              </w:divBdr>
            </w:div>
          </w:divsChild>
        </w:div>
        <w:div w:id="1875195996">
          <w:marLeft w:val="0"/>
          <w:marRight w:val="0"/>
          <w:marTop w:val="0"/>
          <w:marBottom w:val="0"/>
          <w:divBdr>
            <w:top w:val="none" w:sz="0" w:space="0" w:color="auto"/>
            <w:left w:val="none" w:sz="0" w:space="0" w:color="auto"/>
            <w:bottom w:val="none" w:sz="0" w:space="0" w:color="auto"/>
            <w:right w:val="none" w:sz="0" w:space="0" w:color="auto"/>
          </w:divBdr>
          <w:divsChild>
            <w:div w:id="1460680892">
              <w:marLeft w:val="0"/>
              <w:marRight w:val="0"/>
              <w:marTop w:val="0"/>
              <w:marBottom w:val="0"/>
              <w:divBdr>
                <w:top w:val="none" w:sz="0" w:space="0" w:color="auto"/>
                <w:left w:val="none" w:sz="0" w:space="0" w:color="auto"/>
                <w:bottom w:val="none" w:sz="0" w:space="0" w:color="auto"/>
                <w:right w:val="none" w:sz="0" w:space="0" w:color="auto"/>
              </w:divBdr>
            </w:div>
          </w:divsChild>
        </w:div>
        <w:div w:id="1597247217">
          <w:marLeft w:val="0"/>
          <w:marRight w:val="0"/>
          <w:marTop w:val="0"/>
          <w:marBottom w:val="0"/>
          <w:divBdr>
            <w:top w:val="none" w:sz="0" w:space="0" w:color="auto"/>
            <w:left w:val="none" w:sz="0" w:space="0" w:color="auto"/>
            <w:bottom w:val="none" w:sz="0" w:space="0" w:color="auto"/>
            <w:right w:val="none" w:sz="0" w:space="0" w:color="auto"/>
          </w:divBdr>
          <w:divsChild>
            <w:div w:id="1097557344">
              <w:marLeft w:val="0"/>
              <w:marRight w:val="0"/>
              <w:marTop w:val="0"/>
              <w:marBottom w:val="0"/>
              <w:divBdr>
                <w:top w:val="none" w:sz="0" w:space="0" w:color="auto"/>
                <w:left w:val="none" w:sz="0" w:space="0" w:color="auto"/>
                <w:bottom w:val="none" w:sz="0" w:space="0" w:color="auto"/>
                <w:right w:val="none" w:sz="0" w:space="0" w:color="auto"/>
              </w:divBdr>
            </w:div>
          </w:divsChild>
        </w:div>
        <w:div w:id="851378570">
          <w:marLeft w:val="0"/>
          <w:marRight w:val="0"/>
          <w:marTop w:val="0"/>
          <w:marBottom w:val="0"/>
          <w:divBdr>
            <w:top w:val="none" w:sz="0" w:space="0" w:color="auto"/>
            <w:left w:val="none" w:sz="0" w:space="0" w:color="auto"/>
            <w:bottom w:val="none" w:sz="0" w:space="0" w:color="auto"/>
            <w:right w:val="none" w:sz="0" w:space="0" w:color="auto"/>
          </w:divBdr>
        </w:div>
        <w:div w:id="1733650994">
          <w:marLeft w:val="0"/>
          <w:marRight w:val="0"/>
          <w:marTop w:val="0"/>
          <w:marBottom w:val="0"/>
          <w:divBdr>
            <w:top w:val="none" w:sz="0" w:space="0" w:color="auto"/>
            <w:left w:val="none" w:sz="0" w:space="0" w:color="auto"/>
            <w:bottom w:val="none" w:sz="0" w:space="0" w:color="auto"/>
            <w:right w:val="none" w:sz="0" w:space="0" w:color="auto"/>
          </w:divBdr>
          <w:divsChild>
            <w:div w:id="5609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3669">
      <w:bodyDiv w:val="1"/>
      <w:marLeft w:val="0"/>
      <w:marRight w:val="0"/>
      <w:marTop w:val="0"/>
      <w:marBottom w:val="0"/>
      <w:divBdr>
        <w:top w:val="none" w:sz="0" w:space="0" w:color="auto"/>
        <w:left w:val="none" w:sz="0" w:space="0" w:color="auto"/>
        <w:bottom w:val="none" w:sz="0" w:space="0" w:color="auto"/>
        <w:right w:val="none" w:sz="0" w:space="0" w:color="auto"/>
      </w:divBdr>
    </w:div>
    <w:div w:id="1013606702">
      <w:bodyDiv w:val="1"/>
      <w:marLeft w:val="0"/>
      <w:marRight w:val="0"/>
      <w:marTop w:val="0"/>
      <w:marBottom w:val="0"/>
      <w:divBdr>
        <w:top w:val="none" w:sz="0" w:space="0" w:color="auto"/>
        <w:left w:val="none" w:sz="0" w:space="0" w:color="auto"/>
        <w:bottom w:val="none" w:sz="0" w:space="0" w:color="auto"/>
        <w:right w:val="none" w:sz="0" w:space="0" w:color="auto"/>
      </w:divBdr>
    </w:div>
    <w:div w:id="1260748596">
      <w:bodyDiv w:val="1"/>
      <w:marLeft w:val="0"/>
      <w:marRight w:val="0"/>
      <w:marTop w:val="0"/>
      <w:marBottom w:val="0"/>
      <w:divBdr>
        <w:top w:val="none" w:sz="0" w:space="0" w:color="auto"/>
        <w:left w:val="none" w:sz="0" w:space="0" w:color="auto"/>
        <w:bottom w:val="none" w:sz="0" w:space="0" w:color="auto"/>
        <w:right w:val="none" w:sz="0" w:space="0" w:color="auto"/>
      </w:divBdr>
    </w:div>
    <w:div w:id="1530289779">
      <w:bodyDiv w:val="1"/>
      <w:marLeft w:val="0"/>
      <w:marRight w:val="0"/>
      <w:marTop w:val="0"/>
      <w:marBottom w:val="0"/>
      <w:divBdr>
        <w:top w:val="none" w:sz="0" w:space="0" w:color="auto"/>
        <w:left w:val="none" w:sz="0" w:space="0" w:color="auto"/>
        <w:bottom w:val="none" w:sz="0" w:space="0" w:color="auto"/>
        <w:right w:val="none" w:sz="0" w:space="0" w:color="auto"/>
      </w:divBdr>
    </w:div>
    <w:div w:id="1549417765">
      <w:bodyDiv w:val="1"/>
      <w:marLeft w:val="0"/>
      <w:marRight w:val="0"/>
      <w:marTop w:val="0"/>
      <w:marBottom w:val="0"/>
      <w:divBdr>
        <w:top w:val="none" w:sz="0" w:space="0" w:color="auto"/>
        <w:left w:val="none" w:sz="0" w:space="0" w:color="auto"/>
        <w:bottom w:val="none" w:sz="0" w:space="0" w:color="auto"/>
        <w:right w:val="none" w:sz="0" w:space="0" w:color="auto"/>
      </w:divBdr>
    </w:div>
    <w:div w:id="1720199515">
      <w:bodyDiv w:val="1"/>
      <w:marLeft w:val="0"/>
      <w:marRight w:val="0"/>
      <w:marTop w:val="0"/>
      <w:marBottom w:val="0"/>
      <w:divBdr>
        <w:top w:val="none" w:sz="0" w:space="0" w:color="auto"/>
        <w:left w:val="none" w:sz="0" w:space="0" w:color="auto"/>
        <w:bottom w:val="none" w:sz="0" w:space="0" w:color="auto"/>
        <w:right w:val="none" w:sz="0" w:space="0" w:color="auto"/>
      </w:divBdr>
      <w:divsChild>
        <w:div w:id="509218461">
          <w:marLeft w:val="0"/>
          <w:marRight w:val="0"/>
          <w:marTop w:val="0"/>
          <w:marBottom w:val="0"/>
          <w:divBdr>
            <w:top w:val="none" w:sz="0" w:space="0" w:color="auto"/>
            <w:left w:val="none" w:sz="0" w:space="0" w:color="auto"/>
            <w:bottom w:val="none" w:sz="0" w:space="0" w:color="auto"/>
            <w:right w:val="none" w:sz="0" w:space="0" w:color="auto"/>
          </w:divBdr>
        </w:div>
        <w:div w:id="436682665">
          <w:marLeft w:val="0"/>
          <w:marRight w:val="0"/>
          <w:marTop w:val="0"/>
          <w:marBottom w:val="0"/>
          <w:divBdr>
            <w:top w:val="none" w:sz="0" w:space="0" w:color="auto"/>
            <w:left w:val="none" w:sz="0" w:space="0" w:color="auto"/>
            <w:bottom w:val="none" w:sz="0" w:space="0" w:color="auto"/>
            <w:right w:val="none" w:sz="0" w:space="0" w:color="auto"/>
          </w:divBdr>
        </w:div>
        <w:div w:id="1645743518">
          <w:marLeft w:val="0"/>
          <w:marRight w:val="0"/>
          <w:marTop w:val="0"/>
          <w:marBottom w:val="0"/>
          <w:divBdr>
            <w:top w:val="none" w:sz="0" w:space="0" w:color="auto"/>
            <w:left w:val="none" w:sz="0" w:space="0" w:color="auto"/>
            <w:bottom w:val="none" w:sz="0" w:space="0" w:color="auto"/>
            <w:right w:val="none" w:sz="0" w:space="0" w:color="auto"/>
          </w:divBdr>
        </w:div>
      </w:divsChild>
    </w:div>
    <w:div w:id="1756243095">
      <w:bodyDiv w:val="1"/>
      <w:marLeft w:val="0"/>
      <w:marRight w:val="0"/>
      <w:marTop w:val="0"/>
      <w:marBottom w:val="0"/>
      <w:divBdr>
        <w:top w:val="none" w:sz="0" w:space="0" w:color="auto"/>
        <w:left w:val="none" w:sz="0" w:space="0" w:color="auto"/>
        <w:bottom w:val="none" w:sz="0" w:space="0" w:color="auto"/>
        <w:right w:val="none" w:sz="0" w:space="0" w:color="auto"/>
      </w:divBdr>
    </w:div>
    <w:div w:id="1832521762">
      <w:bodyDiv w:val="1"/>
      <w:marLeft w:val="0"/>
      <w:marRight w:val="0"/>
      <w:marTop w:val="0"/>
      <w:marBottom w:val="0"/>
      <w:divBdr>
        <w:top w:val="none" w:sz="0" w:space="0" w:color="auto"/>
        <w:left w:val="none" w:sz="0" w:space="0" w:color="auto"/>
        <w:bottom w:val="none" w:sz="0" w:space="0" w:color="auto"/>
        <w:right w:val="none" w:sz="0" w:space="0" w:color="auto"/>
      </w:divBdr>
    </w:div>
    <w:div w:id="206571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conseil-constitutionnel.fr/conseil-constitutionnel/root/bank/pdf/conseil-constitutionnel-148310.pdf" TargetMode="External"/><Relationship Id="rId3" Type="http://schemas.openxmlformats.org/officeDocument/2006/relationships/hyperlink" Target="https://www.contexte.com/article/pouvoirs/loi-sur-le-devoir-de-vigilance-retour-sur-le-lobbying-autour-du-texte_27997.html" TargetMode="External"/><Relationship Id="rId7" Type="http://schemas.openxmlformats.org/officeDocument/2006/relationships/hyperlink" Target="http://www.afep.com/uploads/medias/documents/Communique%20de%20presse%20PPL%20sur%20la%20responsabilite%20des%20soci%C3%A9tes%20meres%20et%20entreprises%20donneuses%20dordre.pdf" TargetMode="External"/><Relationship Id="rId2" Type="http://schemas.openxmlformats.org/officeDocument/2006/relationships/hyperlink" Target="http://www.senat.fr/amendements/commissions/2014-2015/376/Amdt_COM-4.html" TargetMode="External"/><Relationship Id="rId1" Type="http://schemas.openxmlformats.org/officeDocument/2006/relationships/hyperlink" Target="http://www.assemblee-nationale.fr/14/ta/ta0924.asp" TargetMode="External"/><Relationship Id="rId6" Type="http://schemas.openxmlformats.org/officeDocument/2006/relationships/hyperlink" Target="http://www.cci-paris-idf.fr/etudes/competitivite/droit-entreprise/obligation-de-vigilance-etudes" TargetMode="External"/><Relationship Id="rId5" Type="http://schemas.openxmlformats.org/officeDocument/2006/relationships/hyperlink" Target="http://www.medef.com/medef-tv/actualites/detail/article/la-ppl-devoir-de-vigilance-a-ete-adoptee-en-premiere-lecture-a-lassemble-nationale.html" TargetMode="External"/><Relationship Id="rId4" Type="http://schemas.openxmlformats.org/officeDocument/2006/relationships/hyperlink" Target="http://www.medef.com/medef-tv/actualites/detail/article/devoir-de-vigilance-une-loi-inefficace-qui-menace-notre-economi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3C0D3-A19F-4718-8718-CA8F1AF1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2414</Words>
  <Characters>13280</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Sherpa6</dc:creator>
  <cp:lastModifiedBy>Camille</cp:lastModifiedBy>
  <cp:revision>2</cp:revision>
  <cp:lastPrinted>2017-02-08T15:53:00Z</cp:lastPrinted>
  <dcterms:created xsi:type="dcterms:W3CDTF">2017-03-07T16:09:00Z</dcterms:created>
  <dcterms:modified xsi:type="dcterms:W3CDTF">2017-03-07T16:09:00Z</dcterms:modified>
</cp:coreProperties>
</file>