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5103" w14:textId="77777777" w:rsidR="00615A7C" w:rsidRPr="002B37B4" w:rsidRDefault="00EF27DC" w:rsidP="008C40CC">
      <w:pPr>
        <w:widowControl w:val="0"/>
        <w:autoSpaceDE w:val="0"/>
        <w:autoSpaceDN w:val="0"/>
        <w:adjustRightInd w:val="0"/>
        <w:spacing w:after="0"/>
        <w:rPr>
          <w:rFonts w:ascii="Arial" w:hAnsi="Arial" w:cs="Arial"/>
          <w:b/>
          <w:sz w:val="20"/>
          <w:szCs w:val="20"/>
          <w:lang w:eastAsia="zh-CN"/>
        </w:rPr>
      </w:pPr>
      <w:bookmarkStart w:id="0" w:name="_Toc372820010"/>
      <w:r>
        <w:rPr>
          <w:rFonts w:ascii="Arial" w:eastAsiaTheme="minorEastAsia" w:hAnsi="Arial" w:cs="Arial" w:hint="eastAsia"/>
          <w:b/>
          <w:sz w:val="20"/>
          <w:szCs w:val="20"/>
          <w:lang w:eastAsia="zh-CN"/>
        </w:rPr>
        <w:t>人权</w:t>
      </w:r>
      <w:r w:rsidR="00765B72">
        <w:rPr>
          <w:rFonts w:ascii="Arial" w:eastAsiaTheme="minorEastAsia" w:hAnsi="Arial" w:cs="Arial" w:hint="eastAsia"/>
          <w:b/>
          <w:sz w:val="20"/>
          <w:szCs w:val="20"/>
          <w:lang w:eastAsia="zh-CN"/>
        </w:rPr>
        <w:t>尽责</w:t>
      </w:r>
      <w:r>
        <w:rPr>
          <w:rFonts w:ascii="Arial" w:eastAsiaTheme="minorEastAsia" w:hAnsi="Arial" w:cs="Arial" w:hint="eastAsia"/>
          <w:b/>
          <w:sz w:val="20"/>
          <w:szCs w:val="20"/>
          <w:lang w:eastAsia="zh-CN"/>
        </w:rPr>
        <w:t>：国家的角色</w:t>
      </w:r>
    </w:p>
    <w:p w14:paraId="51A1B56F" w14:textId="77777777" w:rsidR="00615A7C" w:rsidRPr="002B37B4" w:rsidRDefault="00EF27DC" w:rsidP="008C40CC">
      <w:pPr>
        <w:widowControl w:val="0"/>
        <w:autoSpaceDE w:val="0"/>
        <w:autoSpaceDN w:val="0"/>
        <w:adjustRightInd w:val="0"/>
        <w:spacing w:after="0"/>
        <w:rPr>
          <w:rFonts w:ascii="Arial" w:hAnsi="Arial" w:cs="Arial"/>
          <w:b/>
          <w:sz w:val="20"/>
          <w:szCs w:val="20"/>
          <w:lang w:eastAsia="zh-CN"/>
        </w:rPr>
      </w:pPr>
      <w:r>
        <w:rPr>
          <w:rFonts w:ascii="Arial" w:hAnsi="Arial" w:cs="Arial" w:hint="eastAsia"/>
          <w:b/>
          <w:sz w:val="20"/>
          <w:szCs w:val="20"/>
          <w:lang w:eastAsia="zh-CN"/>
        </w:rPr>
        <w:t>2013</w:t>
      </w:r>
      <w:r>
        <w:rPr>
          <w:rFonts w:ascii="Arial" w:hAnsi="Arial" w:cs="Arial" w:hint="eastAsia"/>
          <w:b/>
          <w:sz w:val="20"/>
          <w:szCs w:val="20"/>
          <w:lang w:eastAsia="zh-CN"/>
        </w:rPr>
        <w:t>年进展报告</w:t>
      </w:r>
    </w:p>
    <w:p w14:paraId="43BA38E4" w14:textId="77777777" w:rsidR="00615A7C" w:rsidRPr="002B37B4" w:rsidRDefault="00615A7C" w:rsidP="00615A7C">
      <w:pPr>
        <w:widowControl w:val="0"/>
        <w:autoSpaceDE w:val="0"/>
        <w:autoSpaceDN w:val="0"/>
        <w:adjustRightInd w:val="0"/>
        <w:spacing w:after="0" w:line="200" w:lineRule="exact"/>
        <w:rPr>
          <w:rFonts w:ascii="Arial" w:hAnsi="Arial" w:cs="Arial"/>
          <w:sz w:val="20"/>
          <w:szCs w:val="20"/>
          <w:lang w:eastAsia="zh-CN"/>
        </w:rPr>
      </w:pPr>
    </w:p>
    <w:p w14:paraId="5A256D4D" w14:textId="061EAD48" w:rsidR="00615A7C" w:rsidRDefault="00EF27DC" w:rsidP="008600AE">
      <w:pPr>
        <w:widowControl w:val="0"/>
        <w:autoSpaceDE w:val="0"/>
        <w:autoSpaceDN w:val="0"/>
        <w:adjustRightInd w:val="0"/>
        <w:spacing w:after="0"/>
        <w:rPr>
          <w:rFonts w:ascii="Arial" w:hAnsi="Arial" w:cs="Arial" w:hint="eastAsia"/>
          <w:sz w:val="20"/>
          <w:szCs w:val="20"/>
          <w:lang w:eastAsia="zh-CN"/>
        </w:rPr>
      </w:pPr>
      <w:r>
        <w:rPr>
          <w:rFonts w:ascii="Arial" w:hAnsi="Arial" w:cs="Arial" w:hint="eastAsia"/>
          <w:sz w:val="20"/>
          <w:szCs w:val="20"/>
          <w:lang w:eastAsia="zh-CN"/>
        </w:rPr>
        <w:t>作者：</w:t>
      </w:r>
      <w:r>
        <w:rPr>
          <w:rFonts w:ascii="Arial" w:hAnsi="Arial" w:cs="Arial"/>
          <w:sz w:val="20"/>
          <w:szCs w:val="20"/>
          <w:lang w:eastAsia="zh-CN"/>
        </w:rPr>
        <w:t>Mark B. Taylor</w:t>
      </w:r>
      <w:r>
        <w:rPr>
          <w:rFonts w:ascii="Arial" w:hAnsi="Arial" w:cs="Arial" w:hint="eastAsia"/>
          <w:sz w:val="20"/>
          <w:szCs w:val="20"/>
          <w:lang w:eastAsia="zh-CN"/>
        </w:rPr>
        <w:t>，挪威奥斯陆</w:t>
      </w:r>
      <w:proofErr w:type="spellStart"/>
      <w:r w:rsidRPr="002B37B4">
        <w:rPr>
          <w:rFonts w:ascii="Arial" w:hAnsi="Arial" w:cs="Arial"/>
          <w:sz w:val="20"/>
          <w:szCs w:val="20"/>
          <w:lang w:eastAsia="zh-CN"/>
        </w:rPr>
        <w:t>Fafo</w:t>
      </w:r>
      <w:proofErr w:type="spellEnd"/>
      <w:r>
        <w:rPr>
          <w:rFonts w:ascii="Arial" w:hAnsi="Arial" w:cs="Arial" w:hint="eastAsia"/>
          <w:sz w:val="20"/>
          <w:szCs w:val="20"/>
          <w:lang w:eastAsia="zh-CN"/>
        </w:rPr>
        <w:t>应用国际研究所，</w:t>
      </w:r>
      <w:r w:rsidR="008600AE" w:rsidRPr="008600AE">
        <w:rPr>
          <w:rFonts w:ascii="Arial" w:hAnsi="Arial" w:cs="Arial"/>
          <w:sz w:val="20"/>
          <w:szCs w:val="20"/>
          <w:lang w:eastAsia="zh-CN"/>
        </w:rPr>
        <w:t>国际企业责任圆桌会议</w:t>
      </w:r>
      <w:r w:rsidR="00A5430F">
        <w:rPr>
          <w:rFonts w:ascii="Arial" w:hAnsi="Arial" w:cs="Arial" w:hint="eastAsia"/>
          <w:sz w:val="20"/>
          <w:szCs w:val="20"/>
          <w:lang w:eastAsia="zh-CN"/>
        </w:rPr>
        <w:t>授权</w:t>
      </w:r>
      <w:r>
        <w:rPr>
          <w:rFonts w:ascii="Arial" w:hAnsi="Arial" w:cs="Arial" w:hint="eastAsia"/>
          <w:sz w:val="20"/>
          <w:szCs w:val="20"/>
          <w:lang w:eastAsia="zh-CN"/>
        </w:rPr>
        <w:t>，</w:t>
      </w:r>
      <w:r>
        <w:rPr>
          <w:rFonts w:ascii="Arial" w:hAnsi="Arial" w:cs="Arial" w:hint="eastAsia"/>
          <w:sz w:val="20"/>
          <w:szCs w:val="20"/>
          <w:lang w:eastAsia="zh-CN"/>
        </w:rPr>
        <w:t>2013</w:t>
      </w:r>
      <w:r>
        <w:rPr>
          <w:rFonts w:ascii="Arial" w:hAnsi="Arial" w:cs="Arial" w:hint="eastAsia"/>
          <w:sz w:val="20"/>
          <w:szCs w:val="20"/>
          <w:lang w:eastAsia="zh-CN"/>
        </w:rPr>
        <w:t>年</w:t>
      </w:r>
      <w:r>
        <w:rPr>
          <w:rFonts w:ascii="Arial" w:hAnsi="Arial" w:cs="Arial" w:hint="eastAsia"/>
          <w:sz w:val="20"/>
          <w:szCs w:val="20"/>
          <w:lang w:eastAsia="zh-CN"/>
        </w:rPr>
        <w:t>11</w:t>
      </w:r>
      <w:r>
        <w:rPr>
          <w:rFonts w:ascii="Arial" w:hAnsi="Arial" w:cs="Arial" w:hint="eastAsia"/>
          <w:sz w:val="20"/>
          <w:szCs w:val="20"/>
          <w:lang w:eastAsia="zh-CN"/>
        </w:rPr>
        <w:t>月</w:t>
      </w:r>
    </w:p>
    <w:p w14:paraId="25081CA3" w14:textId="77777777" w:rsidR="008600AE" w:rsidRPr="002B37B4" w:rsidRDefault="008600AE" w:rsidP="008600AE">
      <w:pPr>
        <w:widowControl w:val="0"/>
        <w:autoSpaceDE w:val="0"/>
        <w:autoSpaceDN w:val="0"/>
        <w:adjustRightInd w:val="0"/>
        <w:spacing w:after="0"/>
        <w:rPr>
          <w:rFonts w:ascii="Arial" w:hAnsi="Arial" w:cs="Arial"/>
          <w:sz w:val="20"/>
          <w:szCs w:val="20"/>
          <w:lang w:eastAsia="zh-CN"/>
        </w:rPr>
      </w:pPr>
    </w:p>
    <w:p w14:paraId="68DF0115" w14:textId="563E74FE" w:rsidR="00615A7C" w:rsidRPr="002B37B4" w:rsidRDefault="00BF1450"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lang w:val="en-US" w:eastAsia="zh-CN"/>
        </w:rPr>
      </w:pPr>
      <w:r w:rsidRPr="005B6D61">
        <w:rPr>
          <w:rFonts w:ascii="PMingLiU" w:hAnsi="PMingLiU" w:cs="Arial" w:hint="eastAsia"/>
          <w:i/>
          <w:sz w:val="20"/>
          <w:szCs w:val="20"/>
          <w:lang w:eastAsia="zh-CN"/>
        </w:rPr>
        <w:t>此为</w:t>
      </w:r>
      <w:r w:rsidR="00A5430F">
        <w:fldChar w:fldCharType="begin"/>
      </w:r>
      <w:r w:rsidR="00A5430F">
        <w:rPr>
          <w:lang w:eastAsia="zh-CN"/>
        </w:rPr>
        <w:instrText xml:space="preserve"> HYPERLINK "http://www.business-humanrights.org/" </w:instrText>
      </w:r>
      <w:r w:rsidR="00A5430F">
        <w:fldChar w:fldCharType="separate"/>
      </w:r>
      <w:r>
        <w:rPr>
          <w:rStyle w:val="Hyperlink"/>
          <w:rFonts w:ascii="Arial" w:hAnsi="Arial" w:cs="Arial" w:hint="eastAsia"/>
          <w:i/>
          <w:sz w:val="20"/>
          <w:szCs w:val="20"/>
          <w:lang w:eastAsia="zh-CN"/>
        </w:rPr>
        <w:t>企业</w:t>
      </w:r>
      <w:r w:rsidR="008600AE">
        <w:rPr>
          <w:rStyle w:val="Hyperlink"/>
          <w:rFonts w:ascii="Arial" w:hAnsi="Arial" w:cs="Arial" w:hint="eastAsia"/>
          <w:i/>
          <w:sz w:val="20"/>
          <w:szCs w:val="20"/>
          <w:lang w:eastAsia="zh-CN"/>
        </w:rPr>
        <w:t>与</w:t>
      </w:r>
      <w:r>
        <w:rPr>
          <w:rStyle w:val="Hyperlink"/>
          <w:rFonts w:ascii="Arial" w:hAnsi="Arial" w:cs="Arial" w:hint="eastAsia"/>
          <w:i/>
          <w:sz w:val="20"/>
          <w:szCs w:val="20"/>
          <w:lang w:eastAsia="zh-CN"/>
        </w:rPr>
        <w:t>人权资源中心</w:t>
      </w:r>
      <w:r w:rsidR="00A5430F">
        <w:rPr>
          <w:rStyle w:val="Hyperlink"/>
          <w:rFonts w:ascii="Arial" w:hAnsi="Arial" w:cs="Arial"/>
          <w:i/>
          <w:sz w:val="20"/>
          <w:szCs w:val="20"/>
          <w:lang w:eastAsia="zh-CN"/>
        </w:rPr>
        <w:fldChar w:fldCharType="end"/>
      </w:r>
      <w:r w:rsidR="00EF27DC">
        <w:rPr>
          <w:rFonts w:ascii="Arial" w:hAnsi="Arial" w:cs="Arial" w:hint="eastAsia"/>
          <w:i/>
          <w:sz w:val="20"/>
          <w:szCs w:val="20"/>
          <w:lang w:eastAsia="zh-CN"/>
        </w:rPr>
        <w:t>的非官方翻译文本</w:t>
      </w:r>
    </w:p>
    <w:p w14:paraId="4E3961DD" w14:textId="77777777" w:rsidR="00615A7C" w:rsidRPr="002B37B4" w:rsidRDefault="00615A7C"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lang w:eastAsia="zh-CN"/>
        </w:rPr>
      </w:pPr>
    </w:p>
    <w:p w14:paraId="0A6C2FF5" w14:textId="77777777" w:rsidR="00615A7C" w:rsidRPr="002B37B4" w:rsidRDefault="004410AA" w:rsidP="00615A7C">
      <w:pPr>
        <w:pBdr>
          <w:top w:val="single" w:sz="4" w:space="1" w:color="auto"/>
          <w:left w:val="single" w:sz="4" w:space="0" w:color="auto"/>
          <w:bottom w:val="single" w:sz="4" w:space="0" w:color="auto"/>
          <w:right w:val="single" w:sz="4" w:space="4" w:color="auto"/>
        </w:pBdr>
        <w:spacing w:after="0"/>
        <w:rPr>
          <w:rFonts w:ascii="Arial" w:hAnsi="Arial" w:cs="Arial"/>
          <w:i/>
          <w:sz w:val="20"/>
          <w:szCs w:val="20"/>
          <w:lang w:val="en-US"/>
        </w:rPr>
      </w:pPr>
      <w:r>
        <w:rPr>
          <w:rFonts w:ascii="Arial" w:hAnsi="Arial" w:cs="Arial" w:hint="eastAsia"/>
          <w:i/>
          <w:sz w:val="20"/>
          <w:szCs w:val="20"/>
          <w:lang w:eastAsia="zh-CN"/>
        </w:rPr>
        <w:t>英文原文：</w:t>
      </w:r>
      <w:r w:rsidR="00615A7C" w:rsidRPr="002B37B4">
        <w:rPr>
          <w:rFonts w:ascii="Arial" w:hAnsi="Arial" w:cs="Arial"/>
          <w:i/>
          <w:sz w:val="20"/>
          <w:szCs w:val="20"/>
        </w:rPr>
        <w:t xml:space="preserve"> </w:t>
      </w:r>
      <w:hyperlink r:id="rId9" w:history="1">
        <w:r w:rsidR="00615A7C" w:rsidRPr="002B37B4">
          <w:rPr>
            <w:rStyle w:val="Hyperlink"/>
            <w:rFonts w:ascii="Arial" w:hAnsi="Arial" w:cs="Arial"/>
            <w:i/>
            <w:sz w:val="20"/>
            <w:szCs w:val="20"/>
          </w:rPr>
          <w:t>http://accountabilityroundtable.org/wp-content/uploads/2013/11/ICAR-Human-Rights-Due-Diligence-2013-Update-FINAL1.pdf</w:t>
        </w:r>
      </w:hyperlink>
      <w:r w:rsidR="00615A7C" w:rsidRPr="002B37B4">
        <w:rPr>
          <w:rFonts w:ascii="Arial" w:hAnsi="Arial" w:cs="Arial"/>
          <w:i/>
          <w:sz w:val="20"/>
          <w:szCs w:val="20"/>
        </w:rPr>
        <w:t xml:space="preserve"> </w:t>
      </w:r>
    </w:p>
    <w:p w14:paraId="73788738" w14:textId="77777777" w:rsidR="00480568" w:rsidRPr="002B37B4" w:rsidRDefault="004410AA" w:rsidP="00480568">
      <w:pPr>
        <w:pStyle w:val="Heading1"/>
        <w:numPr>
          <w:ilvl w:val="0"/>
          <w:numId w:val="1"/>
        </w:numPr>
        <w:rPr>
          <w:rFonts w:ascii="Arial" w:hAnsi="Arial" w:cs="Arial"/>
          <w:sz w:val="20"/>
          <w:szCs w:val="20"/>
          <w:lang w:val="en-US" w:eastAsia="zh-CN"/>
        </w:rPr>
      </w:pPr>
      <w:r>
        <w:rPr>
          <w:rFonts w:ascii="Arial" w:hAnsi="Arial" w:cs="Arial" w:hint="eastAsia"/>
          <w:sz w:val="20"/>
          <w:szCs w:val="20"/>
          <w:lang w:val="en-US" w:eastAsia="zh-CN"/>
        </w:rPr>
        <w:t>尊重的责任：独立而非孤立</w:t>
      </w:r>
      <w:r w:rsidR="00615A7C" w:rsidRPr="002B37B4">
        <w:rPr>
          <w:rFonts w:ascii="Arial" w:hAnsi="Arial" w:cs="Arial"/>
          <w:sz w:val="20"/>
          <w:szCs w:val="20"/>
          <w:lang w:val="en-US" w:eastAsia="zh-CN"/>
        </w:rPr>
        <w:t xml:space="preserve"> </w:t>
      </w:r>
      <w:bookmarkEnd w:id="0"/>
    </w:p>
    <w:p w14:paraId="71E8588A" w14:textId="3C53921B" w:rsidR="00480568" w:rsidRPr="002B37B4" w:rsidRDefault="00D14F19"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w:t>
      </w:r>
      <w:r w:rsidR="004410AA">
        <w:rPr>
          <w:rFonts w:asciiTheme="minorEastAsia" w:eastAsiaTheme="minorEastAsia" w:hAnsiTheme="minorEastAsia" w:cs="Arial" w:hint="eastAsia"/>
          <w:sz w:val="20"/>
          <w:szCs w:val="20"/>
          <w:lang w:val="en-US" w:eastAsia="zh-CN"/>
        </w:rPr>
        <w:t>联合国</w:t>
      </w:r>
      <w:r w:rsidR="00765B72">
        <w:rPr>
          <w:rFonts w:asciiTheme="minorEastAsia" w:eastAsiaTheme="minorEastAsia" w:hAnsiTheme="minorEastAsia" w:cs="Arial" w:hint="eastAsia"/>
          <w:sz w:val="20"/>
          <w:szCs w:val="20"/>
          <w:lang w:val="en-US" w:eastAsia="zh-CN"/>
        </w:rPr>
        <w:t>工商业</w:t>
      </w:r>
      <w:r w:rsidR="008600AE">
        <w:rPr>
          <w:rFonts w:asciiTheme="minorEastAsia" w:eastAsiaTheme="minorEastAsia" w:hAnsiTheme="minorEastAsia" w:cs="Arial" w:hint="eastAsia"/>
          <w:sz w:val="20"/>
          <w:szCs w:val="20"/>
          <w:lang w:val="en-US" w:eastAsia="zh-CN"/>
        </w:rPr>
        <w:t>与</w:t>
      </w:r>
      <w:r w:rsidR="00765B72">
        <w:rPr>
          <w:rFonts w:asciiTheme="minorEastAsia" w:eastAsiaTheme="minorEastAsia" w:hAnsiTheme="minorEastAsia" w:cs="Arial" w:hint="eastAsia"/>
          <w:sz w:val="20"/>
          <w:szCs w:val="20"/>
          <w:lang w:val="en-US" w:eastAsia="zh-CN"/>
        </w:rPr>
        <w:t>人权指导原则</w:t>
      </w:r>
      <w:r w:rsidR="004410AA">
        <w:rPr>
          <w:rFonts w:asciiTheme="minorEastAsia" w:eastAsiaTheme="minorEastAsia" w:hAnsiTheme="minorEastAsia" w:cs="Arial" w:hint="eastAsia"/>
          <w:sz w:val="20"/>
          <w:szCs w:val="20"/>
          <w:lang w:val="en-US" w:eastAsia="zh-CN"/>
        </w:rPr>
        <w:t>》</w:t>
      </w:r>
      <w:r w:rsidR="00765B72">
        <w:rPr>
          <w:rFonts w:asciiTheme="minorEastAsia" w:eastAsiaTheme="minorEastAsia" w:hAnsiTheme="minorEastAsia" w:cs="Arial" w:hint="eastAsia"/>
          <w:sz w:val="20"/>
          <w:szCs w:val="20"/>
          <w:lang w:val="en-US" w:eastAsia="zh-CN"/>
        </w:rPr>
        <w:t>（2</w:t>
      </w:r>
      <w:bookmarkStart w:id="1" w:name="_GoBack"/>
      <w:bookmarkEnd w:id="1"/>
      <w:r w:rsidR="00765B72">
        <w:rPr>
          <w:rFonts w:asciiTheme="minorEastAsia" w:eastAsiaTheme="minorEastAsia" w:hAnsiTheme="minorEastAsia" w:cs="Arial" w:hint="eastAsia"/>
          <w:sz w:val="20"/>
          <w:szCs w:val="20"/>
          <w:lang w:val="en-US" w:eastAsia="zh-CN"/>
        </w:rPr>
        <w:t>011）</w:t>
      </w:r>
      <w:r w:rsidR="008600AE">
        <w:rPr>
          <w:rFonts w:asciiTheme="minorEastAsia" w:eastAsiaTheme="minorEastAsia" w:hAnsiTheme="minorEastAsia" w:cs="Arial" w:hint="eastAsia"/>
          <w:sz w:val="20"/>
          <w:szCs w:val="20"/>
          <w:lang w:val="en-US" w:eastAsia="zh-CN"/>
        </w:rPr>
        <w:t>阐明了工商</w:t>
      </w:r>
      <w:r w:rsidR="00765B72">
        <w:rPr>
          <w:rFonts w:asciiTheme="minorEastAsia" w:eastAsiaTheme="minorEastAsia" w:hAnsiTheme="minorEastAsia" w:cs="Arial" w:hint="eastAsia"/>
          <w:sz w:val="20"/>
          <w:szCs w:val="20"/>
          <w:lang w:val="en-US" w:eastAsia="zh-CN"/>
        </w:rPr>
        <w:t>业尊重人权</w:t>
      </w:r>
      <w:r w:rsidR="008600AE">
        <w:rPr>
          <w:rFonts w:asciiTheme="minorEastAsia" w:eastAsiaTheme="minorEastAsia" w:hAnsiTheme="minorEastAsia" w:cs="Arial" w:hint="eastAsia"/>
          <w:sz w:val="20"/>
          <w:szCs w:val="20"/>
          <w:lang w:val="en-US" w:eastAsia="zh-CN"/>
        </w:rPr>
        <w:t>在</w:t>
      </w:r>
      <w:r w:rsidR="008600AE">
        <w:rPr>
          <w:rFonts w:asciiTheme="minorEastAsia" w:eastAsiaTheme="minorEastAsia" w:hAnsiTheme="minorEastAsia" w:cs="Arial" w:hint="eastAsia"/>
          <w:sz w:val="20"/>
          <w:szCs w:val="20"/>
          <w:lang w:val="en-US" w:eastAsia="zh-CN"/>
        </w:rPr>
        <w:t>国际准则</w:t>
      </w:r>
      <w:r w:rsidR="00A5430F">
        <w:rPr>
          <w:rFonts w:asciiTheme="minorEastAsia" w:eastAsiaTheme="minorEastAsia" w:hAnsiTheme="minorEastAsia" w:cs="Arial" w:hint="eastAsia"/>
          <w:sz w:val="20"/>
          <w:szCs w:val="20"/>
          <w:lang w:val="en-US" w:eastAsia="zh-CN"/>
        </w:rPr>
        <w:t>下</w:t>
      </w:r>
      <w:r w:rsidR="00765B72">
        <w:rPr>
          <w:rFonts w:asciiTheme="minorEastAsia" w:eastAsiaTheme="minorEastAsia" w:hAnsiTheme="minorEastAsia" w:cs="Arial" w:hint="eastAsia"/>
          <w:sz w:val="20"/>
          <w:szCs w:val="20"/>
          <w:lang w:val="en-US" w:eastAsia="zh-CN"/>
        </w:rPr>
        <w:t>的含义。根据该《指导原则》的定义，尊重人权的责任是基于工商企业不应进行</w:t>
      </w:r>
      <w:r w:rsidR="00C12E33">
        <w:rPr>
          <w:rFonts w:asciiTheme="minorEastAsia" w:eastAsiaTheme="minorEastAsia" w:hAnsiTheme="minorEastAsia" w:cs="Arial" w:hint="eastAsia"/>
          <w:sz w:val="20"/>
          <w:szCs w:val="20"/>
          <w:lang w:val="en-US" w:eastAsia="zh-CN"/>
        </w:rPr>
        <w:t>任何</w:t>
      </w:r>
      <w:r w:rsidR="00765B72">
        <w:rPr>
          <w:rFonts w:asciiTheme="minorEastAsia" w:eastAsiaTheme="minorEastAsia" w:hAnsiTheme="minorEastAsia" w:cs="Arial" w:hint="eastAsia"/>
          <w:sz w:val="20"/>
          <w:szCs w:val="20"/>
          <w:lang w:val="en-US" w:eastAsia="zh-CN"/>
        </w:rPr>
        <w:t>伤害的原则。</w:t>
      </w:r>
      <w:r w:rsidR="00C12E33">
        <w:rPr>
          <w:rFonts w:asciiTheme="minorEastAsia" w:eastAsiaTheme="minorEastAsia" w:hAnsiTheme="minorEastAsia" w:cs="Arial" w:hint="eastAsia"/>
          <w:sz w:val="20"/>
          <w:szCs w:val="20"/>
          <w:lang w:val="en-US" w:eastAsia="zh-CN"/>
        </w:rPr>
        <w:t>《指导原则》规定，为履行其尊重人权的义务，工商企业</w:t>
      </w:r>
      <w:r w:rsidR="008600AE">
        <w:rPr>
          <w:rFonts w:asciiTheme="minorEastAsia" w:eastAsiaTheme="minorEastAsia" w:hAnsiTheme="minorEastAsia" w:cs="Arial" w:hint="eastAsia"/>
          <w:sz w:val="20"/>
          <w:szCs w:val="20"/>
          <w:lang w:val="en-US" w:eastAsia="zh-CN"/>
        </w:rPr>
        <w:t>的</w:t>
      </w:r>
      <w:r w:rsidR="008600AE">
        <w:rPr>
          <w:rFonts w:asciiTheme="minorEastAsia" w:eastAsiaTheme="minorEastAsia" w:hAnsiTheme="minorEastAsia" w:cs="Arial" w:hint="eastAsia"/>
          <w:sz w:val="20"/>
          <w:szCs w:val="20"/>
          <w:lang w:val="en-US" w:eastAsia="zh-CN"/>
        </w:rPr>
        <w:t>行动</w:t>
      </w:r>
      <w:r w:rsidR="00C12E33">
        <w:rPr>
          <w:rFonts w:asciiTheme="minorEastAsia" w:eastAsiaTheme="minorEastAsia" w:hAnsiTheme="minorEastAsia" w:cs="Arial" w:hint="eastAsia"/>
          <w:sz w:val="20"/>
          <w:szCs w:val="20"/>
          <w:lang w:val="en-US" w:eastAsia="zh-CN"/>
        </w:rPr>
        <w:t>应</w:t>
      </w:r>
      <w:r w:rsidR="008600AE">
        <w:rPr>
          <w:rFonts w:asciiTheme="minorEastAsia" w:eastAsiaTheme="minorEastAsia" w:hAnsiTheme="minorEastAsia" w:cs="Arial" w:hint="eastAsia"/>
          <w:sz w:val="20"/>
          <w:szCs w:val="20"/>
          <w:lang w:val="en-US" w:eastAsia="zh-CN"/>
        </w:rPr>
        <w:t>基于</w:t>
      </w:r>
      <w:r w:rsidR="00C12E33">
        <w:rPr>
          <w:rFonts w:asciiTheme="minorEastAsia" w:eastAsiaTheme="minorEastAsia" w:hAnsiTheme="minorEastAsia" w:cs="Arial" w:hint="eastAsia"/>
          <w:sz w:val="20"/>
          <w:szCs w:val="20"/>
          <w:lang w:val="en-US" w:eastAsia="zh-CN"/>
        </w:rPr>
        <w:t>尽责</w:t>
      </w:r>
      <w:r w:rsidR="008600AE">
        <w:rPr>
          <w:rFonts w:asciiTheme="minorEastAsia" w:eastAsiaTheme="minorEastAsia" w:hAnsiTheme="minorEastAsia" w:cs="Arial" w:hint="eastAsia"/>
          <w:sz w:val="20"/>
          <w:szCs w:val="20"/>
          <w:lang w:val="en-US" w:eastAsia="zh-CN"/>
        </w:rPr>
        <w:t>，以</w:t>
      </w:r>
      <w:r w:rsidR="00C12E33">
        <w:rPr>
          <w:rFonts w:asciiTheme="minorEastAsia" w:eastAsiaTheme="minorEastAsia" w:hAnsiTheme="minorEastAsia" w:cs="Arial" w:hint="eastAsia"/>
          <w:sz w:val="20"/>
          <w:szCs w:val="20"/>
          <w:lang w:val="en-US" w:eastAsia="zh-CN"/>
        </w:rPr>
        <w:t>确保其不侵犯他人的权利。</w:t>
      </w:r>
      <w:r w:rsidR="00480568" w:rsidRPr="002B37B4">
        <w:rPr>
          <w:rFonts w:ascii="Arial" w:hAnsi="Arial" w:cs="Arial"/>
          <w:sz w:val="20"/>
          <w:szCs w:val="20"/>
          <w:lang w:val="en-US"/>
        </w:rPr>
        <w:t xml:space="preserve">  </w:t>
      </w:r>
    </w:p>
    <w:p w14:paraId="7999A73B" w14:textId="6966B811" w:rsidR="00480568" w:rsidRPr="002B37B4" w:rsidRDefault="008600AE"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换句话说，一</w:t>
      </w:r>
      <w:r w:rsidR="00D14F19">
        <w:rPr>
          <w:rFonts w:asciiTheme="minorEastAsia" w:eastAsiaTheme="minorEastAsia" w:hAnsiTheme="minorEastAsia" w:cs="Arial" w:hint="eastAsia"/>
          <w:sz w:val="20"/>
          <w:szCs w:val="20"/>
          <w:lang w:val="en-US" w:eastAsia="zh-CN"/>
        </w:rPr>
        <w:t>家企业的责任来自其活动和关系，</w:t>
      </w:r>
      <w:r w:rsidR="00C12E33">
        <w:rPr>
          <w:rFonts w:asciiTheme="minorEastAsia" w:eastAsiaTheme="minorEastAsia" w:hAnsiTheme="minorEastAsia" w:cs="Arial" w:hint="eastAsia"/>
          <w:sz w:val="20"/>
          <w:szCs w:val="20"/>
          <w:lang w:val="en-US" w:eastAsia="zh-CN"/>
        </w:rPr>
        <w:t>企业应采取尽责步骤</w:t>
      </w:r>
      <w:r w:rsidR="00D14F19">
        <w:rPr>
          <w:rFonts w:asciiTheme="minorEastAsia" w:eastAsiaTheme="minorEastAsia" w:hAnsiTheme="minorEastAsia" w:cs="Arial" w:hint="eastAsia"/>
          <w:sz w:val="20"/>
          <w:szCs w:val="20"/>
          <w:lang w:val="en-US" w:eastAsia="zh-CN"/>
        </w:rPr>
        <w:t>，来确保其活动和关系不侵犯人权。《指导原则》指明，该责任涵盖一家企业在全球的所有活动和关系，这是</w:t>
      </w:r>
      <w:r w:rsidR="00C12E33">
        <w:rPr>
          <w:rFonts w:asciiTheme="minorEastAsia" w:eastAsiaTheme="minorEastAsia" w:hAnsiTheme="minorEastAsia" w:cs="Arial" w:hint="eastAsia"/>
          <w:sz w:val="20"/>
          <w:szCs w:val="20"/>
          <w:lang w:val="en-US" w:eastAsia="zh-CN"/>
        </w:rPr>
        <w:t>企业负担的一个独立责任，</w:t>
      </w:r>
      <w:r w:rsidR="0093696D">
        <w:rPr>
          <w:rFonts w:asciiTheme="minorEastAsia" w:eastAsiaTheme="minorEastAsia" w:hAnsiTheme="minorEastAsia" w:cs="Arial" w:hint="eastAsia"/>
          <w:sz w:val="20"/>
          <w:szCs w:val="20"/>
          <w:lang w:val="en-US" w:eastAsia="zh-CN"/>
        </w:rPr>
        <w:t>独立于</w:t>
      </w:r>
      <w:r w:rsidR="00C12E33">
        <w:rPr>
          <w:rFonts w:asciiTheme="minorEastAsia" w:eastAsiaTheme="minorEastAsia" w:hAnsiTheme="minorEastAsia" w:cs="Arial" w:hint="eastAsia"/>
          <w:sz w:val="20"/>
          <w:szCs w:val="20"/>
          <w:lang w:val="en-US" w:eastAsia="zh-CN"/>
        </w:rPr>
        <w:t>国家</w:t>
      </w:r>
      <w:r w:rsidR="007240A6">
        <w:rPr>
          <w:rFonts w:asciiTheme="minorEastAsia" w:eastAsiaTheme="minorEastAsia" w:hAnsiTheme="minorEastAsia" w:cs="Arial" w:hint="eastAsia"/>
          <w:sz w:val="20"/>
          <w:szCs w:val="20"/>
          <w:lang w:val="en-US" w:eastAsia="zh-CN"/>
        </w:rPr>
        <w:t>负起相关责任</w:t>
      </w:r>
      <w:r w:rsidR="0093696D">
        <w:rPr>
          <w:rFonts w:asciiTheme="minorEastAsia" w:eastAsiaTheme="minorEastAsia" w:hAnsiTheme="minorEastAsia" w:cs="Arial" w:hint="eastAsia"/>
          <w:sz w:val="20"/>
          <w:szCs w:val="20"/>
          <w:lang w:val="en-US" w:eastAsia="zh-CN"/>
        </w:rPr>
        <w:t>与否</w:t>
      </w:r>
      <w:r w:rsidR="00C12E33">
        <w:rPr>
          <w:rFonts w:asciiTheme="minorEastAsia" w:eastAsiaTheme="minorEastAsia" w:hAnsiTheme="minorEastAsia" w:cs="Arial" w:hint="eastAsia"/>
          <w:sz w:val="20"/>
          <w:szCs w:val="20"/>
          <w:lang w:val="en-US" w:eastAsia="zh-CN"/>
        </w:rPr>
        <w:t>。</w:t>
      </w:r>
      <w:r w:rsidR="00480568" w:rsidRPr="002B37B4">
        <w:rPr>
          <w:rFonts w:ascii="Arial" w:hAnsi="Arial" w:cs="Arial"/>
          <w:sz w:val="20"/>
          <w:szCs w:val="20"/>
          <w:lang w:val="en-US"/>
        </w:rPr>
        <w:t xml:space="preserve">  </w:t>
      </w:r>
    </w:p>
    <w:p w14:paraId="16B18171" w14:textId="4D3DB797" w:rsidR="00480568" w:rsidRPr="006B143E" w:rsidRDefault="00C12E33" w:rsidP="00480568">
      <w:pPr>
        <w:pStyle w:val="NormalWeb"/>
        <w:rPr>
          <w:rFonts w:ascii="Arial" w:hAnsi="Arial" w:cs="Arial"/>
          <w:b/>
          <w:sz w:val="20"/>
          <w:szCs w:val="20"/>
          <w:lang w:val="en-US"/>
        </w:rPr>
      </w:pPr>
      <w:r w:rsidRPr="006B143E">
        <w:rPr>
          <w:rFonts w:asciiTheme="minorEastAsia" w:eastAsiaTheme="minorEastAsia" w:hAnsiTheme="minorEastAsia" w:cs="Arial" w:hint="eastAsia"/>
          <w:b/>
          <w:sz w:val="20"/>
          <w:szCs w:val="20"/>
          <w:lang w:val="en-US" w:eastAsia="zh-CN"/>
        </w:rPr>
        <w:t>独立</w:t>
      </w:r>
      <w:r w:rsidR="0093696D" w:rsidRPr="006B143E">
        <w:rPr>
          <w:rFonts w:asciiTheme="minorEastAsia" w:eastAsiaTheme="minorEastAsia" w:hAnsiTheme="minorEastAsia" w:cs="Arial" w:hint="eastAsia"/>
          <w:b/>
          <w:sz w:val="20"/>
          <w:szCs w:val="20"/>
          <w:lang w:val="en-US" w:eastAsia="zh-CN"/>
        </w:rPr>
        <w:t>而不</w:t>
      </w:r>
      <w:r w:rsidRPr="006B143E">
        <w:rPr>
          <w:rFonts w:asciiTheme="minorEastAsia" w:eastAsiaTheme="minorEastAsia" w:hAnsiTheme="minorEastAsia" w:cs="Arial" w:hint="eastAsia"/>
          <w:b/>
          <w:sz w:val="20"/>
          <w:szCs w:val="20"/>
          <w:lang w:val="en-US" w:eastAsia="zh-CN"/>
        </w:rPr>
        <w:t>孤立</w:t>
      </w:r>
      <w:r w:rsidR="00480568" w:rsidRPr="006B143E">
        <w:rPr>
          <w:rFonts w:ascii="Arial" w:hAnsi="Arial" w:cs="Arial"/>
          <w:b/>
          <w:sz w:val="20"/>
          <w:szCs w:val="20"/>
          <w:lang w:val="en-US"/>
        </w:rPr>
        <w:t xml:space="preserve">  </w:t>
      </w:r>
    </w:p>
    <w:p w14:paraId="3CBA238C" w14:textId="77777777" w:rsidR="006B143E" w:rsidRPr="006B143E" w:rsidRDefault="006B143E" w:rsidP="006B143E">
      <w:pPr>
        <w:pStyle w:val="NormalWeb"/>
        <w:rPr>
          <w:rFonts w:asciiTheme="minorEastAsia" w:eastAsiaTheme="minorEastAsia" w:hAnsiTheme="minorEastAsia" w:cs="Arial" w:hint="eastAsia"/>
          <w:sz w:val="20"/>
          <w:szCs w:val="20"/>
          <w:lang w:val="en-US" w:eastAsia="zh-CN"/>
        </w:rPr>
      </w:pPr>
      <w:r w:rsidRPr="006B143E">
        <w:rPr>
          <w:rFonts w:asciiTheme="minorEastAsia" w:eastAsiaTheme="minorEastAsia" w:hAnsiTheme="minorEastAsia" w:cs="Arial" w:hint="eastAsia"/>
          <w:sz w:val="20"/>
          <w:szCs w:val="20"/>
          <w:lang w:val="en-US" w:eastAsia="zh-CN"/>
        </w:rPr>
        <w:t xml:space="preserve">企业尊重人权的责任独立于国家保护人权的责任，但并非与国家责任分离。实际上，《指导原则》的第1条规定，国家保护人权免遭侵犯的义务包括“采取适当步骤，通过有效政策、法律、条例和裁决，防止、调查、惩治和补救（救济）”侵犯人权的行为。 </w:t>
      </w:r>
    </w:p>
    <w:p w14:paraId="4E73FF2B" w14:textId="4BF28D0C" w:rsidR="006B143E" w:rsidRDefault="006B143E" w:rsidP="006B143E">
      <w:pPr>
        <w:pStyle w:val="NormalWeb"/>
        <w:rPr>
          <w:rFonts w:asciiTheme="minorEastAsia" w:eastAsiaTheme="minorEastAsia" w:hAnsiTheme="minorEastAsia" w:cs="Arial" w:hint="eastAsia"/>
          <w:sz w:val="20"/>
          <w:szCs w:val="20"/>
          <w:lang w:val="en-US" w:eastAsia="zh-CN"/>
        </w:rPr>
      </w:pPr>
      <w:r w:rsidRPr="006B143E">
        <w:rPr>
          <w:rFonts w:asciiTheme="minorEastAsia" w:eastAsiaTheme="minorEastAsia" w:hAnsiTheme="minorEastAsia" w:cs="Arial" w:hint="eastAsia"/>
          <w:sz w:val="20"/>
          <w:szCs w:val="20"/>
          <w:lang w:val="en-US" w:eastAsia="zh-CN"/>
        </w:rPr>
        <w:t>人权尽责项目在2012年发现，世界各国的法律体系都具有尽责规定，其中包括各种法律传统：从美国到中国，从澳大利亚到尼日利亚，从阿根廷到欧盟及其成员国，从普通法国家到民法国家亦然。在这些法律体系中，尽责程序都符合《指导原则》中阐明的尽责程序 ；以至于《人权尽责：国家的角色》（《人权尽责报告》）得出结论，尽责的组成部分可能构成一个新出现的尽责标准，而该标准在许多司法管辖区和国际上已为人们熟知：识别人权面對的危机；采取行动来防止或缓解这些危险；保持有关风险和处理这些风险行动的透明度。（参阅附录1《人权尽责程序》）</w:t>
      </w:r>
    </w:p>
    <w:p w14:paraId="7F8E876D" w14:textId="59544133" w:rsidR="00480568" w:rsidRPr="002B37B4" w:rsidRDefault="004527EB" w:rsidP="00480568">
      <w:pPr>
        <w:pStyle w:val="NormalWeb"/>
        <w:rPr>
          <w:rFonts w:ascii="Arial" w:hAnsi="Arial" w:cs="Arial"/>
          <w:sz w:val="20"/>
          <w:szCs w:val="20"/>
          <w:lang w:val="en-US"/>
        </w:rPr>
      </w:pPr>
      <w:r w:rsidRPr="006B143E">
        <w:rPr>
          <w:rFonts w:asciiTheme="minorEastAsia" w:eastAsiaTheme="minorEastAsia" w:hAnsiTheme="minorEastAsia" w:cs="Arial" w:hint="eastAsia"/>
          <w:sz w:val="20"/>
          <w:szCs w:val="20"/>
          <w:lang w:val="en-US" w:eastAsia="zh-CN"/>
        </w:rPr>
        <w:t>在世界各地，尽责通常</w:t>
      </w:r>
      <w:r w:rsidR="00B836A1" w:rsidRPr="006B143E">
        <w:rPr>
          <w:rFonts w:asciiTheme="minorEastAsia" w:eastAsia="SimSun" w:hAnsiTheme="minorEastAsia" w:cs="Arial" w:hint="eastAsia"/>
          <w:sz w:val="20"/>
          <w:szCs w:val="20"/>
          <w:lang w:val="en-US" w:eastAsia="zh-CN"/>
        </w:rPr>
        <w:t>是</w:t>
      </w:r>
      <w:r w:rsidRPr="006B143E">
        <w:rPr>
          <w:rFonts w:asciiTheme="minorEastAsia" w:eastAsiaTheme="minorEastAsia" w:hAnsiTheme="minorEastAsia" w:cs="Arial" w:hint="eastAsia"/>
          <w:sz w:val="20"/>
          <w:szCs w:val="20"/>
          <w:lang w:val="en-US" w:eastAsia="zh-CN"/>
        </w:rPr>
        <w:t>用来评估企</w:t>
      </w:r>
      <w:r w:rsidR="008906E5" w:rsidRPr="006B143E">
        <w:rPr>
          <w:rFonts w:asciiTheme="minorEastAsia" w:eastAsiaTheme="minorEastAsia" w:hAnsiTheme="minorEastAsia" w:cs="Arial" w:hint="eastAsia"/>
          <w:sz w:val="20"/>
          <w:szCs w:val="20"/>
          <w:lang w:val="en-US" w:eastAsia="zh-CN"/>
        </w:rPr>
        <w:t>业遵守法律所定标准的情况，包括在一些情况下</w:t>
      </w:r>
      <w:r w:rsidR="00B836A1" w:rsidRPr="006B143E">
        <w:rPr>
          <w:rFonts w:ascii="PMingLiU" w:eastAsia="SimSun" w:hAnsi="PMingLiU" w:cs="Arial" w:hint="eastAsia"/>
          <w:sz w:val="20"/>
          <w:szCs w:val="20"/>
          <w:lang w:val="en-US" w:eastAsia="zh-CN"/>
        </w:rPr>
        <w:t>用</w:t>
      </w:r>
      <w:r w:rsidR="008906E5" w:rsidRPr="006B143E">
        <w:rPr>
          <w:rFonts w:asciiTheme="minorEastAsia" w:eastAsiaTheme="minorEastAsia" w:hAnsiTheme="minorEastAsia" w:cs="Arial" w:hint="eastAsia"/>
          <w:sz w:val="20"/>
          <w:szCs w:val="20"/>
          <w:lang w:val="en-US" w:eastAsia="zh-CN"/>
        </w:rPr>
        <w:t>来保护人权，例如劳工权利</w:t>
      </w:r>
      <w:r w:rsidR="006B143E" w:rsidRPr="006B143E">
        <w:rPr>
          <w:rFonts w:asciiTheme="minorEastAsia" w:eastAsiaTheme="minorEastAsia" w:hAnsiTheme="minorEastAsia" w:cs="Arial" w:hint="eastAsia"/>
          <w:sz w:val="20"/>
          <w:szCs w:val="20"/>
          <w:lang w:val="en-US" w:eastAsia="zh-CN"/>
        </w:rPr>
        <w:t>，或者来应对相关的风险</w:t>
      </w:r>
      <w:r w:rsidRPr="006B143E">
        <w:rPr>
          <w:rFonts w:asciiTheme="minorEastAsia" w:eastAsiaTheme="minorEastAsia" w:hAnsiTheme="minorEastAsia" w:cs="Arial" w:hint="eastAsia"/>
          <w:sz w:val="20"/>
          <w:szCs w:val="20"/>
          <w:lang w:val="en-US" w:eastAsia="zh-CN"/>
        </w:rPr>
        <w:t>，例如对消费者和环境的保护。但人权尽责项目发现</w:t>
      </w:r>
      <w:r>
        <w:rPr>
          <w:rFonts w:asciiTheme="minorEastAsia" w:eastAsiaTheme="minorEastAsia" w:hAnsiTheme="minorEastAsia" w:cs="Arial" w:hint="eastAsia"/>
          <w:sz w:val="20"/>
          <w:szCs w:val="20"/>
          <w:lang w:val="en-US" w:eastAsia="zh-CN"/>
        </w:rPr>
        <w:t>，</w:t>
      </w:r>
      <w:r w:rsidR="00023628">
        <w:rPr>
          <w:rFonts w:asciiTheme="minorEastAsia" w:eastAsiaTheme="minorEastAsia" w:hAnsiTheme="minorEastAsia" w:cs="Arial" w:hint="eastAsia"/>
          <w:sz w:val="20"/>
          <w:szCs w:val="20"/>
          <w:lang w:val="en-US" w:eastAsia="zh-CN"/>
        </w:rPr>
        <w:t>现存的各种尽责体系几乎都没有明确提到人权本身。</w:t>
      </w:r>
      <w:r w:rsidR="006B143E">
        <w:rPr>
          <w:rFonts w:asciiTheme="minorEastAsia" w:eastAsiaTheme="minorEastAsia" w:hAnsiTheme="minorEastAsia" w:cs="Arial" w:hint="eastAsia"/>
          <w:sz w:val="20"/>
          <w:szCs w:val="20"/>
          <w:lang w:val="en-US" w:eastAsia="zh-CN"/>
        </w:rPr>
        <w:t>《指导原则》也没有阐明国家可选择什么政策和法律，来确保落实企业对</w:t>
      </w:r>
      <w:r w:rsidR="00023628">
        <w:rPr>
          <w:rFonts w:asciiTheme="minorEastAsia" w:eastAsiaTheme="minorEastAsia" w:hAnsiTheme="minorEastAsia" w:cs="Arial" w:hint="eastAsia"/>
          <w:sz w:val="20"/>
          <w:szCs w:val="20"/>
          <w:lang w:val="en-US" w:eastAsia="zh-CN"/>
        </w:rPr>
        <w:t>人权</w:t>
      </w:r>
      <w:r w:rsidR="006B143E">
        <w:rPr>
          <w:rFonts w:asciiTheme="minorEastAsia" w:eastAsiaTheme="minorEastAsia" w:hAnsiTheme="minorEastAsia" w:cs="Arial" w:hint="eastAsia"/>
          <w:sz w:val="20"/>
          <w:szCs w:val="20"/>
          <w:lang w:val="en-US" w:eastAsia="zh-CN"/>
        </w:rPr>
        <w:t>的</w:t>
      </w:r>
      <w:r w:rsidR="00023628">
        <w:rPr>
          <w:rFonts w:asciiTheme="minorEastAsia" w:eastAsiaTheme="minorEastAsia" w:hAnsiTheme="minorEastAsia" w:cs="Arial" w:hint="eastAsia"/>
          <w:sz w:val="20"/>
          <w:szCs w:val="20"/>
          <w:lang w:val="en-US" w:eastAsia="zh-CN"/>
        </w:rPr>
        <w:t>尽责。</w:t>
      </w:r>
      <w:r w:rsidR="006B143E">
        <w:rPr>
          <w:rFonts w:asciiTheme="minorEastAsia" w:eastAsiaTheme="minorEastAsia" w:hAnsiTheme="minorEastAsia" w:cs="Arial" w:hint="eastAsia"/>
          <w:sz w:val="20"/>
          <w:szCs w:val="20"/>
          <w:lang w:val="en-US" w:eastAsia="zh-CN"/>
        </w:rPr>
        <w:t>本项目的专家小组还多次从</w:t>
      </w:r>
      <w:r w:rsidR="00023628">
        <w:rPr>
          <w:rFonts w:asciiTheme="minorEastAsia" w:eastAsiaTheme="minorEastAsia" w:hAnsiTheme="minorEastAsia" w:cs="Arial" w:hint="eastAsia"/>
          <w:sz w:val="20"/>
          <w:szCs w:val="20"/>
          <w:lang w:val="en-US" w:eastAsia="zh-CN"/>
        </w:rPr>
        <w:t>咨询的专家和律师得知，在许多情况中现有法律执行不力。</w:t>
      </w:r>
    </w:p>
    <w:p w14:paraId="19EE6526" w14:textId="77777777" w:rsidR="00480568" w:rsidRPr="002B37B4" w:rsidRDefault="00023628" w:rsidP="00480568">
      <w:pPr>
        <w:pStyle w:val="Heading1"/>
        <w:numPr>
          <w:ilvl w:val="0"/>
          <w:numId w:val="1"/>
        </w:numPr>
        <w:rPr>
          <w:rFonts w:ascii="Arial" w:hAnsi="Arial" w:cs="Arial"/>
          <w:sz w:val="20"/>
          <w:szCs w:val="20"/>
        </w:rPr>
      </w:pPr>
      <w:bookmarkStart w:id="2" w:name="_Toc372707267"/>
      <w:r>
        <w:rPr>
          <w:rFonts w:ascii="Arial" w:hAnsi="Arial" w:cs="Arial" w:hint="eastAsia"/>
          <w:sz w:val="20"/>
          <w:szCs w:val="20"/>
          <w:lang w:val="en-US" w:eastAsia="zh-CN"/>
        </w:rPr>
        <w:t>国家的监管选择</w:t>
      </w:r>
      <w:r w:rsidR="0030255F">
        <w:rPr>
          <w:rFonts w:ascii="Arial" w:hAnsi="Arial" w:cs="Arial" w:hint="eastAsia"/>
          <w:sz w:val="20"/>
          <w:szCs w:val="20"/>
          <w:lang w:val="en-US" w:eastAsia="zh-CN"/>
        </w:rPr>
        <w:t>方案</w:t>
      </w:r>
      <w:bookmarkEnd w:id="2"/>
    </w:p>
    <w:p w14:paraId="69AB22B7" w14:textId="77777777" w:rsidR="00480568" w:rsidRPr="002B37B4" w:rsidRDefault="00480568" w:rsidP="00480568">
      <w:pPr>
        <w:spacing w:after="120"/>
        <w:rPr>
          <w:rFonts w:ascii="Arial" w:hAnsi="Arial" w:cs="Arial"/>
          <w:sz w:val="20"/>
          <w:szCs w:val="20"/>
        </w:rPr>
      </w:pPr>
    </w:p>
    <w:p w14:paraId="655FC45C" w14:textId="035F6EFE" w:rsidR="00480568" w:rsidRPr="002B37B4" w:rsidRDefault="00023628"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《人权尽责报告》发布12个月以来，出现了一些进展。</w:t>
      </w:r>
      <w:r w:rsidR="0030255F">
        <w:rPr>
          <w:rFonts w:asciiTheme="minorEastAsia" w:eastAsiaTheme="minorEastAsia" w:hAnsiTheme="minorEastAsia" w:cs="Arial" w:hint="eastAsia"/>
          <w:sz w:val="20"/>
          <w:szCs w:val="20"/>
          <w:lang w:val="en-US" w:eastAsia="zh-CN"/>
        </w:rPr>
        <w:t>正如该报告所描述的，在大多数国家，证据显示尽责并非是一个外来的法律或监管概念。但在国家行动方面仍存在重大缺陷。各国</w:t>
      </w:r>
      <w:r w:rsidR="00CA78C7" w:rsidRPr="005B6D61">
        <w:rPr>
          <w:rFonts w:asciiTheme="minorEastAsia" w:eastAsia="SimSun" w:hAnsiTheme="minorEastAsia" w:cs="Arial" w:hint="eastAsia"/>
          <w:sz w:val="20"/>
          <w:szCs w:val="20"/>
          <w:lang w:val="en-US" w:eastAsia="zh-CN"/>
        </w:rPr>
        <w:t>可更</w:t>
      </w:r>
      <w:r w:rsidR="00CA78C7" w:rsidRPr="005B6D61">
        <w:rPr>
          <w:rFonts w:asciiTheme="minorEastAsia" w:eastAsia="SimSun" w:hAnsiTheme="minorEastAsia" w:cs="Arial"/>
          <w:sz w:val="20"/>
          <w:szCs w:val="20"/>
          <w:lang w:val="en-US" w:eastAsia="zh-CN"/>
        </w:rPr>
        <w:t>进</w:t>
      </w:r>
      <w:r w:rsidR="00CA78C7" w:rsidRPr="005B6D61">
        <w:rPr>
          <w:rFonts w:asciiTheme="minorEastAsia" w:eastAsia="SimSun" w:hAnsiTheme="minorEastAsia" w:cs="Arial" w:hint="eastAsia"/>
          <w:sz w:val="20"/>
          <w:szCs w:val="20"/>
          <w:lang w:val="en-US" w:eastAsia="zh-CN"/>
        </w:rPr>
        <w:t>一步使用</w:t>
      </w:r>
      <w:r w:rsidR="0030255F">
        <w:rPr>
          <w:rFonts w:asciiTheme="minorEastAsia" w:eastAsiaTheme="minorEastAsia" w:hAnsiTheme="minorEastAsia" w:cs="Arial" w:hint="eastAsia"/>
          <w:sz w:val="20"/>
          <w:szCs w:val="20"/>
          <w:lang w:val="en-US" w:eastAsia="zh-CN"/>
        </w:rPr>
        <w:t>法律工具，来确保企业</w:t>
      </w:r>
      <w:r w:rsidR="009E7AD0">
        <w:rPr>
          <w:rFonts w:asciiTheme="minorEastAsia" w:eastAsiaTheme="minorEastAsia" w:hAnsiTheme="minorEastAsia" w:cs="Arial" w:hint="eastAsia"/>
          <w:sz w:val="20"/>
          <w:szCs w:val="20"/>
          <w:lang w:val="en-US" w:eastAsia="zh-CN"/>
        </w:rPr>
        <w:t>基本</w:t>
      </w:r>
      <w:r w:rsidR="0030255F">
        <w:rPr>
          <w:rFonts w:asciiTheme="minorEastAsia" w:eastAsiaTheme="minorEastAsia" w:hAnsiTheme="minorEastAsia" w:cs="Arial" w:hint="eastAsia"/>
          <w:sz w:val="20"/>
          <w:szCs w:val="20"/>
          <w:lang w:val="en-US" w:eastAsia="zh-CN"/>
        </w:rPr>
        <w:t>尊重人权，特别是确保公司落实人权尽责。</w:t>
      </w:r>
      <w:r w:rsidR="00480568" w:rsidRPr="002B37B4">
        <w:rPr>
          <w:rFonts w:ascii="Arial" w:hAnsi="Arial" w:cs="Arial"/>
          <w:sz w:val="20"/>
          <w:szCs w:val="20"/>
          <w:lang w:val="en-US"/>
        </w:rPr>
        <w:t xml:space="preserve">  </w:t>
      </w:r>
    </w:p>
    <w:p w14:paraId="25FCDD42" w14:textId="7F31C74F" w:rsidR="00480568" w:rsidRPr="002B37B4" w:rsidRDefault="0030255F" w:rsidP="00480568">
      <w:pPr>
        <w:spacing w:after="120"/>
        <w:rPr>
          <w:rFonts w:ascii="Arial" w:hAnsi="Arial" w:cs="Arial"/>
          <w:sz w:val="20"/>
          <w:szCs w:val="20"/>
          <w:lang w:eastAsia="zh-CN"/>
        </w:rPr>
      </w:pPr>
      <w:r>
        <w:rPr>
          <w:rFonts w:ascii="Arial" w:hAnsi="Arial" w:cs="Arial" w:hint="eastAsia"/>
          <w:sz w:val="20"/>
          <w:szCs w:val="20"/>
          <w:lang w:eastAsia="zh-CN"/>
        </w:rPr>
        <w:t>《人权尽责报告》（</w:t>
      </w:r>
      <w:r>
        <w:rPr>
          <w:rFonts w:ascii="Arial" w:hAnsi="Arial" w:cs="Arial" w:hint="eastAsia"/>
          <w:sz w:val="20"/>
          <w:szCs w:val="20"/>
          <w:lang w:eastAsia="zh-CN"/>
        </w:rPr>
        <w:t>2012</w:t>
      </w:r>
      <w:r>
        <w:rPr>
          <w:rFonts w:ascii="Arial" w:hAnsi="Arial" w:cs="Arial" w:hint="eastAsia"/>
          <w:sz w:val="20"/>
          <w:szCs w:val="20"/>
          <w:lang w:eastAsia="zh-CN"/>
        </w:rPr>
        <w:t>年）发现，国家可以通过</w:t>
      </w:r>
      <w:r>
        <w:rPr>
          <w:rFonts w:ascii="Arial" w:hAnsi="Arial" w:cs="Arial" w:hint="eastAsia"/>
          <w:sz w:val="20"/>
          <w:szCs w:val="20"/>
          <w:lang w:eastAsia="zh-CN"/>
        </w:rPr>
        <w:t>4</w:t>
      </w:r>
      <w:r>
        <w:rPr>
          <w:rFonts w:ascii="Arial" w:hAnsi="Arial" w:cs="Arial" w:hint="eastAsia"/>
          <w:sz w:val="20"/>
          <w:szCs w:val="20"/>
          <w:lang w:eastAsia="zh-CN"/>
        </w:rPr>
        <w:t>种主要的监管手段，来确保企业进行人权尽责</w:t>
      </w:r>
      <w:r w:rsidR="00E9053F">
        <w:rPr>
          <w:rFonts w:ascii="Arial" w:hAnsi="Arial" w:cs="Arial" w:hint="eastAsia"/>
          <w:sz w:val="20"/>
          <w:szCs w:val="20"/>
          <w:lang w:eastAsia="zh-CN"/>
        </w:rPr>
        <w:t>行</w:t>
      </w:r>
      <w:r>
        <w:rPr>
          <w:rFonts w:ascii="Arial" w:hAnsi="Arial" w:cs="Arial" w:hint="eastAsia"/>
          <w:sz w:val="20"/>
          <w:szCs w:val="20"/>
          <w:lang w:eastAsia="zh-CN"/>
        </w:rPr>
        <w:t>动：</w:t>
      </w:r>
      <w:r w:rsidR="00480568" w:rsidRPr="002B37B4">
        <w:rPr>
          <w:rFonts w:ascii="Arial" w:hAnsi="Arial" w:cs="Arial"/>
          <w:sz w:val="20"/>
          <w:szCs w:val="20"/>
          <w:lang w:eastAsia="zh-CN"/>
        </w:rPr>
        <w:t xml:space="preserve"> </w:t>
      </w:r>
    </w:p>
    <w:p w14:paraId="70C0ECAA" w14:textId="77777777" w:rsidR="00480568" w:rsidRPr="002B37B4" w:rsidRDefault="00DB3E4E" w:rsidP="00480568">
      <w:pPr>
        <w:pStyle w:val="ListParagraph"/>
        <w:numPr>
          <w:ilvl w:val="0"/>
          <w:numId w:val="2"/>
        </w:numPr>
        <w:spacing w:after="120"/>
        <w:rPr>
          <w:rFonts w:ascii="Arial" w:hAnsi="Arial" w:cs="Arial"/>
          <w:sz w:val="20"/>
          <w:szCs w:val="20"/>
          <w:lang w:val="en-US" w:eastAsia="zh-CN"/>
        </w:rPr>
      </w:pPr>
      <w:r>
        <w:rPr>
          <w:rFonts w:asciiTheme="minorEastAsia" w:eastAsiaTheme="minorEastAsia" w:hAnsiTheme="minorEastAsia" w:cs="Arial" w:hint="eastAsia"/>
          <w:sz w:val="20"/>
          <w:szCs w:val="20"/>
          <w:lang w:val="en-CA" w:eastAsia="zh-CN"/>
        </w:rPr>
        <w:t>将尽责作为法律/监管</w:t>
      </w:r>
      <w:r w:rsidR="00E154A3">
        <w:rPr>
          <w:rFonts w:asciiTheme="minorEastAsia" w:eastAsiaTheme="minorEastAsia" w:hAnsiTheme="minorEastAsia" w:cs="Arial" w:hint="eastAsia"/>
          <w:sz w:val="20"/>
          <w:szCs w:val="20"/>
          <w:lang w:val="en-CA" w:eastAsia="zh-CN"/>
        </w:rPr>
        <w:t>合规</w:t>
      </w:r>
      <w:r w:rsidR="004460E8">
        <w:rPr>
          <w:rFonts w:asciiTheme="minorEastAsia" w:eastAsiaTheme="minorEastAsia" w:hAnsiTheme="minorEastAsia" w:cs="Arial" w:hint="eastAsia"/>
          <w:sz w:val="20"/>
          <w:szCs w:val="20"/>
          <w:lang w:val="en-CA" w:eastAsia="zh-CN"/>
        </w:rPr>
        <w:t>的</w:t>
      </w:r>
      <w:r>
        <w:rPr>
          <w:rFonts w:asciiTheme="minorEastAsia" w:eastAsiaTheme="minorEastAsia" w:hAnsiTheme="minorEastAsia" w:cs="Arial" w:hint="eastAsia"/>
          <w:sz w:val="20"/>
          <w:szCs w:val="20"/>
          <w:lang w:val="en-CA" w:eastAsia="zh-CN"/>
        </w:rPr>
        <w:t>要求来对待</w:t>
      </w:r>
      <w:r w:rsidR="00480568" w:rsidRPr="002B37B4">
        <w:rPr>
          <w:rFonts w:ascii="Arial" w:hAnsi="Arial" w:cs="Arial"/>
          <w:sz w:val="20"/>
          <w:szCs w:val="20"/>
          <w:lang w:val="en-US" w:eastAsia="zh-CN"/>
        </w:rPr>
        <w:t xml:space="preserve"> </w:t>
      </w:r>
    </w:p>
    <w:p w14:paraId="34441EBC" w14:textId="244AD6DB" w:rsidR="00480568" w:rsidRPr="002B37B4" w:rsidRDefault="009E7AD0" w:rsidP="00480568">
      <w:pPr>
        <w:pStyle w:val="ListParagraph"/>
        <w:numPr>
          <w:ilvl w:val="0"/>
          <w:numId w:val="2"/>
        </w:numPr>
        <w:spacing w:after="120"/>
        <w:rPr>
          <w:rFonts w:ascii="Arial" w:hAnsi="Arial" w:cs="Arial"/>
          <w:sz w:val="20"/>
          <w:szCs w:val="20"/>
          <w:lang w:val="en-US" w:eastAsia="zh-CN"/>
        </w:rPr>
      </w:pPr>
      <w:r>
        <w:rPr>
          <w:rFonts w:asciiTheme="minorEastAsia" w:eastAsiaTheme="minorEastAsia" w:hAnsiTheme="minorEastAsia" w:cs="Arial" w:hint="eastAsia"/>
          <w:sz w:val="20"/>
          <w:szCs w:val="20"/>
          <w:lang w:val="en-US" w:eastAsia="zh-CN"/>
        </w:rPr>
        <w:t>以</w:t>
      </w:r>
      <w:r w:rsidR="00DB3E4E">
        <w:rPr>
          <w:rFonts w:asciiTheme="minorEastAsia" w:eastAsiaTheme="minorEastAsia" w:hAnsiTheme="minorEastAsia" w:cs="Arial" w:hint="eastAsia"/>
          <w:sz w:val="20"/>
          <w:szCs w:val="20"/>
          <w:lang w:val="en-US" w:eastAsia="zh-CN"/>
        </w:rPr>
        <w:t>法</w:t>
      </w:r>
      <w:r w:rsidR="00E9053F">
        <w:rPr>
          <w:rFonts w:asciiTheme="minorEastAsia" w:eastAsiaTheme="minorEastAsia" w:hAnsiTheme="minorEastAsia" w:cs="Arial" w:hint="eastAsia"/>
          <w:sz w:val="20"/>
          <w:szCs w:val="20"/>
          <w:lang w:val="en-US" w:eastAsia="zh-CN"/>
        </w:rPr>
        <w:t>規</w:t>
      </w:r>
      <w:r>
        <w:rPr>
          <w:rFonts w:asciiTheme="minorEastAsia" w:eastAsiaTheme="minorEastAsia" w:hAnsiTheme="minorEastAsia" w:cs="Arial" w:hint="eastAsia"/>
          <w:sz w:val="20"/>
          <w:szCs w:val="20"/>
          <w:lang w:val="en-US" w:eastAsia="zh-CN"/>
        </w:rPr>
        <w:t>提高对</w:t>
      </w:r>
      <w:r>
        <w:rPr>
          <w:rFonts w:asciiTheme="minorEastAsia" w:eastAsiaTheme="minorEastAsia" w:hAnsiTheme="minorEastAsia" w:cs="Arial" w:hint="eastAsia"/>
          <w:sz w:val="20"/>
          <w:szCs w:val="20"/>
          <w:lang w:val="en-US" w:eastAsia="zh-CN"/>
        </w:rPr>
        <w:t>落实</w:t>
      </w:r>
      <w:r>
        <w:rPr>
          <w:rFonts w:asciiTheme="minorEastAsia" w:eastAsiaTheme="minorEastAsia" w:hAnsiTheme="minorEastAsia" w:cs="Arial" w:hint="eastAsia"/>
          <w:sz w:val="20"/>
          <w:szCs w:val="20"/>
          <w:lang w:val="en-US" w:eastAsia="zh-CN"/>
        </w:rPr>
        <w:t>尽责</w:t>
      </w:r>
      <w:r w:rsidR="00DB3E4E">
        <w:rPr>
          <w:rFonts w:asciiTheme="minorEastAsia" w:eastAsiaTheme="minorEastAsia" w:hAnsiTheme="minorEastAsia" w:cs="Arial" w:hint="eastAsia"/>
          <w:sz w:val="20"/>
          <w:szCs w:val="20"/>
          <w:lang w:val="en-US" w:eastAsia="zh-CN"/>
        </w:rPr>
        <w:t>的</w:t>
      </w:r>
      <w:r>
        <w:rPr>
          <w:rFonts w:asciiTheme="minorEastAsia" w:eastAsiaTheme="minorEastAsia" w:hAnsiTheme="minorEastAsia" w:cs="Arial" w:hint="eastAsia"/>
          <w:sz w:val="20"/>
          <w:szCs w:val="20"/>
          <w:lang w:val="en-US" w:eastAsia="zh-CN"/>
        </w:rPr>
        <w:t>企业提供</w:t>
      </w:r>
      <w:r w:rsidR="00DB3E4E">
        <w:rPr>
          <w:rFonts w:asciiTheme="minorEastAsia" w:eastAsiaTheme="minorEastAsia" w:hAnsiTheme="minorEastAsia" w:cs="Arial" w:hint="eastAsia"/>
          <w:sz w:val="20"/>
          <w:szCs w:val="20"/>
          <w:lang w:val="en-US" w:eastAsia="zh-CN"/>
        </w:rPr>
        <w:t>奖励和福利</w:t>
      </w:r>
    </w:p>
    <w:p w14:paraId="345BD835" w14:textId="17DB6412" w:rsidR="00480568" w:rsidRPr="002B37B4" w:rsidRDefault="00DB3E4E" w:rsidP="00480568">
      <w:pPr>
        <w:pStyle w:val="ListParagraph"/>
        <w:numPr>
          <w:ilvl w:val="0"/>
          <w:numId w:val="2"/>
        </w:numPr>
        <w:spacing w:after="120"/>
        <w:rPr>
          <w:rFonts w:ascii="Arial" w:hAnsi="Arial" w:cs="Arial"/>
          <w:sz w:val="20"/>
          <w:szCs w:val="20"/>
          <w:lang w:val="en-US" w:eastAsia="zh-CN"/>
        </w:rPr>
      </w:pPr>
      <w:r>
        <w:rPr>
          <w:rFonts w:asciiTheme="minorEastAsia" w:eastAsiaTheme="minorEastAsia" w:hAnsiTheme="minorEastAsia" w:cs="Arial" w:hint="eastAsia"/>
          <w:sz w:val="20"/>
          <w:szCs w:val="20"/>
          <w:lang w:val="en-US" w:eastAsia="zh-CN"/>
        </w:rPr>
        <w:t>通过</w:t>
      </w:r>
      <w:r w:rsidR="00E9053F">
        <w:rPr>
          <w:rFonts w:asciiTheme="minorEastAsia" w:eastAsiaTheme="minorEastAsia" w:hAnsiTheme="minorEastAsia" w:cs="Arial" w:hint="eastAsia"/>
          <w:sz w:val="20"/>
          <w:szCs w:val="20"/>
          <w:lang w:val="en-US" w:eastAsia="zh-CN"/>
        </w:rPr>
        <w:t>提高</w:t>
      </w:r>
      <w:r>
        <w:rPr>
          <w:rFonts w:asciiTheme="minorEastAsia" w:eastAsiaTheme="minorEastAsia" w:hAnsiTheme="minorEastAsia" w:cs="Arial" w:hint="eastAsia"/>
          <w:sz w:val="20"/>
          <w:szCs w:val="20"/>
          <w:lang w:val="en-US" w:eastAsia="zh-CN"/>
        </w:rPr>
        <w:t>透明</w:t>
      </w:r>
      <w:r w:rsidR="00E9053F">
        <w:rPr>
          <w:rFonts w:asciiTheme="minorEastAsia" w:eastAsiaTheme="minorEastAsia" w:hAnsiTheme="minorEastAsia" w:cs="Arial" w:hint="eastAsia"/>
          <w:sz w:val="20"/>
          <w:szCs w:val="20"/>
          <w:lang w:val="en-US" w:eastAsia="zh-CN"/>
        </w:rPr>
        <w:t>度</w:t>
      </w:r>
      <w:r>
        <w:rPr>
          <w:rFonts w:asciiTheme="minorEastAsia" w:eastAsiaTheme="minorEastAsia" w:hAnsiTheme="minorEastAsia" w:cs="Arial" w:hint="eastAsia"/>
          <w:sz w:val="20"/>
          <w:szCs w:val="20"/>
          <w:lang w:val="en-US" w:eastAsia="zh-CN"/>
        </w:rPr>
        <w:t>和披露规则来鼓励或要求尽责</w:t>
      </w:r>
      <w:r w:rsidR="00480568" w:rsidRPr="002B37B4">
        <w:rPr>
          <w:rFonts w:ascii="Arial" w:hAnsi="Arial" w:cs="Arial"/>
          <w:sz w:val="20"/>
          <w:szCs w:val="20"/>
          <w:lang w:val="en-US" w:eastAsia="zh-CN"/>
        </w:rPr>
        <w:t xml:space="preserve"> </w:t>
      </w:r>
    </w:p>
    <w:p w14:paraId="42822ECA" w14:textId="77777777" w:rsidR="00480568" w:rsidRPr="002B37B4" w:rsidRDefault="00DB3E4E" w:rsidP="00480568">
      <w:pPr>
        <w:pStyle w:val="ListParagraph"/>
        <w:numPr>
          <w:ilvl w:val="0"/>
          <w:numId w:val="2"/>
        </w:numPr>
        <w:spacing w:after="120"/>
        <w:rPr>
          <w:rFonts w:ascii="Arial" w:hAnsi="Arial" w:cs="Arial"/>
          <w:sz w:val="20"/>
          <w:szCs w:val="20"/>
          <w:lang w:val="en-US" w:eastAsia="zh-CN"/>
        </w:rPr>
      </w:pPr>
      <w:r>
        <w:rPr>
          <w:rFonts w:asciiTheme="minorEastAsia" w:eastAsiaTheme="minorEastAsia" w:hAnsiTheme="minorEastAsia" w:cs="Arial" w:hint="eastAsia"/>
          <w:sz w:val="20"/>
          <w:szCs w:val="20"/>
          <w:lang w:val="en-US" w:eastAsia="zh-CN"/>
        </w:rPr>
        <w:lastRenderedPageBreak/>
        <w:t>采用以上一种或多种</w:t>
      </w:r>
      <w:r w:rsidR="00DA23F0">
        <w:rPr>
          <w:rFonts w:asciiTheme="minorEastAsia" w:eastAsiaTheme="minorEastAsia" w:hAnsiTheme="minorEastAsia" w:cs="Arial" w:hint="eastAsia"/>
          <w:sz w:val="20"/>
          <w:szCs w:val="20"/>
          <w:lang w:val="en-US" w:eastAsia="zh-CN"/>
        </w:rPr>
        <w:t>组合</w:t>
      </w:r>
      <w:r>
        <w:rPr>
          <w:rFonts w:asciiTheme="minorEastAsia" w:eastAsiaTheme="minorEastAsia" w:hAnsiTheme="minorEastAsia" w:cs="Arial" w:hint="eastAsia"/>
          <w:sz w:val="20"/>
          <w:szCs w:val="20"/>
          <w:lang w:val="en-US" w:eastAsia="zh-CN"/>
        </w:rPr>
        <w:t>手段</w:t>
      </w:r>
      <w:r w:rsidR="00480568" w:rsidRPr="002B37B4">
        <w:rPr>
          <w:rFonts w:ascii="Arial" w:hAnsi="Arial" w:cs="Arial"/>
          <w:sz w:val="20"/>
          <w:szCs w:val="20"/>
          <w:lang w:val="en-US" w:eastAsia="zh-CN"/>
        </w:rPr>
        <w:t xml:space="preserve"> </w:t>
      </w:r>
    </w:p>
    <w:p w14:paraId="1749C471" w14:textId="77777777" w:rsidR="00480568" w:rsidRPr="002B37B4" w:rsidRDefault="00E154A3" w:rsidP="00480568">
      <w:pPr>
        <w:spacing w:after="120"/>
        <w:rPr>
          <w:rFonts w:ascii="Arial" w:hAnsi="Arial" w:cs="Arial"/>
          <w:sz w:val="20"/>
          <w:szCs w:val="20"/>
          <w:lang w:val="en-US" w:eastAsia="zh-CN"/>
        </w:rPr>
      </w:pPr>
      <w:r>
        <w:rPr>
          <w:rFonts w:ascii="Arial" w:hAnsi="Arial" w:cs="Arial" w:hint="eastAsia"/>
          <w:sz w:val="20"/>
          <w:szCs w:val="20"/>
          <w:lang w:val="en-US" w:eastAsia="zh-CN"/>
        </w:rPr>
        <w:t>以下分别就这些监管种类简要列举</w:t>
      </w:r>
      <w:r>
        <w:rPr>
          <w:rFonts w:ascii="Arial" w:hAnsi="Arial" w:cs="Arial" w:hint="eastAsia"/>
          <w:sz w:val="20"/>
          <w:szCs w:val="20"/>
          <w:lang w:val="en-US" w:eastAsia="zh-CN"/>
        </w:rPr>
        <w:t>2013</w:t>
      </w:r>
      <w:r>
        <w:rPr>
          <w:rFonts w:ascii="Arial" w:hAnsi="Arial" w:cs="Arial" w:hint="eastAsia"/>
          <w:sz w:val="20"/>
          <w:szCs w:val="20"/>
          <w:lang w:val="en-US" w:eastAsia="zh-CN"/>
        </w:rPr>
        <w:t>年的新措施例子，并将其置于《人权尽责报告》（</w:t>
      </w:r>
      <w:r>
        <w:rPr>
          <w:rFonts w:ascii="Arial" w:hAnsi="Arial" w:cs="Arial" w:hint="eastAsia"/>
          <w:sz w:val="20"/>
          <w:szCs w:val="20"/>
          <w:lang w:val="en-US" w:eastAsia="zh-CN"/>
        </w:rPr>
        <w:t>2012</w:t>
      </w:r>
      <w:r>
        <w:rPr>
          <w:rFonts w:ascii="Arial" w:hAnsi="Arial" w:cs="Arial" w:hint="eastAsia"/>
          <w:sz w:val="20"/>
          <w:szCs w:val="20"/>
          <w:lang w:val="en-US" w:eastAsia="zh-CN"/>
        </w:rPr>
        <w:t>）中例子的背景下。</w:t>
      </w:r>
    </w:p>
    <w:p w14:paraId="0401DA5A" w14:textId="77777777" w:rsidR="00480568" w:rsidRPr="002B37B4" w:rsidRDefault="00480568" w:rsidP="00480568">
      <w:pPr>
        <w:spacing w:after="120"/>
        <w:rPr>
          <w:rFonts w:ascii="Arial" w:hAnsi="Arial" w:cs="Arial"/>
          <w:sz w:val="20"/>
          <w:szCs w:val="20"/>
          <w:lang w:val="en-US" w:eastAsia="zh-CN"/>
        </w:rPr>
      </w:pPr>
    </w:p>
    <w:p w14:paraId="5622641E" w14:textId="00057239" w:rsidR="00480568" w:rsidRPr="002B37B4" w:rsidRDefault="00480568" w:rsidP="00480568">
      <w:pPr>
        <w:pStyle w:val="Heading2"/>
        <w:ind w:left="60"/>
        <w:rPr>
          <w:rFonts w:ascii="Arial" w:hAnsi="Arial" w:cs="Arial"/>
          <w:sz w:val="20"/>
          <w:szCs w:val="20"/>
          <w:lang w:val="en-US" w:eastAsia="zh-CN"/>
        </w:rPr>
      </w:pPr>
      <w:bookmarkStart w:id="3" w:name="_Toc372820012"/>
      <w:bookmarkStart w:id="4" w:name="_Toc372707268"/>
      <w:r w:rsidRPr="002B37B4">
        <w:rPr>
          <w:rFonts w:ascii="Arial" w:hAnsi="Arial" w:cs="Arial"/>
          <w:sz w:val="20"/>
          <w:szCs w:val="20"/>
          <w:lang w:val="en-US" w:eastAsia="zh-CN"/>
        </w:rPr>
        <w:t>1.</w:t>
      </w:r>
      <w:r w:rsidR="009E7AD0">
        <w:rPr>
          <w:rFonts w:ascii="Arial" w:hAnsi="Arial" w:cs="Arial" w:hint="eastAsia"/>
          <w:sz w:val="20"/>
          <w:szCs w:val="20"/>
          <w:lang w:val="en-US" w:eastAsia="zh-CN"/>
        </w:rPr>
        <w:t>视作</w:t>
      </w:r>
      <w:r w:rsidR="00E154A3">
        <w:rPr>
          <w:rFonts w:ascii="Arial" w:hAnsi="Arial" w:cs="Arial" w:hint="eastAsia"/>
          <w:sz w:val="20"/>
          <w:szCs w:val="20"/>
          <w:lang w:val="en-US" w:eastAsia="zh-CN"/>
        </w:rPr>
        <w:t>合规要求的尽责</w:t>
      </w:r>
      <w:r w:rsidRPr="002B37B4">
        <w:rPr>
          <w:rFonts w:ascii="Arial" w:hAnsi="Arial" w:cs="Arial"/>
          <w:sz w:val="20"/>
          <w:szCs w:val="20"/>
          <w:lang w:val="en-US" w:eastAsia="zh-CN"/>
        </w:rPr>
        <w:t xml:space="preserve"> </w:t>
      </w:r>
      <w:bookmarkEnd w:id="3"/>
      <w:bookmarkEnd w:id="4"/>
    </w:p>
    <w:p w14:paraId="0067C04C" w14:textId="5DBCE0C8" w:rsidR="00480568" w:rsidRPr="002B37B4" w:rsidRDefault="00E154A3"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大多数国家</w:t>
      </w:r>
      <w:r w:rsidR="00F26A42">
        <w:rPr>
          <w:rFonts w:asciiTheme="minorEastAsia" w:eastAsiaTheme="minorEastAsia" w:hAnsiTheme="minorEastAsia" w:cs="Arial" w:hint="eastAsia"/>
          <w:sz w:val="20"/>
          <w:szCs w:val="20"/>
          <w:lang w:val="en-US" w:eastAsia="zh-CN"/>
        </w:rPr>
        <w:t>具有法律条款，将尽责作为监管合规</w:t>
      </w:r>
      <w:r w:rsidR="004460E8">
        <w:rPr>
          <w:rFonts w:asciiTheme="minorEastAsia" w:eastAsiaTheme="minorEastAsia" w:hAnsiTheme="minorEastAsia" w:cs="Arial" w:hint="eastAsia"/>
          <w:sz w:val="20"/>
          <w:szCs w:val="20"/>
          <w:lang w:val="en-US" w:eastAsia="zh-CN"/>
        </w:rPr>
        <w:t>的</w:t>
      </w:r>
      <w:r w:rsidR="00F26A42">
        <w:rPr>
          <w:rFonts w:asciiTheme="minorEastAsia" w:eastAsiaTheme="minorEastAsia" w:hAnsiTheme="minorEastAsia" w:cs="Arial" w:hint="eastAsia"/>
          <w:sz w:val="20"/>
          <w:szCs w:val="20"/>
          <w:lang w:val="en-US" w:eastAsia="zh-CN"/>
        </w:rPr>
        <w:t>要求。正如《人权尽责报告》（2012）所述，</w:t>
      </w:r>
      <w:r w:rsidR="004460E8">
        <w:rPr>
          <w:rFonts w:asciiTheme="minorEastAsia" w:eastAsiaTheme="minorEastAsia" w:hAnsiTheme="minorEastAsia" w:cs="Arial" w:hint="eastAsia"/>
          <w:sz w:val="20"/>
          <w:szCs w:val="20"/>
          <w:lang w:val="en-US" w:eastAsia="zh-CN"/>
        </w:rPr>
        <w:t>要求</w:t>
      </w:r>
      <w:r w:rsidR="008702FF" w:rsidRPr="008702FF">
        <w:rPr>
          <w:rFonts w:asciiTheme="minorEastAsia" w:eastAsiaTheme="minorEastAsia" w:hAnsiTheme="minorEastAsia" w:cs="Arial" w:hint="eastAsia"/>
          <w:sz w:val="20"/>
          <w:szCs w:val="20"/>
          <w:lang w:val="en-US" w:eastAsia="zh-CN"/>
        </w:rPr>
        <w:t>执行</w:t>
      </w:r>
      <w:r w:rsidR="004460E8">
        <w:rPr>
          <w:rFonts w:asciiTheme="minorEastAsia" w:eastAsiaTheme="minorEastAsia" w:hAnsiTheme="minorEastAsia" w:cs="Arial" w:hint="eastAsia"/>
          <w:sz w:val="20"/>
          <w:szCs w:val="20"/>
          <w:lang w:val="en-US" w:eastAsia="zh-CN"/>
        </w:rPr>
        <w:t>企业尽责的规则，是通过直接在规则中规定这是法律义务，或者间接向公司提供机会，使其用尽责</w:t>
      </w:r>
      <w:r w:rsidR="00E9053F">
        <w:rPr>
          <w:rFonts w:asciiTheme="minorEastAsia" w:eastAsiaTheme="minorEastAsia" w:hAnsiTheme="minorEastAsia" w:cs="Arial" w:hint="eastAsia"/>
          <w:sz w:val="20"/>
          <w:szCs w:val="20"/>
          <w:lang w:val="en-US" w:eastAsia="zh-CN"/>
        </w:rPr>
        <w:t>作為</w:t>
      </w:r>
      <w:r w:rsidR="004460E8">
        <w:rPr>
          <w:rFonts w:asciiTheme="minorEastAsia" w:eastAsiaTheme="minorEastAsia" w:hAnsiTheme="minorEastAsia" w:cs="Arial" w:hint="eastAsia"/>
          <w:sz w:val="20"/>
          <w:szCs w:val="20"/>
          <w:lang w:val="en-US" w:eastAsia="zh-CN"/>
        </w:rPr>
        <w:t>刑事、民事或行政违规指控</w:t>
      </w:r>
      <w:r w:rsidR="00EB107C">
        <w:rPr>
          <w:rFonts w:asciiTheme="minorEastAsia" w:eastAsiaTheme="minorEastAsia" w:hAnsiTheme="minorEastAsia" w:cs="Arial" w:hint="eastAsia"/>
          <w:sz w:val="20"/>
          <w:szCs w:val="20"/>
          <w:lang w:val="en-US" w:eastAsia="zh-CN"/>
        </w:rPr>
        <w:t>的</w:t>
      </w:r>
      <w:r w:rsidR="009E7AD0">
        <w:rPr>
          <w:rFonts w:asciiTheme="minorEastAsia" w:eastAsiaTheme="minorEastAsia" w:hAnsiTheme="minorEastAsia" w:cs="Arial" w:hint="eastAsia"/>
          <w:sz w:val="20"/>
          <w:szCs w:val="20"/>
          <w:lang w:val="en-US" w:eastAsia="zh-CN"/>
        </w:rPr>
        <w:t>辩护</w:t>
      </w:r>
      <w:r w:rsidR="004460E8">
        <w:rPr>
          <w:rFonts w:asciiTheme="minorEastAsia" w:eastAsiaTheme="minorEastAsia" w:hAnsiTheme="minorEastAsia" w:cs="Arial" w:hint="eastAsia"/>
          <w:sz w:val="20"/>
          <w:szCs w:val="20"/>
          <w:lang w:val="en-US" w:eastAsia="zh-CN"/>
        </w:rPr>
        <w:t>。</w:t>
      </w:r>
      <w:r w:rsidR="00480568" w:rsidRPr="002B37B4">
        <w:rPr>
          <w:rFonts w:ascii="Arial" w:hAnsi="Arial" w:cs="Arial"/>
          <w:sz w:val="20"/>
          <w:szCs w:val="20"/>
          <w:lang w:val="en-US"/>
        </w:rPr>
        <w:t xml:space="preserve">  </w:t>
      </w:r>
    </w:p>
    <w:p w14:paraId="2748DE94" w14:textId="3208302C" w:rsidR="00480568" w:rsidRPr="002B37B4" w:rsidRDefault="004460E8"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例如，印度、德国和加纳的监管机构</w:t>
      </w:r>
      <w:r w:rsidR="00E331E8">
        <w:rPr>
          <w:rFonts w:asciiTheme="minorEastAsia" w:eastAsiaTheme="minorEastAsia" w:hAnsiTheme="minorEastAsia" w:cs="Arial" w:hint="eastAsia"/>
          <w:sz w:val="20"/>
          <w:szCs w:val="20"/>
          <w:lang w:val="en-US" w:eastAsia="zh-CN"/>
        </w:rPr>
        <w:t>定期要求企业进行尽责</w:t>
      </w:r>
      <w:r w:rsidR="00EB107C">
        <w:rPr>
          <w:rFonts w:asciiTheme="minorEastAsia" w:eastAsiaTheme="minorEastAsia" w:hAnsiTheme="minorEastAsia" w:cs="Arial" w:hint="eastAsia"/>
          <w:sz w:val="20"/>
          <w:szCs w:val="20"/>
          <w:lang w:val="en-US" w:eastAsia="zh-CN"/>
        </w:rPr>
        <w:t>調查</w:t>
      </w:r>
      <w:r w:rsidR="00E331E8">
        <w:rPr>
          <w:rFonts w:asciiTheme="minorEastAsia" w:eastAsiaTheme="minorEastAsia" w:hAnsiTheme="minorEastAsia" w:cs="Arial" w:hint="eastAsia"/>
          <w:sz w:val="20"/>
          <w:szCs w:val="20"/>
          <w:lang w:val="en-US" w:eastAsia="zh-CN"/>
        </w:rPr>
        <w:t>，并以此为依据，来决定是否对那些可能影响环境或建筑工人安全的企业活动颁发许可或执照。美国法院允许企业用尽责行为，来针对环境过失及贿赂和腐败的指控进行辩护。与此类似，从</w:t>
      </w:r>
      <w:r w:rsidR="00E331E8" w:rsidRPr="00E331E8">
        <w:rPr>
          <w:rFonts w:asciiTheme="minorEastAsia" w:eastAsiaTheme="minorEastAsia" w:hAnsiTheme="minorEastAsia" w:cs="Arial" w:hint="eastAsia"/>
          <w:sz w:val="20"/>
          <w:szCs w:val="20"/>
          <w:lang w:val="en-US" w:eastAsia="zh-CN"/>
        </w:rPr>
        <w:t>经合组织</w:t>
      </w:r>
      <w:r w:rsidR="00E331E8">
        <w:rPr>
          <w:rFonts w:asciiTheme="minorEastAsia" w:eastAsiaTheme="minorEastAsia" w:hAnsiTheme="minorEastAsia" w:cs="Arial" w:hint="eastAsia"/>
          <w:sz w:val="20"/>
          <w:szCs w:val="20"/>
          <w:lang w:val="en-US" w:eastAsia="zh-CN"/>
        </w:rPr>
        <w:t>到中国的大多数国家的反洗</w:t>
      </w:r>
      <w:r w:rsidR="008702FF" w:rsidRPr="005B6D61">
        <w:rPr>
          <w:rFonts w:ascii="PMingLiU" w:eastAsia="SimSun" w:hAnsi="PMingLiU" w:cs="Arial" w:hint="eastAsia"/>
          <w:sz w:val="20"/>
          <w:szCs w:val="20"/>
          <w:lang w:val="en-US" w:eastAsia="zh-CN"/>
        </w:rPr>
        <w:t>黑</w:t>
      </w:r>
      <w:r w:rsidR="00E331E8">
        <w:rPr>
          <w:rFonts w:asciiTheme="minorEastAsia" w:eastAsiaTheme="minorEastAsia" w:hAnsiTheme="minorEastAsia" w:cs="Arial" w:hint="eastAsia"/>
          <w:sz w:val="20"/>
          <w:szCs w:val="20"/>
          <w:lang w:val="en-US" w:eastAsia="zh-CN"/>
        </w:rPr>
        <w:t>钱法律，都要求金融机构对客户进行尽</w:t>
      </w:r>
      <w:r w:rsidR="009E7AD0">
        <w:rPr>
          <w:rFonts w:asciiTheme="minorEastAsia" w:eastAsiaTheme="minorEastAsia" w:hAnsiTheme="minorEastAsia" w:cs="Arial" w:hint="eastAsia"/>
          <w:sz w:val="20"/>
          <w:szCs w:val="20"/>
          <w:lang w:val="en-US" w:eastAsia="zh-CN"/>
        </w:rPr>
        <w:t>责</w:t>
      </w:r>
      <w:r w:rsidR="00E331E8">
        <w:rPr>
          <w:rFonts w:asciiTheme="minorEastAsia" w:eastAsiaTheme="minorEastAsia" w:hAnsiTheme="minorEastAsia" w:cs="Arial" w:hint="eastAsia"/>
          <w:sz w:val="20"/>
          <w:szCs w:val="20"/>
          <w:lang w:val="en-US" w:eastAsia="zh-CN"/>
        </w:rPr>
        <w:t>调查</w:t>
      </w:r>
      <w:r w:rsidR="00E331E8" w:rsidRPr="002B37B4">
        <w:rPr>
          <w:rFonts w:ascii="Arial" w:hAnsi="Arial" w:cs="Arial"/>
          <w:sz w:val="20"/>
          <w:szCs w:val="20"/>
          <w:lang w:val="en-US"/>
        </w:rPr>
        <w:t>(CDD)</w:t>
      </w:r>
      <w:r w:rsidR="00E331E8">
        <w:rPr>
          <w:rFonts w:asciiTheme="minorEastAsia" w:eastAsiaTheme="minorEastAsia" w:hAnsiTheme="minorEastAsia" w:cs="Arial" w:hint="eastAsia"/>
          <w:sz w:val="20"/>
          <w:szCs w:val="20"/>
          <w:lang w:val="en-US" w:eastAsia="zh-CN"/>
        </w:rPr>
        <w:t>，这也被称为“</w:t>
      </w:r>
      <w:r w:rsidR="009E7AD0" w:rsidRPr="009E7AD0">
        <w:rPr>
          <w:rFonts w:asciiTheme="minorEastAsia" w:eastAsiaTheme="minorEastAsia" w:hAnsiTheme="minorEastAsia" w:cs="Arial" w:hint="eastAsia"/>
          <w:sz w:val="20"/>
          <w:szCs w:val="20"/>
          <w:lang w:val="en-US" w:eastAsia="zh-CN"/>
        </w:rPr>
        <w:t>了解你的客户</w:t>
      </w:r>
      <w:r w:rsidR="00E331E8">
        <w:rPr>
          <w:rFonts w:asciiTheme="minorEastAsia" w:eastAsiaTheme="minorEastAsia" w:hAnsiTheme="minorEastAsia" w:cs="Arial" w:hint="eastAsia"/>
          <w:sz w:val="20"/>
          <w:szCs w:val="20"/>
          <w:lang w:val="en-US" w:eastAsia="zh-CN"/>
        </w:rPr>
        <w:t>”</w:t>
      </w:r>
      <w:r w:rsidR="00E331E8" w:rsidRPr="002B37B4">
        <w:rPr>
          <w:rFonts w:ascii="Arial" w:hAnsi="Arial" w:cs="Arial"/>
          <w:sz w:val="20"/>
          <w:szCs w:val="20"/>
          <w:lang w:val="en-US"/>
        </w:rPr>
        <w:t>(</w:t>
      </w:r>
      <w:r w:rsidR="00EB107C">
        <w:rPr>
          <w:rFonts w:ascii="Arial" w:hAnsi="Arial" w:cs="Arial" w:hint="eastAsia"/>
          <w:sz w:val="20"/>
          <w:szCs w:val="20"/>
          <w:lang w:val="en-US" w:eastAsia="zh-CN"/>
        </w:rPr>
        <w:t>"Know</w:t>
      </w:r>
      <w:r w:rsidR="00EB107C">
        <w:rPr>
          <w:rFonts w:ascii="Arial" w:hAnsi="Arial" w:cs="Arial"/>
          <w:sz w:val="20"/>
          <w:szCs w:val="20"/>
          <w:lang w:val="en-US" w:eastAsia="zh-CN"/>
        </w:rPr>
        <w:t>-Your-</w:t>
      </w:r>
      <w:proofErr w:type="spellStart"/>
      <w:r w:rsidR="00EB107C">
        <w:rPr>
          <w:rFonts w:ascii="Arial" w:hAnsi="Arial" w:cs="Arial"/>
          <w:sz w:val="20"/>
          <w:szCs w:val="20"/>
          <w:lang w:val="en-US" w:eastAsia="zh-CN"/>
        </w:rPr>
        <w:t>Customer</w:t>
      </w:r>
      <w:r w:rsidR="00EB107C">
        <w:rPr>
          <w:rFonts w:ascii="Arial" w:hAnsi="Arial" w:cs="Arial" w:hint="eastAsia"/>
          <w:sz w:val="20"/>
          <w:szCs w:val="20"/>
          <w:lang w:val="en-US" w:eastAsia="zh-CN"/>
        </w:rPr>
        <w:t>"</w:t>
      </w:r>
      <w:r w:rsidR="00E331E8" w:rsidRPr="002B37B4">
        <w:rPr>
          <w:rFonts w:ascii="Arial" w:hAnsi="Arial" w:cs="Arial"/>
          <w:sz w:val="20"/>
          <w:szCs w:val="20"/>
          <w:lang w:val="en-US"/>
        </w:rPr>
        <w:t>KYC</w:t>
      </w:r>
      <w:proofErr w:type="spellEnd"/>
      <w:r w:rsidR="00E331E8" w:rsidRPr="002B37B4">
        <w:rPr>
          <w:rFonts w:ascii="Arial" w:hAnsi="Arial" w:cs="Arial"/>
          <w:sz w:val="20"/>
          <w:szCs w:val="20"/>
          <w:lang w:val="en-US"/>
        </w:rPr>
        <w:t>)</w:t>
      </w:r>
      <w:r w:rsidR="00E331E8">
        <w:rPr>
          <w:rFonts w:asciiTheme="minorEastAsia" w:eastAsiaTheme="minorEastAsia" w:hAnsiTheme="minorEastAsia" w:cs="Arial" w:hint="eastAsia"/>
          <w:sz w:val="20"/>
          <w:szCs w:val="20"/>
          <w:lang w:val="en-US" w:eastAsia="zh-CN"/>
        </w:rPr>
        <w:t>措施。中国要求企业就海外中国工人的劳动场所安全情况进行尽职调查。</w:t>
      </w:r>
      <w:r w:rsidR="00E331E8" w:rsidRPr="002B37B4">
        <w:rPr>
          <w:rFonts w:ascii="Arial" w:hAnsi="Arial" w:cs="Arial"/>
          <w:sz w:val="20"/>
          <w:szCs w:val="20"/>
          <w:lang w:val="en-US"/>
        </w:rPr>
        <w:t xml:space="preserve">  </w:t>
      </w:r>
      <w:r w:rsidR="00480568" w:rsidRPr="002B37B4">
        <w:rPr>
          <w:rFonts w:ascii="Arial" w:hAnsi="Arial" w:cs="Arial"/>
          <w:sz w:val="20"/>
          <w:szCs w:val="20"/>
          <w:lang w:val="en-US"/>
        </w:rPr>
        <w:t xml:space="preserve">  </w:t>
      </w:r>
    </w:p>
    <w:p w14:paraId="318FABBC" w14:textId="7B6487E2" w:rsidR="00480568" w:rsidRPr="001343DE" w:rsidRDefault="00E331E8" w:rsidP="00480568">
      <w:pPr>
        <w:spacing w:after="120"/>
        <w:rPr>
          <w:rFonts w:ascii="Arial" w:hAnsi="Arial" w:cs="Arial"/>
          <w:sz w:val="20"/>
          <w:szCs w:val="20"/>
          <w:lang w:val="en-US" w:eastAsia="zh-CN"/>
        </w:rPr>
      </w:pPr>
      <w:r>
        <w:rPr>
          <w:rFonts w:ascii="Arial" w:hAnsi="Arial" w:cs="Arial" w:hint="eastAsia"/>
          <w:sz w:val="20"/>
          <w:szCs w:val="20"/>
          <w:lang w:val="en-US" w:eastAsia="zh-CN"/>
        </w:rPr>
        <w:t>2013</w:t>
      </w:r>
      <w:r>
        <w:rPr>
          <w:rFonts w:ascii="Arial" w:hAnsi="Arial" w:cs="Arial" w:hint="eastAsia"/>
          <w:sz w:val="20"/>
          <w:szCs w:val="20"/>
          <w:lang w:val="en-US" w:eastAsia="zh-CN"/>
        </w:rPr>
        <w:t>年</w:t>
      </w:r>
      <w:r>
        <w:rPr>
          <w:rFonts w:ascii="Arial" w:hAnsi="Arial" w:cs="Arial" w:hint="eastAsia"/>
          <w:sz w:val="20"/>
          <w:szCs w:val="20"/>
          <w:lang w:val="en-US" w:eastAsia="zh-CN"/>
        </w:rPr>
        <w:t>11</w:t>
      </w:r>
      <w:r>
        <w:rPr>
          <w:rFonts w:ascii="Arial" w:hAnsi="Arial" w:cs="Arial" w:hint="eastAsia"/>
          <w:sz w:val="20"/>
          <w:szCs w:val="20"/>
          <w:lang w:val="en-US" w:eastAsia="zh-CN"/>
        </w:rPr>
        <w:t>月，法国</w:t>
      </w:r>
      <w:r w:rsidR="008130CC">
        <w:rPr>
          <w:rFonts w:ascii="Arial" w:hAnsi="Arial" w:cs="Arial" w:hint="eastAsia"/>
          <w:sz w:val="20"/>
          <w:szCs w:val="20"/>
          <w:lang w:val="en-US" w:eastAsia="zh-CN"/>
        </w:rPr>
        <w:t>一些</w:t>
      </w:r>
      <w:r w:rsidR="009E7AD0">
        <w:rPr>
          <w:rFonts w:ascii="Arial" w:hAnsi="Arial" w:cs="Arial" w:hint="eastAsia"/>
          <w:sz w:val="20"/>
          <w:szCs w:val="20"/>
          <w:lang w:val="en-US" w:eastAsia="zh-CN"/>
        </w:rPr>
        <w:t>国会</w:t>
      </w:r>
      <w:r>
        <w:rPr>
          <w:rFonts w:ascii="Arial" w:hAnsi="Arial" w:cs="Arial" w:hint="eastAsia"/>
          <w:sz w:val="20"/>
          <w:szCs w:val="20"/>
          <w:lang w:val="en-US" w:eastAsia="zh-CN"/>
        </w:rPr>
        <w:t>议员</w:t>
      </w:r>
      <w:r w:rsidR="001343DE">
        <w:rPr>
          <w:rFonts w:ascii="Arial" w:hAnsi="Arial" w:cs="Arial" w:hint="eastAsia"/>
          <w:sz w:val="20"/>
          <w:szCs w:val="20"/>
          <w:lang w:val="en-US" w:eastAsia="zh-CN"/>
        </w:rPr>
        <w:t>向国民议会提出法案，要求法国公司显示他们设立了尽责体系，来避免在其</w:t>
      </w:r>
      <w:r w:rsidR="00296DDE">
        <w:rPr>
          <w:rFonts w:ascii="Arial" w:hAnsi="Arial" w:cs="Arial" w:hint="eastAsia"/>
          <w:sz w:val="20"/>
          <w:szCs w:val="20"/>
          <w:lang w:val="en-US" w:eastAsia="zh-CN"/>
        </w:rPr>
        <w:t>经济活动框架中导致或助长伤害情况。提议中的法案提到了联合国与经合</w:t>
      </w:r>
      <w:r w:rsidR="001343DE">
        <w:rPr>
          <w:rFonts w:ascii="Arial" w:hAnsi="Arial" w:cs="Arial" w:hint="eastAsia"/>
          <w:sz w:val="20"/>
          <w:szCs w:val="20"/>
          <w:lang w:val="en-US" w:eastAsia="zh-CN"/>
        </w:rPr>
        <w:t>组织这方面的指导原则，而且实质上根据这两项国际文书确定的要求，来使法国的刑法和民法规定尊重人权的法律义务</w:t>
      </w:r>
      <w:r w:rsidR="00B15EB7">
        <w:rPr>
          <w:rFonts w:ascii="Arial" w:hAnsi="Arial" w:cs="Arial" w:hint="eastAsia"/>
          <w:sz w:val="20"/>
          <w:szCs w:val="20"/>
          <w:lang w:val="en-US" w:eastAsia="zh-CN"/>
        </w:rPr>
        <w:t>。由此，法律</w:t>
      </w:r>
      <w:r w:rsidR="009E7AD0">
        <w:rPr>
          <w:rFonts w:ascii="Arial" w:hAnsi="Arial" w:cs="Arial" w:hint="eastAsia"/>
          <w:sz w:val="20"/>
          <w:szCs w:val="20"/>
          <w:lang w:val="en-US" w:eastAsia="zh-CN"/>
        </w:rPr>
        <w:t>为企业提供尽责调查的辩护</w:t>
      </w:r>
      <w:r w:rsidR="001343DE">
        <w:rPr>
          <w:rFonts w:ascii="Arial" w:hAnsi="Arial" w:cs="Arial" w:hint="eastAsia"/>
          <w:sz w:val="20"/>
          <w:szCs w:val="20"/>
          <w:lang w:val="en-US" w:eastAsia="zh-CN"/>
        </w:rPr>
        <w:t>：</w:t>
      </w:r>
      <w:r w:rsidR="00480568" w:rsidRPr="002B37B4">
        <w:rPr>
          <w:rFonts w:ascii="Arial" w:hAnsi="Arial" w:cs="Arial"/>
          <w:sz w:val="20"/>
          <w:szCs w:val="20"/>
          <w:lang w:eastAsia="zh-CN"/>
        </w:rPr>
        <w:t xml:space="preserve"> </w:t>
      </w:r>
    </w:p>
    <w:p w14:paraId="6FBC1699" w14:textId="77777777" w:rsidR="00480568" w:rsidRPr="002B37B4" w:rsidRDefault="001343DE" w:rsidP="00480568">
      <w:pPr>
        <w:spacing w:after="120"/>
        <w:ind w:left="720" w:right="766"/>
        <w:jc w:val="both"/>
        <w:rPr>
          <w:rFonts w:ascii="Arial" w:hAnsi="Arial" w:cs="Arial"/>
          <w:sz w:val="20"/>
          <w:szCs w:val="20"/>
          <w:lang w:eastAsia="zh-CN"/>
        </w:rPr>
      </w:pPr>
      <w:r>
        <w:rPr>
          <w:rStyle w:val="hps"/>
          <w:rFonts w:ascii="Arial" w:hAnsi="Arial" w:cs="Arial" w:hint="eastAsia"/>
          <w:sz w:val="20"/>
          <w:szCs w:val="20"/>
          <w:lang w:val="en-US" w:eastAsia="zh-CN"/>
        </w:rPr>
        <w:t>法案提议</w:t>
      </w:r>
      <w:r w:rsidR="00A2215A">
        <w:rPr>
          <w:rStyle w:val="hps"/>
          <w:rFonts w:ascii="Arial" w:hAnsi="Arial" w:cs="Arial" w:hint="eastAsia"/>
          <w:sz w:val="20"/>
          <w:szCs w:val="20"/>
          <w:lang w:val="en-US" w:eastAsia="zh-CN"/>
        </w:rPr>
        <w:t>，</w:t>
      </w:r>
      <w:r>
        <w:rPr>
          <w:rStyle w:val="hps"/>
          <w:rFonts w:ascii="Arial" w:hAnsi="Arial" w:cs="Arial" w:hint="eastAsia"/>
          <w:sz w:val="20"/>
          <w:szCs w:val="20"/>
          <w:lang w:val="en-US" w:eastAsia="zh-CN"/>
        </w:rPr>
        <w:t>就</w:t>
      </w:r>
      <w:r w:rsidR="00A2215A">
        <w:rPr>
          <w:rStyle w:val="hps"/>
          <w:rFonts w:ascii="Arial" w:hAnsi="Arial" w:cs="Arial" w:hint="eastAsia"/>
          <w:sz w:val="20"/>
          <w:szCs w:val="20"/>
          <w:lang w:val="en-US" w:eastAsia="zh-CN"/>
        </w:rPr>
        <w:t>一个侵犯基本权利的企业的经济或商业活动中发生的损害，</w:t>
      </w:r>
      <w:r>
        <w:rPr>
          <w:rStyle w:val="hps"/>
          <w:rFonts w:ascii="Arial" w:hAnsi="Arial" w:cs="Arial" w:hint="eastAsia"/>
          <w:sz w:val="20"/>
          <w:szCs w:val="20"/>
          <w:lang w:val="en-US" w:eastAsia="zh-CN"/>
        </w:rPr>
        <w:t>设立</w:t>
      </w:r>
      <w:r w:rsidR="00A2215A">
        <w:rPr>
          <w:rStyle w:val="hps"/>
          <w:rFonts w:ascii="Arial" w:hAnsi="Arial" w:cs="Arial" w:hint="eastAsia"/>
          <w:sz w:val="20"/>
          <w:szCs w:val="20"/>
          <w:lang w:val="en-US" w:eastAsia="zh-CN"/>
        </w:rPr>
        <w:t>一个责任机制，从而</w:t>
      </w:r>
      <w:r>
        <w:rPr>
          <w:rStyle w:val="hps"/>
          <w:rFonts w:ascii="Arial" w:hAnsi="Arial" w:cs="Arial" w:hint="eastAsia"/>
          <w:sz w:val="20"/>
          <w:szCs w:val="20"/>
          <w:lang w:val="en-US" w:eastAsia="zh-CN"/>
        </w:rPr>
        <w:t>修改《民法》和《刑法》</w:t>
      </w:r>
      <w:r w:rsidR="00A2215A">
        <w:rPr>
          <w:rStyle w:val="hps"/>
          <w:rFonts w:ascii="Arial" w:hAnsi="Arial" w:cs="Arial" w:hint="eastAsia"/>
          <w:sz w:val="20"/>
          <w:szCs w:val="20"/>
          <w:lang w:val="en-US" w:eastAsia="zh-CN"/>
        </w:rPr>
        <w:t>。</w:t>
      </w:r>
    </w:p>
    <w:p w14:paraId="1DBBDA7A" w14:textId="77777777" w:rsidR="00480568" w:rsidRPr="002B37B4" w:rsidRDefault="00A2215A" w:rsidP="00480568">
      <w:pPr>
        <w:spacing w:after="120"/>
        <w:ind w:left="720" w:right="766"/>
        <w:jc w:val="both"/>
        <w:rPr>
          <w:rFonts w:ascii="Arial" w:hAnsi="Arial" w:cs="Arial"/>
          <w:sz w:val="20"/>
          <w:szCs w:val="20"/>
          <w:lang w:eastAsia="zh-CN"/>
        </w:rPr>
      </w:pPr>
      <w:r>
        <w:rPr>
          <w:rStyle w:val="hps"/>
          <w:rFonts w:ascii="Arial" w:hAnsi="Arial" w:cs="Arial" w:hint="eastAsia"/>
          <w:sz w:val="20"/>
          <w:szCs w:val="20"/>
          <w:lang w:eastAsia="zh-CN"/>
        </w:rPr>
        <w:t>如果公司证明其不知道任何可能对基本权利造成潜在影响的活动，或证明其尽到一切努力来避免该活动，就不能对责任的推定作出结论，公司则可被免除责任。</w:t>
      </w:r>
    </w:p>
    <w:p w14:paraId="4AB94D91" w14:textId="5AAFF41D" w:rsidR="00480568" w:rsidRPr="002B37B4" w:rsidRDefault="00103704" w:rsidP="00480568">
      <w:pPr>
        <w:spacing w:after="120"/>
        <w:rPr>
          <w:rFonts w:ascii="Arial" w:hAnsi="Arial" w:cs="Arial"/>
          <w:sz w:val="20"/>
          <w:szCs w:val="20"/>
          <w:lang w:eastAsia="zh-CN"/>
        </w:rPr>
      </w:pPr>
      <w:r>
        <w:rPr>
          <w:rFonts w:ascii="Arial" w:hAnsi="Arial" w:cs="Arial" w:hint="eastAsia"/>
          <w:sz w:val="20"/>
          <w:szCs w:val="20"/>
          <w:lang w:eastAsia="zh-CN"/>
        </w:rPr>
        <w:t>该法案还会修改法国的《商业法》，</w:t>
      </w:r>
      <w:r>
        <w:rPr>
          <w:rFonts w:ascii="Arial" w:hAnsi="Arial" w:cs="Arial" w:hint="eastAsia"/>
          <w:sz w:val="20"/>
          <w:szCs w:val="20"/>
          <w:lang w:eastAsia="zh-CN"/>
        </w:rPr>
        <w:t>加入条款来鼓励公司监督其所有可能影响基本权利的活动。法案明确允许公司根据其可掌握的手段</w:t>
      </w:r>
      <w:r w:rsidR="005E44C1">
        <w:rPr>
          <w:rFonts w:ascii="Arial" w:hAnsi="Arial" w:cs="Arial" w:hint="eastAsia"/>
          <w:sz w:val="20"/>
          <w:szCs w:val="20"/>
          <w:lang w:eastAsia="zh-CN"/>
        </w:rPr>
        <w:t>来进行此类监督，实际上允许中小</w:t>
      </w:r>
      <w:r w:rsidR="00B15EB7">
        <w:rPr>
          <w:rFonts w:ascii="Arial" w:hAnsi="Arial" w:cs="Arial" w:hint="eastAsia"/>
          <w:sz w:val="20"/>
          <w:szCs w:val="20"/>
          <w:lang w:eastAsia="zh-CN"/>
        </w:rPr>
        <w:t>型</w:t>
      </w:r>
      <w:r w:rsidR="00EC3C1A">
        <w:rPr>
          <w:rFonts w:ascii="Arial" w:hAnsi="Arial" w:cs="Arial" w:hint="eastAsia"/>
          <w:sz w:val="20"/>
          <w:szCs w:val="20"/>
          <w:lang w:eastAsia="zh-CN"/>
        </w:rPr>
        <w:t>企</w:t>
      </w:r>
      <w:r w:rsidR="005E44C1">
        <w:rPr>
          <w:rFonts w:ascii="Arial" w:hAnsi="Arial" w:cs="Arial" w:hint="eastAsia"/>
          <w:sz w:val="20"/>
          <w:szCs w:val="20"/>
          <w:lang w:eastAsia="zh-CN"/>
        </w:rPr>
        <w:t>执行那些根据潜在人权影响而受到调整的措施</w:t>
      </w:r>
      <w:r w:rsidR="005E44C1">
        <w:rPr>
          <w:rFonts w:ascii="Arial" w:hAnsi="Arial" w:cs="Arial" w:hint="eastAsia"/>
          <w:sz w:val="20"/>
          <w:szCs w:val="20"/>
          <w:lang w:eastAsia="zh-CN"/>
        </w:rPr>
        <w:t>。</w:t>
      </w:r>
    </w:p>
    <w:p w14:paraId="41E185F2" w14:textId="77777777" w:rsidR="00480568" w:rsidRPr="002B37B4" w:rsidRDefault="001C7BD4" w:rsidP="00480568">
      <w:pPr>
        <w:pStyle w:val="Heading3"/>
        <w:numPr>
          <w:ilvl w:val="0"/>
          <w:numId w:val="3"/>
        </w:numPr>
        <w:rPr>
          <w:rFonts w:ascii="Arial" w:hAnsi="Arial" w:cs="Arial"/>
          <w:sz w:val="20"/>
          <w:szCs w:val="20"/>
          <w:lang w:val="en-US"/>
        </w:rPr>
      </w:pPr>
      <w:bookmarkStart w:id="5" w:name="_Toc372820013"/>
      <w:r>
        <w:rPr>
          <w:rFonts w:ascii="Arial" w:hAnsi="Arial" w:cs="Arial" w:hint="eastAsia"/>
          <w:sz w:val="20"/>
          <w:szCs w:val="20"/>
          <w:lang w:val="en-US" w:eastAsia="zh-CN"/>
        </w:rPr>
        <w:t>刑事责任</w:t>
      </w:r>
      <w:bookmarkEnd w:id="5"/>
    </w:p>
    <w:p w14:paraId="03DC7FB1" w14:textId="77777777" w:rsidR="00480568" w:rsidRPr="002B37B4" w:rsidRDefault="00480568" w:rsidP="00480568">
      <w:pPr>
        <w:spacing w:after="0"/>
        <w:ind w:left="360"/>
        <w:rPr>
          <w:rFonts w:ascii="Arial" w:eastAsia="Times New Roman" w:hAnsi="Arial" w:cs="Arial"/>
          <w:sz w:val="20"/>
          <w:szCs w:val="20"/>
          <w:lang w:eastAsia="nb-NO"/>
        </w:rPr>
      </w:pPr>
    </w:p>
    <w:p w14:paraId="3D1B568F" w14:textId="77777777" w:rsidR="00480568" w:rsidRPr="00A96249" w:rsidRDefault="00264492" w:rsidP="00480568">
      <w:pPr>
        <w:spacing w:after="0"/>
        <w:rPr>
          <w:rFonts w:ascii="Arial" w:hAnsi="Arial" w:cs="Arial"/>
          <w:sz w:val="20"/>
          <w:szCs w:val="20"/>
          <w:lang w:val="en-US" w:eastAsia="zh-CN"/>
        </w:rPr>
      </w:pPr>
      <w:r w:rsidRPr="00A96249">
        <w:rPr>
          <w:rFonts w:ascii="Arial" w:hAnsi="Arial" w:cs="Arial" w:hint="eastAsia"/>
          <w:sz w:val="20"/>
          <w:szCs w:val="20"/>
          <w:lang w:val="en-US" w:eastAsia="zh-CN"/>
        </w:rPr>
        <w:t>许多司法管辖区都规定可以使公司承担刑事责任，包括</w:t>
      </w:r>
      <w:r w:rsidR="00DE25B4" w:rsidRPr="00A96249">
        <w:rPr>
          <w:rFonts w:ascii="Arial" w:hAnsi="Arial" w:cs="Arial" w:hint="eastAsia"/>
          <w:sz w:val="20"/>
          <w:szCs w:val="20"/>
          <w:lang w:val="en-US" w:eastAsia="zh-CN"/>
        </w:rPr>
        <w:t>构成严重侵犯人权罪行的刑事责任。正如</w:t>
      </w:r>
      <w:r w:rsidR="00DE25B4" w:rsidRPr="00A96249">
        <w:rPr>
          <w:rFonts w:ascii="Arial" w:hAnsi="Arial" w:cs="Arial"/>
          <w:sz w:val="20"/>
          <w:szCs w:val="20"/>
          <w:lang w:val="en-US" w:eastAsia="zh-CN"/>
        </w:rPr>
        <w:t>《人权尽责报告》（</w:t>
      </w:r>
      <w:r w:rsidR="00DE25B4" w:rsidRPr="00A96249">
        <w:rPr>
          <w:rFonts w:ascii="Arial" w:hAnsi="Arial" w:cs="Arial"/>
          <w:sz w:val="20"/>
          <w:szCs w:val="20"/>
          <w:lang w:val="en-US" w:eastAsia="zh-CN"/>
        </w:rPr>
        <w:t>2012</w:t>
      </w:r>
      <w:r w:rsidR="00DE25B4" w:rsidRPr="00A96249">
        <w:rPr>
          <w:rFonts w:ascii="Arial" w:hAnsi="Arial" w:cs="Arial"/>
          <w:sz w:val="20"/>
          <w:szCs w:val="20"/>
          <w:lang w:val="en-US" w:eastAsia="zh-CN"/>
        </w:rPr>
        <w:t>）</w:t>
      </w:r>
      <w:r w:rsidR="00DE25B4" w:rsidRPr="00A96249">
        <w:rPr>
          <w:rFonts w:ascii="Arial" w:hAnsi="Arial" w:cs="Arial" w:hint="eastAsia"/>
          <w:sz w:val="20"/>
          <w:szCs w:val="20"/>
          <w:lang w:val="en-US" w:eastAsia="zh-CN"/>
        </w:rPr>
        <w:t>所述，如果一个企业实体没有采取尽责行动来防止某些犯罪，国家就可能使该企业承担刑事责任。在一些情况中，一家公司可能通过显示其设有有效的尽责程序，而避免</w:t>
      </w:r>
      <w:r w:rsidR="005F1DA0" w:rsidRPr="00A96249">
        <w:rPr>
          <w:rFonts w:ascii="Arial" w:hAnsi="Arial" w:cs="Arial" w:hint="eastAsia"/>
          <w:sz w:val="20"/>
          <w:szCs w:val="20"/>
          <w:lang w:val="en-US" w:eastAsia="zh-CN"/>
        </w:rPr>
        <w:t>因</w:t>
      </w:r>
      <w:r w:rsidR="00DE25B4" w:rsidRPr="00A96249">
        <w:rPr>
          <w:rFonts w:ascii="Arial" w:hAnsi="Arial" w:cs="Arial" w:hint="eastAsia"/>
          <w:sz w:val="20"/>
          <w:szCs w:val="20"/>
          <w:lang w:val="en-US" w:eastAsia="zh-CN"/>
        </w:rPr>
        <w:t>其代理人（雇员、承包商）</w:t>
      </w:r>
      <w:r w:rsidR="005F1DA0" w:rsidRPr="00A96249">
        <w:rPr>
          <w:rFonts w:ascii="Arial" w:hAnsi="Arial" w:cs="Arial" w:hint="eastAsia"/>
          <w:sz w:val="20"/>
          <w:szCs w:val="20"/>
          <w:lang w:val="en-US" w:eastAsia="zh-CN"/>
        </w:rPr>
        <w:t>犯罪而受到指控。即使在那些刑法中没有规定法人可承担刑事责任的司法管辖区，企业</w:t>
      </w:r>
      <w:r w:rsidR="009F2A68" w:rsidRPr="00A96249">
        <w:rPr>
          <w:rFonts w:ascii="PMingLiU" w:hAnsi="PMingLiU" w:cs="Arial" w:hint="eastAsia"/>
          <w:sz w:val="20"/>
          <w:szCs w:val="20"/>
          <w:lang w:val="en-US" w:eastAsia="zh-CN"/>
        </w:rPr>
        <w:t>中的个别</w:t>
      </w:r>
      <w:r w:rsidR="005F1DA0" w:rsidRPr="00A96249">
        <w:rPr>
          <w:rFonts w:ascii="Arial" w:hAnsi="Arial" w:cs="Arial" w:hint="eastAsia"/>
          <w:sz w:val="20"/>
          <w:szCs w:val="20"/>
          <w:lang w:val="en-US" w:eastAsia="zh-CN"/>
        </w:rPr>
        <w:t>人士也可能成为类似刑事诉讼的被告。</w:t>
      </w:r>
      <w:r w:rsidR="00480568" w:rsidRPr="00A96249">
        <w:rPr>
          <w:rFonts w:ascii="Arial" w:hAnsi="Arial" w:cs="Arial"/>
          <w:sz w:val="20"/>
          <w:szCs w:val="20"/>
          <w:lang w:val="en-US" w:eastAsia="zh-CN"/>
        </w:rPr>
        <w:t xml:space="preserve">  </w:t>
      </w:r>
    </w:p>
    <w:p w14:paraId="5CD47AB3" w14:textId="77777777" w:rsidR="00480568" w:rsidRPr="002B37B4" w:rsidRDefault="000F4F9F" w:rsidP="00480568">
      <w:pPr>
        <w:spacing w:before="100" w:beforeAutospacing="1" w:after="100" w:afterAutospacing="1"/>
        <w:rPr>
          <w:rFonts w:ascii="Arial" w:eastAsia="Times New Roman" w:hAnsi="Arial" w:cs="Arial"/>
          <w:sz w:val="20"/>
          <w:szCs w:val="20"/>
          <w:lang w:val="en-US" w:eastAsia="nb-NO"/>
        </w:rPr>
      </w:pPr>
      <w:r w:rsidRPr="00A96249">
        <w:rPr>
          <w:rFonts w:asciiTheme="minorEastAsia" w:eastAsiaTheme="minorEastAsia" w:hAnsiTheme="minorEastAsia" w:cs="Arial" w:hint="eastAsia"/>
          <w:sz w:val="20"/>
          <w:szCs w:val="20"/>
          <w:lang w:val="en-US" w:eastAsia="zh-CN"/>
        </w:rPr>
        <w:t>2013年4月25日，德国图宾根的公共检察官收到非政府组织的刑事投诉</w:t>
      </w:r>
      <w:r>
        <w:rPr>
          <w:rFonts w:asciiTheme="minorEastAsia" w:eastAsiaTheme="minorEastAsia" w:hAnsiTheme="minorEastAsia" w:cs="Arial" w:hint="eastAsia"/>
          <w:sz w:val="20"/>
          <w:szCs w:val="20"/>
          <w:lang w:val="en-US" w:eastAsia="zh-CN"/>
        </w:rPr>
        <w:t>，要求检察官</w:t>
      </w:r>
      <w:r w:rsidR="00494509">
        <w:rPr>
          <w:rFonts w:asciiTheme="minorEastAsia" w:eastAsiaTheme="minorEastAsia" w:hAnsiTheme="minorEastAsia" w:cs="Arial" w:hint="eastAsia"/>
          <w:sz w:val="20"/>
          <w:szCs w:val="20"/>
          <w:lang w:val="en-US" w:eastAsia="zh-CN"/>
        </w:rPr>
        <w:t>对一家瑞士和德国木材公司丹</w:t>
      </w:r>
      <w:r w:rsidR="00C261DD">
        <w:rPr>
          <w:rFonts w:asciiTheme="minorEastAsia" w:eastAsiaTheme="minorEastAsia" w:hAnsiTheme="minorEastAsia" w:cs="Arial" w:hint="eastAsia"/>
          <w:sz w:val="20"/>
          <w:szCs w:val="20"/>
          <w:lang w:val="en-US" w:eastAsia="zh-CN"/>
        </w:rPr>
        <w:t>兹</w:t>
      </w:r>
      <w:r w:rsidR="00494509">
        <w:rPr>
          <w:rFonts w:asciiTheme="minorEastAsia" w:eastAsiaTheme="minorEastAsia" w:hAnsiTheme="minorEastAsia" w:cs="Arial" w:hint="eastAsia"/>
          <w:sz w:val="20"/>
          <w:szCs w:val="20"/>
          <w:lang w:val="en-US" w:eastAsia="zh-CN"/>
        </w:rPr>
        <w:t>集团的高层经理奥洛夫·冯戈根（</w:t>
      </w:r>
      <w:proofErr w:type="spellStart"/>
      <w:r w:rsidR="00494509" w:rsidRPr="002B37B4">
        <w:rPr>
          <w:rFonts w:ascii="Arial" w:eastAsia="Times New Roman" w:hAnsi="Arial" w:cs="Arial"/>
          <w:sz w:val="20"/>
          <w:szCs w:val="20"/>
          <w:lang w:val="en-US" w:eastAsia="nb-NO"/>
        </w:rPr>
        <w:t>Olof</w:t>
      </w:r>
      <w:proofErr w:type="spellEnd"/>
      <w:r w:rsidR="00494509" w:rsidRPr="002B37B4">
        <w:rPr>
          <w:rFonts w:ascii="Arial" w:eastAsia="Times New Roman" w:hAnsi="Arial" w:cs="Arial"/>
          <w:sz w:val="20"/>
          <w:szCs w:val="20"/>
          <w:lang w:val="en-US" w:eastAsia="nb-NO"/>
        </w:rPr>
        <w:t xml:space="preserve"> von </w:t>
      </w:r>
      <w:proofErr w:type="spellStart"/>
      <w:r w:rsidR="00494509" w:rsidRPr="002B37B4">
        <w:rPr>
          <w:rFonts w:ascii="Arial" w:eastAsia="Times New Roman" w:hAnsi="Arial" w:cs="Arial"/>
          <w:sz w:val="20"/>
          <w:szCs w:val="20"/>
          <w:lang w:val="en-US" w:eastAsia="nb-NO"/>
        </w:rPr>
        <w:t>Gagern</w:t>
      </w:r>
      <w:proofErr w:type="spellEnd"/>
      <w:r w:rsidR="00494509" w:rsidRPr="002B37B4">
        <w:rPr>
          <w:rFonts w:ascii="Arial" w:eastAsia="Times New Roman" w:hAnsi="Arial" w:cs="Arial"/>
          <w:sz w:val="20"/>
          <w:szCs w:val="20"/>
          <w:lang w:val="en-US" w:eastAsia="nb-NO"/>
        </w:rPr>
        <w:t xml:space="preserve"> </w:t>
      </w:r>
      <w:r w:rsidR="00494509">
        <w:rPr>
          <w:rFonts w:asciiTheme="minorEastAsia" w:eastAsiaTheme="minorEastAsia" w:hAnsiTheme="minorEastAsia" w:cs="Arial" w:hint="eastAsia"/>
          <w:sz w:val="20"/>
          <w:szCs w:val="20"/>
          <w:lang w:val="en-US" w:eastAsia="zh-CN"/>
        </w:rPr>
        <w:t>）展开调查。申诉称冯戈根没有采取行动，来阻止</w:t>
      </w:r>
      <w:r w:rsidR="00C261DD">
        <w:rPr>
          <w:rFonts w:asciiTheme="minorEastAsia" w:eastAsiaTheme="minorEastAsia" w:hAnsiTheme="minorEastAsia" w:cs="Arial" w:hint="eastAsia"/>
          <w:sz w:val="20"/>
          <w:szCs w:val="20"/>
          <w:lang w:val="en-US" w:eastAsia="zh-CN"/>
        </w:rPr>
        <w:t>刚果保安部队于</w:t>
      </w:r>
      <w:r w:rsidR="00494509">
        <w:rPr>
          <w:rFonts w:asciiTheme="minorEastAsia" w:eastAsiaTheme="minorEastAsia" w:hAnsiTheme="minorEastAsia" w:cs="Arial" w:hint="eastAsia"/>
          <w:sz w:val="20"/>
          <w:szCs w:val="20"/>
          <w:lang w:val="en-US" w:eastAsia="zh-CN"/>
        </w:rPr>
        <w:t>2011年5月2日在刚果民主共和国北部</w:t>
      </w:r>
      <w:r w:rsidR="00C261DD">
        <w:rPr>
          <w:rFonts w:asciiTheme="minorEastAsia" w:eastAsiaTheme="minorEastAsia" w:hAnsiTheme="minorEastAsia" w:cs="Arial" w:hint="eastAsia"/>
          <w:sz w:val="20"/>
          <w:szCs w:val="20"/>
          <w:lang w:val="en-US" w:eastAsia="zh-CN"/>
        </w:rPr>
        <w:t>亚利西卡（</w:t>
      </w:r>
      <w:proofErr w:type="spellStart"/>
      <w:r w:rsidR="00C261DD" w:rsidRPr="002B37B4">
        <w:rPr>
          <w:rFonts w:ascii="Arial" w:eastAsia="Times New Roman" w:hAnsi="Arial" w:cs="Arial"/>
          <w:sz w:val="20"/>
          <w:szCs w:val="20"/>
          <w:lang w:val="en-US" w:eastAsia="nb-NO"/>
        </w:rPr>
        <w:t>Yalisika</w:t>
      </w:r>
      <w:proofErr w:type="spellEnd"/>
      <w:r w:rsidR="00C261DD">
        <w:rPr>
          <w:rFonts w:asciiTheme="minorEastAsia" w:eastAsiaTheme="minorEastAsia" w:hAnsiTheme="minorEastAsia" w:cs="Arial" w:hint="eastAsia"/>
          <w:sz w:val="20"/>
          <w:szCs w:val="20"/>
          <w:lang w:val="en-US" w:eastAsia="zh-CN"/>
        </w:rPr>
        <w:t>）的邦古鲁村（</w:t>
      </w:r>
      <w:proofErr w:type="spellStart"/>
      <w:r w:rsidR="00C261DD" w:rsidRPr="002B37B4">
        <w:rPr>
          <w:rFonts w:ascii="Arial" w:eastAsia="Times New Roman" w:hAnsi="Arial" w:cs="Arial"/>
          <w:sz w:val="20"/>
          <w:szCs w:val="20"/>
          <w:lang w:val="en-US" w:eastAsia="nb-NO"/>
        </w:rPr>
        <w:t>Bongulu</w:t>
      </w:r>
      <w:proofErr w:type="spellEnd"/>
      <w:r w:rsidR="00C261DD">
        <w:rPr>
          <w:rFonts w:asciiTheme="minorEastAsia" w:eastAsiaTheme="minorEastAsia" w:hAnsiTheme="minorEastAsia" w:cs="Arial" w:hint="eastAsia"/>
          <w:sz w:val="20"/>
          <w:szCs w:val="20"/>
          <w:lang w:val="en-US" w:eastAsia="zh-CN"/>
        </w:rPr>
        <w:t>）犯下侵犯人权行为。申诉称，保安部队</w:t>
      </w:r>
      <w:r w:rsidR="0094540E">
        <w:rPr>
          <w:rFonts w:asciiTheme="minorEastAsia" w:eastAsiaTheme="minorEastAsia" w:hAnsiTheme="minorEastAsia" w:cs="Arial" w:hint="eastAsia"/>
          <w:sz w:val="20"/>
          <w:szCs w:val="20"/>
          <w:lang w:val="en-US" w:eastAsia="zh-CN"/>
        </w:rPr>
        <w:t>在行动中</w:t>
      </w:r>
      <w:r w:rsidR="00C261DD">
        <w:rPr>
          <w:rFonts w:asciiTheme="minorEastAsia" w:eastAsiaTheme="minorEastAsia" w:hAnsiTheme="minorEastAsia" w:cs="Arial" w:hint="eastAsia"/>
          <w:sz w:val="20"/>
          <w:szCs w:val="20"/>
          <w:lang w:val="en-US" w:eastAsia="zh-CN"/>
        </w:rPr>
        <w:t>造成严重的身体伤害，</w:t>
      </w:r>
      <w:r w:rsidR="0094540E">
        <w:rPr>
          <w:rFonts w:asciiTheme="minorEastAsia" w:eastAsiaTheme="minorEastAsia" w:hAnsiTheme="minorEastAsia" w:cs="Arial" w:hint="eastAsia"/>
          <w:sz w:val="20"/>
          <w:szCs w:val="20"/>
          <w:lang w:val="en-US" w:eastAsia="zh-CN"/>
        </w:rPr>
        <w:t>进行强奸，损坏财产，并任意拘留村民。申诉指出，刚果保安部队</w:t>
      </w:r>
      <w:r w:rsidR="00A52EF2" w:rsidRPr="005B6D61">
        <w:rPr>
          <w:rFonts w:ascii="PMingLiU" w:hAnsi="PMingLiU" w:cs="Arial" w:hint="eastAsia"/>
          <w:sz w:val="20"/>
          <w:szCs w:val="20"/>
          <w:lang w:val="en-US" w:eastAsia="zh-CN"/>
        </w:rPr>
        <w:t>从</w:t>
      </w:r>
      <w:r w:rsidR="00A52EF2" w:rsidRPr="00A52EF2">
        <w:rPr>
          <w:rFonts w:ascii="PMingLiU" w:hAnsi="PMingLiU" w:cs="Arial" w:hint="eastAsia"/>
          <w:sz w:val="20"/>
          <w:szCs w:val="20"/>
          <w:lang w:val="en-US" w:eastAsia="zh-CN"/>
        </w:rPr>
        <w:t>丹兹集团</w:t>
      </w:r>
      <w:r w:rsidR="009D03A9">
        <w:rPr>
          <w:rFonts w:asciiTheme="minorEastAsia" w:eastAsiaTheme="minorEastAsia" w:hAnsiTheme="minorEastAsia" w:cs="Arial" w:hint="eastAsia"/>
          <w:sz w:val="20"/>
          <w:szCs w:val="20"/>
          <w:lang w:val="en-US" w:eastAsia="zh-CN"/>
        </w:rPr>
        <w:t>当时</w:t>
      </w:r>
      <w:r w:rsidR="0094540E">
        <w:rPr>
          <w:rFonts w:asciiTheme="minorEastAsia" w:eastAsiaTheme="minorEastAsia" w:hAnsiTheme="minorEastAsia" w:cs="Arial" w:hint="eastAsia"/>
          <w:sz w:val="20"/>
          <w:szCs w:val="20"/>
          <w:lang w:val="en-US" w:eastAsia="zh-CN"/>
        </w:rPr>
        <w:t>的子公司</w:t>
      </w:r>
      <w:proofErr w:type="spellStart"/>
      <w:r w:rsidR="0094540E" w:rsidRPr="002B37B4">
        <w:rPr>
          <w:rFonts w:ascii="Arial" w:eastAsia="Times New Roman" w:hAnsi="Arial" w:cs="Arial"/>
          <w:sz w:val="20"/>
          <w:szCs w:val="20"/>
          <w:lang w:val="en-US" w:eastAsia="nb-NO"/>
        </w:rPr>
        <w:t>Siforco</w:t>
      </w:r>
      <w:proofErr w:type="spellEnd"/>
      <w:r w:rsidR="0094540E">
        <w:rPr>
          <w:rFonts w:asciiTheme="minorEastAsia" w:eastAsiaTheme="minorEastAsia" w:hAnsiTheme="minorEastAsia" w:cs="Arial" w:hint="eastAsia"/>
          <w:sz w:val="20"/>
          <w:szCs w:val="20"/>
          <w:lang w:val="en-US" w:eastAsia="zh-CN"/>
        </w:rPr>
        <w:t>那里得到后勤援助，包括前往村庄的运输，将被拘留人带离村庄的运输，以及付款。申诉称，在保安部队行动可能对村民造成危险的情况下，冯戈根没有采取适当行动。丹兹集团和</w:t>
      </w:r>
      <w:r w:rsidR="0094540E">
        <w:rPr>
          <w:rFonts w:ascii="Arial" w:eastAsia="Times New Roman" w:hAnsi="Arial" w:cs="Arial"/>
          <w:sz w:val="20"/>
          <w:szCs w:val="20"/>
          <w:lang w:val="en-US" w:eastAsia="nb-NO"/>
        </w:rPr>
        <w:t xml:space="preserve"> </w:t>
      </w:r>
      <w:proofErr w:type="spellStart"/>
      <w:r w:rsidR="00480568" w:rsidRPr="002B37B4">
        <w:rPr>
          <w:rFonts w:ascii="Arial" w:eastAsia="Times New Roman" w:hAnsi="Arial" w:cs="Arial"/>
          <w:sz w:val="20"/>
          <w:szCs w:val="20"/>
          <w:lang w:val="en-US" w:eastAsia="nb-NO"/>
        </w:rPr>
        <w:t>Siforco</w:t>
      </w:r>
      <w:proofErr w:type="spellEnd"/>
      <w:r w:rsidR="0094540E">
        <w:rPr>
          <w:rFonts w:asciiTheme="minorEastAsia" w:eastAsiaTheme="minorEastAsia" w:hAnsiTheme="minorEastAsia" w:cs="Arial" w:hint="eastAsia"/>
          <w:sz w:val="20"/>
          <w:szCs w:val="20"/>
          <w:lang w:val="en-US" w:eastAsia="zh-CN"/>
        </w:rPr>
        <w:t>否认这些指控，称他们没有助长暴力行为，保安部队</w:t>
      </w:r>
      <w:r w:rsidR="009D03A9">
        <w:rPr>
          <w:rFonts w:asciiTheme="minorEastAsia" w:eastAsiaTheme="minorEastAsia" w:hAnsiTheme="minorEastAsia" w:cs="Arial" w:hint="eastAsia"/>
          <w:sz w:val="20"/>
          <w:szCs w:val="20"/>
          <w:lang w:val="en-US" w:eastAsia="zh-CN"/>
        </w:rPr>
        <w:t>也不在他们的控制和责任范围之内。</w:t>
      </w:r>
      <w:r w:rsidR="00480568" w:rsidRPr="002B37B4">
        <w:rPr>
          <w:rFonts w:ascii="Arial" w:eastAsia="Times New Roman" w:hAnsi="Arial" w:cs="Arial"/>
          <w:sz w:val="20"/>
          <w:szCs w:val="20"/>
          <w:lang w:val="en-US" w:eastAsia="nb-NO"/>
        </w:rPr>
        <w:t>   </w:t>
      </w:r>
    </w:p>
    <w:p w14:paraId="5E73FB31" w14:textId="77777777" w:rsidR="00480568" w:rsidRPr="002B37B4" w:rsidRDefault="009D03A9" w:rsidP="00480568">
      <w:pPr>
        <w:pStyle w:val="Heading3"/>
        <w:numPr>
          <w:ilvl w:val="0"/>
          <w:numId w:val="3"/>
        </w:numPr>
        <w:rPr>
          <w:rFonts w:ascii="Arial" w:hAnsi="Arial" w:cs="Arial"/>
          <w:sz w:val="20"/>
          <w:szCs w:val="20"/>
          <w:lang w:val="en-US"/>
        </w:rPr>
      </w:pPr>
      <w:bookmarkStart w:id="6" w:name="_Toc372820014"/>
      <w:r>
        <w:rPr>
          <w:rFonts w:ascii="Arial" w:hAnsi="Arial" w:cs="Arial" w:hint="eastAsia"/>
          <w:sz w:val="20"/>
          <w:szCs w:val="20"/>
          <w:lang w:val="en-US" w:eastAsia="zh-CN"/>
        </w:rPr>
        <w:t>民事责任</w:t>
      </w:r>
      <w:bookmarkEnd w:id="6"/>
    </w:p>
    <w:p w14:paraId="227882A9" w14:textId="77777777" w:rsidR="00480568" w:rsidRPr="00990332" w:rsidRDefault="00990332" w:rsidP="00480568">
      <w:pPr>
        <w:pStyle w:val="NormalWeb"/>
        <w:rPr>
          <w:rFonts w:ascii="SimSun" w:eastAsia="SimSun" w:hAnsi="SimSun" w:cs="SimSun"/>
          <w:sz w:val="20"/>
          <w:szCs w:val="20"/>
          <w:lang w:val="en-US" w:eastAsia="zh-CN"/>
        </w:rPr>
      </w:pPr>
      <w:r>
        <w:rPr>
          <w:rFonts w:asciiTheme="minorEastAsia" w:eastAsiaTheme="minorEastAsia" w:hAnsiTheme="minorEastAsia" w:cs="Arial" w:hint="eastAsia"/>
          <w:sz w:val="20"/>
          <w:szCs w:val="20"/>
          <w:lang w:val="en-US" w:eastAsia="zh-CN"/>
        </w:rPr>
        <w:t>大多数国家的法律体系规定，如果一个企业对受害者造成伤害或歧视，包括没有采取尽责行动而造成此类情况，企业就负有民事责任。正如</w:t>
      </w:r>
      <w:r w:rsidR="00DE25B4">
        <w:rPr>
          <w:rFonts w:ascii="SimSun" w:eastAsia="SimSun" w:hAnsi="SimSun" w:cs="SimSun" w:hint="eastAsia"/>
          <w:sz w:val="20"/>
          <w:szCs w:val="20"/>
          <w:lang w:val="en-US"/>
        </w:rPr>
        <w:t>《人权尽责报告》（</w:t>
      </w:r>
      <w:r w:rsidR="00DE25B4">
        <w:rPr>
          <w:rFonts w:ascii="Arial" w:hAnsi="Arial" w:cs="Arial"/>
          <w:sz w:val="20"/>
          <w:szCs w:val="20"/>
          <w:lang w:val="en-US"/>
        </w:rPr>
        <w:t>2012</w:t>
      </w:r>
      <w:r w:rsidR="00DE25B4">
        <w:rPr>
          <w:rFonts w:ascii="SimSun" w:eastAsia="SimSun" w:hAnsi="SimSun" w:cs="SimSun" w:hint="eastAsia"/>
          <w:sz w:val="20"/>
          <w:szCs w:val="20"/>
          <w:lang w:val="en-US"/>
        </w:rPr>
        <w:t>）</w:t>
      </w:r>
      <w:r>
        <w:rPr>
          <w:rFonts w:ascii="SimSun" w:eastAsia="SimSun" w:hAnsi="SimSun" w:cs="SimSun" w:hint="eastAsia"/>
          <w:sz w:val="20"/>
          <w:szCs w:val="20"/>
          <w:lang w:val="en-US" w:eastAsia="zh-CN"/>
        </w:rPr>
        <w:t>所述，对此类失职情况的定义通常是，企业没有采取一切本可以合理采取的预防措施，来减少发生伤害的危险。</w:t>
      </w:r>
      <w:r w:rsidR="00480568" w:rsidRPr="002B37B4">
        <w:rPr>
          <w:rStyle w:val="EndnoteReference"/>
          <w:rFonts w:ascii="Arial" w:eastAsia="Calibri" w:hAnsi="Arial" w:cs="Arial"/>
          <w:sz w:val="20"/>
          <w:szCs w:val="20"/>
        </w:rPr>
        <w:t xml:space="preserve"> </w:t>
      </w:r>
      <w:r w:rsidR="00480568" w:rsidRPr="002B37B4">
        <w:rPr>
          <w:rFonts w:ascii="Arial" w:hAnsi="Arial" w:cs="Arial"/>
          <w:sz w:val="20"/>
          <w:szCs w:val="20"/>
          <w:lang w:val="en-US"/>
        </w:rPr>
        <w:t xml:space="preserve"> </w:t>
      </w:r>
    </w:p>
    <w:p w14:paraId="04394A8A" w14:textId="77777777" w:rsidR="00480568" w:rsidRPr="002B37B4" w:rsidRDefault="00990332"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lastRenderedPageBreak/>
        <w:t>在2013年出现的几个事例中，一些关于民事诉讼的司法裁决加强了企业尽责的要求：</w:t>
      </w:r>
      <w:r w:rsidR="00480568" w:rsidRPr="002B37B4">
        <w:rPr>
          <w:rFonts w:ascii="Arial" w:hAnsi="Arial" w:cs="Arial"/>
          <w:sz w:val="20"/>
          <w:szCs w:val="20"/>
          <w:lang w:val="en-US"/>
        </w:rPr>
        <w:t xml:space="preserve">  </w:t>
      </w:r>
    </w:p>
    <w:p w14:paraId="24ED4C01" w14:textId="77777777" w:rsidR="00480568" w:rsidRPr="002B37B4" w:rsidRDefault="00AB3BD1" w:rsidP="00480568">
      <w:pPr>
        <w:spacing w:after="120"/>
        <w:rPr>
          <w:rFonts w:ascii="Arial" w:hAnsi="Arial" w:cs="Arial"/>
          <w:sz w:val="20"/>
          <w:szCs w:val="20"/>
          <w:lang w:eastAsia="zh-CN"/>
        </w:rPr>
      </w:pPr>
      <w:r>
        <w:rPr>
          <w:rFonts w:ascii="Arial" w:hAnsi="Arial" w:cs="Arial" w:hint="eastAsia"/>
          <w:sz w:val="20"/>
          <w:szCs w:val="20"/>
          <w:lang w:eastAsia="zh-CN"/>
        </w:rPr>
        <w:t>荷兰的一家法院在</w:t>
      </w:r>
      <w:r>
        <w:rPr>
          <w:rFonts w:ascii="Arial" w:hAnsi="Arial" w:cs="Arial" w:hint="eastAsia"/>
          <w:sz w:val="20"/>
          <w:szCs w:val="20"/>
          <w:lang w:eastAsia="zh-CN"/>
        </w:rPr>
        <w:t>1</w:t>
      </w:r>
      <w:r>
        <w:rPr>
          <w:rFonts w:ascii="Arial" w:hAnsi="Arial" w:cs="Arial" w:hint="eastAsia"/>
          <w:sz w:val="20"/>
          <w:szCs w:val="20"/>
          <w:lang w:eastAsia="zh-CN"/>
        </w:rPr>
        <w:t>月裁决，</w:t>
      </w:r>
      <w:r w:rsidR="007D2CC0">
        <w:rPr>
          <w:rFonts w:ascii="Arial" w:hAnsi="Arial" w:cs="Arial" w:hint="eastAsia"/>
          <w:sz w:val="20"/>
          <w:szCs w:val="20"/>
          <w:lang w:eastAsia="zh-CN"/>
        </w:rPr>
        <w:t>就一名尼日利亚农民由于输油管漏油而遭到的损害，</w:t>
      </w:r>
      <w:r>
        <w:rPr>
          <w:rFonts w:ascii="Arial" w:hAnsi="Arial" w:cs="Arial" w:hint="eastAsia"/>
          <w:sz w:val="20"/>
          <w:szCs w:val="20"/>
          <w:lang w:eastAsia="zh-CN"/>
        </w:rPr>
        <w:t>荷兰皇家壳牌集团的一家尼日利亚子公司</w:t>
      </w:r>
      <w:r w:rsidR="007D2CC0">
        <w:rPr>
          <w:rFonts w:ascii="Arial" w:hAnsi="Arial" w:cs="Arial" w:hint="eastAsia"/>
          <w:sz w:val="20"/>
          <w:szCs w:val="20"/>
          <w:lang w:eastAsia="zh-CN"/>
        </w:rPr>
        <w:t>负有责任。根据尼日利亚法律，荷兰法院裁决该子公司犯有过失，尤其是该公司没有采取本可合理采取的预防措施，来减少第三方</w:t>
      </w:r>
      <w:r w:rsidR="005A4658">
        <w:rPr>
          <w:rFonts w:ascii="Arial" w:hAnsi="Arial" w:cs="Arial" w:hint="eastAsia"/>
          <w:sz w:val="20"/>
          <w:szCs w:val="20"/>
          <w:lang w:eastAsia="zh-CN"/>
        </w:rPr>
        <w:t>破坏当地民众构成</w:t>
      </w:r>
      <w:r w:rsidR="007D2CC0">
        <w:rPr>
          <w:rFonts w:ascii="Arial" w:hAnsi="Arial" w:cs="Arial" w:hint="eastAsia"/>
          <w:sz w:val="20"/>
          <w:szCs w:val="20"/>
          <w:lang w:eastAsia="zh-CN"/>
        </w:rPr>
        <w:t>的危险：</w:t>
      </w:r>
      <w:r w:rsidR="00480568" w:rsidRPr="002B37B4">
        <w:rPr>
          <w:rFonts w:ascii="Arial" w:hAnsi="Arial" w:cs="Arial"/>
          <w:sz w:val="20"/>
          <w:szCs w:val="20"/>
          <w:lang w:eastAsia="zh-CN"/>
        </w:rPr>
        <w:t xml:space="preserve"> </w:t>
      </w:r>
    </w:p>
    <w:p w14:paraId="3E897ADC" w14:textId="755E9D32" w:rsidR="00480568" w:rsidRPr="002B37B4" w:rsidRDefault="00480568" w:rsidP="00480568">
      <w:pPr>
        <w:autoSpaceDE w:val="0"/>
        <w:autoSpaceDN w:val="0"/>
        <w:adjustRightInd w:val="0"/>
        <w:spacing w:after="0"/>
        <w:ind w:left="720" w:right="766"/>
        <w:jc w:val="both"/>
        <w:rPr>
          <w:rFonts w:ascii="Arial" w:hAnsi="Arial" w:cs="Arial"/>
          <w:sz w:val="20"/>
          <w:szCs w:val="20"/>
          <w:lang w:val="en-US" w:eastAsia="zh-CN"/>
        </w:rPr>
      </w:pPr>
      <w:r w:rsidRPr="002B37B4">
        <w:rPr>
          <w:rFonts w:ascii="Arial" w:hAnsi="Arial" w:cs="Arial"/>
          <w:sz w:val="20"/>
          <w:szCs w:val="20"/>
          <w:lang w:val="en-US" w:eastAsia="zh-CN"/>
        </w:rPr>
        <w:t>. . . [</w:t>
      </w:r>
      <w:r w:rsidR="009252F1">
        <w:rPr>
          <w:rFonts w:ascii="Arial" w:hAnsi="Arial" w:cs="Arial" w:hint="eastAsia"/>
          <w:sz w:val="20"/>
          <w:szCs w:val="20"/>
          <w:lang w:val="en-US" w:eastAsia="zh-CN"/>
        </w:rPr>
        <w:t>该公司</w:t>
      </w:r>
      <w:proofErr w:type="gramStart"/>
      <w:r w:rsidRPr="002B37B4">
        <w:rPr>
          <w:rFonts w:ascii="Arial" w:hAnsi="Arial" w:cs="Arial"/>
          <w:sz w:val="20"/>
          <w:szCs w:val="20"/>
          <w:lang w:val="en-US" w:eastAsia="zh-CN"/>
        </w:rPr>
        <w:t>]</w:t>
      </w:r>
      <w:r w:rsidR="009252F1">
        <w:rPr>
          <w:rFonts w:ascii="Arial" w:hAnsi="Arial" w:cs="Arial" w:hint="eastAsia"/>
          <w:sz w:val="20"/>
          <w:szCs w:val="20"/>
          <w:lang w:val="en-US" w:eastAsia="zh-CN"/>
        </w:rPr>
        <w:t>在</w:t>
      </w:r>
      <w:r w:rsidR="009252F1" w:rsidRPr="002B37B4">
        <w:rPr>
          <w:rFonts w:ascii="Arial" w:hAnsi="Arial" w:cs="Arial"/>
          <w:sz w:val="20"/>
          <w:szCs w:val="20"/>
          <w:lang w:val="en-US" w:eastAsia="zh-CN"/>
        </w:rPr>
        <w:t>IBIBIO</w:t>
      </w:r>
      <w:proofErr w:type="gramEnd"/>
      <w:r w:rsidR="009252F1" w:rsidRPr="002B37B4">
        <w:rPr>
          <w:rFonts w:ascii="Arial" w:hAnsi="Arial" w:cs="Arial"/>
          <w:sz w:val="20"/>
          <w:szCs w:val="20"/>
          <w:lang w:val="en-US" w:eastAsia="zh-CN"/>
        </w:rPr>
        <w:t>-I</w:t>
      </w:r>
      <w:r w:rsidR="009252F1">
        <w:rPr>
          <w:rFonts w:ascii="Arial" w:hAnsi="Arial" w:cs="Arial" w:hint="eastAsia"/>
          <w:sz w:val="20"/>
          <w:szCs w:val="20"/>
          <w:lang w:val="en-US" w:eastAsia="zh-CN"/>
        </w:rPr>
        <w:t>号油井造</w:t>
      </w:r>
      <w:r w:rsidR="009252F1">
        <w:rPr>
          <w:rFonts w:ascii="Arial" w:hAnsi="Arial" w:cs="Arial" w:hint="eastAsia"/>
          <w:sz w:val="20"/>
          <w:szCs w:val="20"/>
          <w:lang w:val="en-US" w:eastAsia="zh-CN"/>
        </w:rPr>
        <w:t>成了</w:t>
      </w:r>
      <w:r w:rsidR="009961B1">
        <w:rPr>
          <w:rFonts w:ascii="Arial" w:hAnsi="Arial" w:cs="Arial" w:hint="eastAsia"/>
          <w:sz w:val="20"/>
          <w:szCs w:val="20"/>
          <w:lang w:val="en-US" w:eastAsia="zh-CN"/>
        </w:rPr>
        <w:t>特別</w:t>
      </w:r>
      <w:r w:rsidR="009252F1">
        <w:rPr>
          <w:rFonts w:ascii="Arial" w:hAnsi="Arial" w:cs="Arial" w:hint="eastAsia"/>
          <w:sz w:val="20"/>
          <w:szCs w:val="20"/>
          <w:lang w:val="en-US" w:eastAsia="zh-CN"/>
        </w:rPr>
        <w:t>危险</w:t>
      </w:r>
      <w:r w:rsidR="009252F1">
        <w:rPr>
          <w:rFonts w:ascii="Arial" w:hAnsi="Arial" w:cs="Arial" w:hint="eastAsia"/>
          <w:sz w:val="20"/>
          <w:szCs w:val="20"/>
          <w:lang w:val="en-US" w:eastAsia="zh-CN"/>
        </w:rPr>
        <w:t>的局面，并允许该局面持续</w:t>
      </w:r>
      <w:r w:rsidR="00C22755" w:rsidRPr="005B6D61">
        <w:rPr>
          <w:rFonts w:ascii="PMingLiU" w:hAnsi="PMingLiU" w:cs="Arial" w:hint="eastAsia"/>
          <w:sz w:val="20"/>
          <w:szCs w:val="20"/>
          <w:lang w:val="en-US" w:eastAsia="zh-CN"/>
        </w:rPr>
        <w:t>下去</w:t>
      </w:r>
      <w:r w:rsidRPr="002B37B4">
        <w:rPr>
          <w:rFonts w:ascii="Arial" w:hAnsi="Arial" w:cs="Arial"/>
          <w:sz w:val="20"/>
          <w:szCs w:val="20"/>
          <w:lang w:val="en-US" w:eastAsia="zh-CN"/>
        </w:rPr>
        <w:t>. . . [</w:t>
      </w:r>
      <w:r w:rsidR="009252F1">
        <w:rPr>
          <w:rFonts w:ascii="Arial" w:hAnsi="Arial" w:cs="Arial" w:hint="eastAsia"/>
          <w:sz w:val="20"/>
          <w:szCs w:val="20"/>
          <w:lang w:val="en-US" w:eastAsia="zh-CN"/>
        </w:rPr>
        <w:t>该公司</w:t>
      </w:r>
      <w:r w:rsidRPr="002B37B4">
        <w:rPr>
          <w:rFonts w:ascii="Arial" w:hAnsi="Arial" w:cs="Arial"/>
          <w:sz w:val="20"/>
          <w:szCs w:val="20"/>
          <w:lang w:val="en-US" w:eastAsia="zh-CN"/>
        </w:rPr>
        <w:t>]</w:t>
      </w:r>
      <w:r w:rsidR="009252F1">
        <w:rPr>
          <w:rFonts w:ascii="Arial" w:hAnsi="Arial" w:cs="Arial" w:hint="eastAsia"/>
          <w:sz w:val="20"/>
          <w:szCs w:val="20"/>
          <w:lang w:val="en-US" w:eastAsia="zh-CN"/>
        </w:rPr>
        <w:t>本应</w:t>
      </w:r>
      <w:r w:rsidR="009F1274">
        <w:rPr>
          <w:rFonts w:ascii="Arial" w:hAnsi="Arial" w:cs="Arial" w:hint="eastAsia"/>
          <w:sz w:val="20"/>
          <w:szCs w:val="20"/>
          <w:lang w:val="en-US" w:eastAsia="zh-CN"/>
        </w:rPr>
        <w:t>预料到发生</w:t>
      </w:r>
      <w:r w:rsidR="005A4658">
        <w:rPr>
          <w:rFonts w:ascii="Arial" w:hAnsi="Arial" w:cs="Arial" w:hint="eastAsia"/>
          <w:sz w:val="20"/>
          <w:szCs w:val="20"/>
          <w:lang w:val="en-US" w:eastAsia="zh-CN"/>
        </w:rPr>
        <w:t>破坏</w:t>
      </w:r>
      <w:r w:rsidR="009F1274">
        <w:rPr>
          <w:rFonts w:ascii="Arial" w:hAnsi="Arial" w:cs="Arial" w:hint="eastAsia"/>
          <w:sz w:val="20"/>
          <w:szCs w:val="20"/>
          <w:lang w:val="en-US" w:eastAsia="zh-CN"/>
        </w:rPr>
        <w:t>的明显危险，并应针对该危险采取更多和更好的预防措施</w:t>
      </w:r>
      <w:r w:rsidRPr="002B37B4">
        <w:rPr>
          <w:rFonts w:ascii="Arial" w:hAnsi="Arial" w:cs="Arial"/>
          <w:sz w:val="20"/>
          <w:szCs w:val="20"/>
          <w:lang w:val="en-US" w:eastAsia="zh-CN"/>
        </w:rPr>
        <w:t xml:space="preserve">. . . </w:t>
      </w:r>
      <w:r w:rsidR="005A4658">
        <w:rPr>
          <w:rFonts w:ascii="Arial" w:hAnsi="Arial" w:cs="Arial" w:hint="eastAsia"/>
          <w:sz w:val="20"/>
          <w:szCs w:val="20"/>
          <w:lang w:val="en-US" w:eastAsia="zh-CN"/>
        </w:rPr>
        <w:t>像</w:t>
      </w:r>
      <w:r w:rsidRPr="002B37B4">
        <w:rPr>
          <w:rFonts w:ascii="Arial" w:hAnsi="Arial" w:cs="Arial"/>
          <w:sz w:val="20"/>
          <w:szCs w:val="20"/>
          <w:lang w:val="en-US" w:eastAsia="zh-CN"/>
        </w:rPr>
        <w:t>[</w:t>
      </w:r>
      <w:r w:rsidR="005A4658">
        <w:rPr>
          <w:rFonts w:ascii="Arial" w:hAnsi="Arial" w:cs="Arial" w:hint="eastAsia"/>
          <w:sz w:val="20"/>
          <w:szCs w:val="20"/>
          <w:lang w:val="en-US" w:eastAsia="zh-CN"/>
        </w:rPr>
        <w:t>原告</w:t>
      </w:r>
      <w:r w:rsidR="005A4658">
        <w:rPr>
          <w:rFonts w:ascii="Arial" w:hAnsi="Arial" w:cs="Arial"/>
          <w:sz w:val="20"/>
          <w:szCs w:val="20"/>
          <w:lang w:val="en-US" w:eastAsia="zh-CN"/>
        </w:rPr>
        <w:t>]</w:t>
      </w:r>
      <w:proofErr w:type="spellStart"/>
      <w:r w:rsidRPr="002B37B4">
        <w:rPr>
          <w:rFonts w:ascii="Arial" w:hAnsi="Arial" w:cs="Arial"/>
          <w:sz w:val="20"/>
          <w:szCs w:val="20"/>
          <w:lang w:val="en-US" w:eastAsia="zh-CN"/>
        </w:rPr>
        <w:t>Akpan</w:t>
      </w:r>
      <w:proofErr w:type="spellEnd"/>
      <w:r w:rsidR="005A4658">
        <w:rPr>
          <w:rFonts w:ascii="Arial" w:hAnsi="Arial" w:cs="Arial" w:hint="eastAsia"/>
          <w:sz w:val="20"/>
          <w:szCs w:val="20"/>
          <w:lang w:val="en-US" w:eastAsia="zh-CN"/>
        </w:rPr>
        <w:t>这样住在附近的民众，从土地和鱼塘获得收入，破坏造成的损害对他们构成严重危险</w:t>
      </w:r>
      <w:r w:rsidRPr="002B37B4">
        <w:rPr>
          <w:rFonts w:ascii="Arial" w:hAnsi="Arial" w:cs="Arial"/>
          <w:sz w:val="20"/>
          <w:szCs w:val="20"/>
          <w:lang w:val="en-US" w:eastAsia="zh-CN"/>
        </w:rPr>
        <w:t xml:space="preserve">. . . </w:t>
      </w:r>
      <w:r w:rsidR="005A4658">
        <w:rPr>
          <w:rFonts w:ascii="Arial" w:hAnsi="Arial" w:cs="Arial" w:hint="eastAsia"/>
          <w:sz w:val="20"/>
          <w:szCs w:val="20"/>
          <w:lang w:val="en-US" w:eastAsia="zh-CN"/>
        </w:rPr>
        <w:t>而破坏是很容易发生的。</w:t>
      </w:r>
    </w:p>
    <w:p w14:paraId="3B3B221D" w14:textId="77777777" w:rsidR="00480568" w:rsidRPr="002B37B4" w:rsidRDefault="00480568" w:rsidP="00480568">
      <w:pPr>
        <w:autoSpaceDE w:val="0"/>
        <w:autoSpaceDN w:val="0"/>
        <w:adjustRightInd w:val="0"/>
        <w:spacing w:after="0"/>
        <w:rPr>
          <w:rFonts w:ascii="Arial" w:hAnsi="Arial" w:cs="Arial"/>
          <w:sz w:val="20"/>
          <w:szCs w:val="20"/>
          <w:lang w:val="en-US" w:eastAsia="zh-CN"/>
        </w:rPr>
      </w:pPr>
    </w:p>
    <w:p w14:paraId="6698845B" w14:textId="77777777" w:rsidR="00480568" w:rsidRPr="002B37B4" w:rsidRDefault="00526819" w:rsidP="00480568">
      <w:pPr>
        <w:autoSpaceDE w:val="0"/>
        <w:autoSpaceDN w:val="0"/>
        <w:adjustRightInd w:val="0"/>
        <w:spacing w:after="0"/>
        <w:rPr>
          <w:rFonts w:ascii="Arial" w:hAnsi="Arial" w:cs="Arial"/>
          <w:sz w:val="20"/>
          <w:szCs w:val="20"/>
          <w:lang w:val="en-US" w:eastAsia="zh-CN"/>
        </w:rPr>
      </w:pPr>
      <w:r>
        <w:rPr>
          <w:rFonts w:ascii="Arial" w:hAnsi="Arial" w:cs="Arial" w:hint="eastAsia"/>
          <w:sz w:val="20"/>
          <w:szCs w:val="20"/>
          <w:lang w:val="en-US" w:eastAsia="zh-CN"/>
        </w:rPr>
        <w:t>原告要求法院裁决他们的人权遭受侵犯，尤其是他们的</w:t>
      </w:r>
      <w:r w:rsidR="00FC5130">
        <w:rPr>
          <w:rFonts w:ascii="Arial" w:hAnsi="Arial" w:cs="Arial" w:hint="eastAsia"/>
          <w:sz w:val="20"/>
          <w:szCs w:val="20"/>
          <w:lang w:val="en-US" w:eastAsia="zh-CN"/>
        </w:rPr>
        <w:t>人身完整性遭受侵犯。法院拒绝这样做，理由是虽然尼日利亚法律中存在这样的判例，但这些案件中是被告公司造成直接伤害，不存在由第三方造成伤害而公司过失仅助长伤害的案件判例。</w:t>
      </w:r>
      <w:r w:rsidR="00480568" w:rsidRPr="002B37B4">
        <w:rPr>
          <w:rFonts w:ascii="Arial" w:hAnsi="Arial" w:cs="Arial"/>
          <w:sz w:val="20"/>
          <w:szCs w:val="20"/>
          <w:lang w:val="en-US" w:eastAsia="zh-CN"/>
        </w:rPr>
        <w:t xml:space="preserve">  </w:t>
      </w:r>
    </w:p>
    <w:p w14:paraId="041A7E64" w14:textId="77777777" w:rsidR="00480568" w:rsidRPr="002B37B4" w:rsidRDefault="00480568" w:rsidP="00480568">
      <w:pPr>
        <w:autoSpaceDE w:val="0"/>
        <w:autoSpaceDN w:val="0"/>
        <w:adjustRightInd w:val="0"/>
        <w:spacing w:after="0"/>
        <w:rPr>
          <w:rFonts w:ascii="Arial" w:hAnsi="Arial" w:cs="Arial"/>
          <w:sz w:val="20"/>
          <w:szCs w:val="20"/>
          <w:lang w:val="en-US" w:eastAsia="zh-CN"/>
        </w:rPr>
      </w:pPr>
    </w:p>
    <w:p w14:paraId="076F61F4" w14:textId="49C171DD" w:rsidR="00480568" w:rsidRPr="002B37B4" w:rsidRDefault="00A030C9" w:rsidP="00480568">
      <w:pPr>
        <w:spacing w:after="120"/>
        <w:rPr>
          <w:rFonts w:ascii="Arial" w:hAnsi="Arial" w:cs="Arial"/>
          <w:sz w:val="20"/>
          <w:szCs w:val="20"/>
          <w:lang w:eastAsia="zh-CN"/>
        </w:rPr>
      </w:pPr>
      <w:r>
        <w:rPr>
          <w:rFonts w:ascii="Arial" w:hAnsi="Arial" w:cs="Arial" w:hint="eastAsia"/>
          <w:sz w:val="20"/>
          <w:szCs w:val="20"/>
          <w:lang w:eastAsia="zh-CN"/>
        </w:rPr>
        <w:t>乌干达</w:t>
      </w:r>
      <w:r w:rsidRPr="00A030C9">
        <w:rPr>
          <w:rFonts w:ascii="Arial" w:hAnsi="Arial" w:cs="Arial" w:hint="eastAsia"/>
          <w:sz w:val="20"/>
          <w:szCs w:val="20"/>
          <w:lang w:eastAsia="zh-CN"/>
        </w:rPr>
        <w:t>坎帕拉</w:t>
      </w:r>
      <w:r>
        <w:rPr>
          <w:rFonts w:ascii="Arial" w:hAnsi="Arial" w:cs="Arial" w:hint="eastAsia"/>
          <w:sz w:val="20"/>
          <w:szCs w:val="20"/>
          <w:lang w:eastAsia="zh-CN"/>
        </w:rPr>
        <w:t>高等法院在</w:t>
      </w:r>
      <w:r>
        <w:rPr>
          <w:rFonts w:ascii="Arial" w:hAnsi="Arial" w:cs="Arial" w:hint="eastAsia"/>
          <w:sz w:val="20"/>
          <w:szCs w:val="20"/>
          <w:lang w:eastAsia="zh-CN"/>
        </w:rPr>
        <w:t>3</w:t>
      </w:r>
      <w:r>
        <w:rPr>
          <w:rFonts w:ascii="Arial" w:hAnsi="Arial" w:cs="Arial" w:hint="eastAsia"/>
          <w:sz w:val="20"/>
          <w:szCs w:val="20"/>
          <w:lang w:eastAsia="zh-CN"/>
        </w:rPr>
        <w:t>月裁决，</w:t>
      </w:r>
      <w:r w:rsidR="00AF20B7" w:rsidDel="00AF20B7">
        <w:rPr>
          <w:rFonts w:ascii="Arial" w:hAnsi="Arial" w:cs="Arial" w:hint="eastAsia"/>
          <w:sz w:val="20"/>
          <w:szCs w:val="20"/>
          <w:lang w:eastAsia="zh-CN"/>
        </w:rPr>
        <w:t xml:space="preserve"> </w:t>
      </w:r>
      <w:r>
        <w:rPr>
          <w:rFonts w:ascii="Arial" w:hAnsi="Arial" w:cs="Arial" w:hint="eastAsia"/>
          <w:sz w:val="20"/>
          <w:szCs w:val="20"/>
          <w:lang w:eastAsia="zh-CN"/>
        </w:rPr>
        <w:t>为咖啡种植园腾地而遭政府部队暴力驱逐的</w:t>
      </w:r>
      <w:r w:rsidRPr="00A030C9">
        <w:rPr>
          <w:rFonts w:ascii="Arial" w:hAnsi="Arial" w:cs="Arial" w:hint="eastAsia"/>
          <w:sz w:val="20"/>
          <w:szCs w:val="20"/>
          <w:lang w:eastAsia="zh-CN"/>
        </w:rPr>
        <w:t>土地租户</w:t>
      </w:r>
      <w:r>
        <w:rPr>
          <w:rFonts w:ascii="Arial" w:hAnsi="Arial" w:cs="Arial" w:hint="eastAsia"/>
          <w:sz w:val="20"/>
          <w:szCs w:val="20"/>
          <w:lang w:eastAsia="zh-CN"/>
        </w:rPr>
        <w:t>胜诉</w:t>
      </w:r>
      <w:r>
        <w:rPr>
          <w:rFonts w:ascii="Arial" w:hAnsi="Arial" w:cs="Arial" w:hint="eastAsia"/>
          <w:sz w:val="20"/>
          <w:szCs w:val="20"/>
          <w:lang w:eastAsia="zh-CN"/>
        </w:rPr>
        <w:t>。法院在裁决中认定，</w:t>
      </w:r>
      <w:r w:rsidR="00857981">
        <w:rPr>
          <w:rFonts w:ascii="Arial" w:hAnsi="Arial" w:cs="Arial" w:hint="eastAsia"/>
          <w:sz w:val="20"/>
          <w:szCs w:val="20"/>
          <w:lang w:eastAsia="zh-CN"/>
        </w:rPr>
        <w:t>在将土地从老租户转给</w:t>
      </w:r>
      <w:proofErr w:type="spellStart"/>
      <w:r w:rsidR="00857981" w:rsidRPr="002B37B4">
        <w:rPr>
          <w:rFonts w:ascii="Arial" w:hAnsi="Arial" w:cs="Arial"/>
          <w:sz w:val="20"/>
          <w:szCs w:val="20"/>
          <w:lang w:eastAsia="zh-CN"/>
        </w:rPr>
        <w:t>Kaweri</w:t>
      </w:r>
      <w:proofErr w:type="spellEnd"/>
      <w:r w:rsidR="00857981" w:rsidRPr="002B37B4">
        <w:rPr>
          <w:rFonts w:ascii="Arial" w:hAnsi="Arial" w:cs="Arial"/>
          <w:sz w:val="20"/>
          <w:szCs w:val="20"/>
          <w:lang w:eastAsia="zh-CN"/>
        </w:rPr>
        <w:t xml:space="preserve"> </w:t>
      </w:r>
      <w:r w:rsidR="00857981">
        <w:rPr>
          <w:rFonts w:ascii="Arial" w:hAnsi="Arial" w:cs="Arial" w:hint="eastAsia"/>
          <w:sz w:val="20"/>
          <w:szCs w:val="20"/>
          <w:lang w:eastAsia="zh-CN"/>
        </w:rPr>
        <w:t>咖啡种植园公司，以及从土地上搬迁</w:t>
      </w:r>
      <w:r w:rsidR="00857981">
        <w:rPr>
          <w:rFonts w:ascii="Arial" w:hAnsi="Arial" w:cs="Arial" w:hint="eastAsia"/>
          <w:sz w:val="20"/>
          <w:szCs w:val="20"/>
          <w:lang w:eastAsia="zh-CN"/>
        </w:rPr>
        <w:t>2</w:t>
      </w:r>
      <w:r w:rsidR="00857981">
        <w:rPr>
          <w:rFonts w:ascii="Arial" w:hAnsi="Arial" w:cs="Arial" w:hint="eastAsia"/>
          <w:sz w:val="20"/>
          <w:szCs w:val="20"/>
          <w:lang w:eastAsia="zh-CN"/>
        </w:rPr>
        <w:t>千至</w:t>
      </w:r>
      <w:r w:rsidR="00857981">
        <w:rPr>
          <w:rFonts w:ascii="Arial" w:hAnsi="Arial" w:cs="Arial" w:hint="eastAsia"/>
          <w:sz w:val="20"/>
          <w:szCs w:val="20"/>
          <w:lang w:eastAsia="zh-CN"/>
        </w:rPr>
        <w:t>4</w:t>
      </w:r>
      <w:r w:rsidR="00857981">
        <w:rPr>
          <w:rFonts w:ascii="Arial" w:hAnsi="Arial" w:cs="Arial" w:hint="eastAsia"/>
          <w:sz w:val="20"/>
          <w:szCs w:val="20"/>
          <w:lang w:eastAsia="zh-CN"/>
        </w:rPr>
        <w:t>千人，乌干达投资局</w:t>
      </w:r>
      <w:r w:rsidR="00480568" w:rsidRPr="002B37B4">
        <w:rPr>
          <w:rFonts w:ascii="Arial" w:hAnsi="Arial" w:cs="Arial"/>
          <w:sz w:val="20"/>
          <w:szCs w:val="20"/>
          <w:lang w:eastAsia="zh-CN"/>
        </w:rPr>
        <w:t>(UIA)</w:t>
      </w:r>
      <w:r w:rsidR="003616B0">
        <w:rPr>
          <w:rFonts w:ascii="Arial" w:hAnsi="Arial" w:cs="Arial" w:hint="eastAsia"/>
          <w:sz w:val="20"/>
          <w:szCs w:val="20"/>
          <w:lang w:eastAsia="zh-CN"/>
        </w:rPr>
        <w:t>没有</w:t>
      </w:r>
      <w:r w:rsidR="00857981">
        <w:rPr>
          <w:rFonts w:ascii="Arial" w:hAnsi="Arial" w:cs="Arial" w:hint="eastAsia"/>
          <w:sz w:val="20"/>
          <w:szCs w:val="20"/>
          <w:lang w:eastAsia="zh-CN"/>
        </w:rPr>
        <w:t>采取尽责行动。法院裁定乌干达投资局没有核查其律师的行为，这最终导致租户被保安部队以欺诈性的土地转让为由暴力驱逐。尤其是，乌干达投资局没有</w:t>
      </w:r>
      <w:r w:rsidR="00480568" w:rsidRPr="002B37B4">
        <w:rPr>
          <w:rFonts w:ascii="Arial" w:hAnsi="Arial" w:cs="Arial"/>
          <w:sz w:val="20"/>
          <w:szCs w:val="20"/>
          <w:lang w:eastAsia="zh-CN"/>
        </w:rPr>
        <w:t xml:space="preserve"> </w:t>
      </w:r>
    </w:p>
    <w:p w14:paraId="570D73C7" w14:textId="77777777" w:rsidR="00480568" w:rsidRPr="002B37B4" w:rsidRDefault="00480568" w:rsidP="00480568">
      <w:pPr>
        <w:spacing w:after="120"/>
        <w:ind w:left="720" w:right="766"/>
        <w:jc w:val="both"/>
        <w:rPr>
          <w:rFonts w:ascii="Arial" w:hAnsi="Arial" w:cs="Arial"/>
          <w:sz w:val="20"/>
          <w:szCs w:val="20"/>
          <w:lang w:eastAsia="zh-CN"/>
        </w:rPr>
      </w:pPr>
      <w:r w:rsidRPr="002B37B4">
        <w:rPr>
          <w:rStyle w:val="BodyText1"/>
          <w:rFonts w:ascii="Arial" w:hAnsi="Arial" w:cs="Arial"/>
          <w:sz w:val="20"/>
          <w:szCs w:val="20"/>
          <w:lang w:eastAsia="zh-CN"/>
        </w:rPr>
        <w:t xml:space="preserve">. . </w:t>
      </w:r>
      <w:proofErr w:type="gramStart"/>
      <w:r w:rsidRPr="002B37B4">
        <w:rPr>
          <w:rStyle w:val="BodyText1"/>
          <w:rFonts w:ascii="Arial" w:hAnsi="Arial" w:cs="Arial"/>
          <w:sz w:val="20"/>
          <w:szCs w:val="20"/>
          <w:lang w:eastAsia="zh-CN"/>
        </w:rPr>
        <w:t>.</w:t>
      </w:r>
      <w:r w:rsidR="001C1F57">
        <w:rPr>
          <w:rStyle w:val="BodyText1"/>
          <w:rFonts w:asciiTheme="minorEastAsia" w:eastAsiaTheme="minorEastAsia" w:hAnsiTheme="minorEastAsia" w:cs="Arial" w:hint="eastAsia"/>
          <w:sz w:val="20"/>
          <w:szCs w:val="20"/>
          <w:lang w:eastAsia="zh-CN"/>
        </w:rPr>
        <w:t>开展尽责</w:t>
      </w:r>
      <w:proofErr w:type="gramEnd"/>
      <w:r w:rsidR="001C1F57">
        <w:rPr>
          <w:rStyle w:val="BodyText1"/>
          <w:rFonts w:asciiTheme="minorEastAsia" w:eastAsiaTheme="minorEastAsia" w:hAnsiTheme="minorEastAsia" w:cs="Arial" w:hint="eastAsia"/>
          <w:sz w:val="20"/>
          <w:szCs w:val="20"/>
          <w:lang w:eastAsia="zh-CN"/>
        </w:rPr>
        <w:t>、监督、核查和制衡工作。稍微慎重的做法本来就足以发现整个交易是可疑的。乌干达投资局没有核查土地的价值和应付的赔偿数额</w:t>
      </w:r>
      <w:r w:rsidR="00C86F49">
        <w:rPr>
          <w:rStyle w:val="BodyText1"/>
          <w:rFonts w:asciiTheme="minorEastAsia" w:eastAsiaTheme="minorEastAsia" w:hAnsiTheme="minorEastAsia" w:cs="Arial" w:hint="eastAsia"/>
          <w:sz w:val="20"/>
          <w:szCs w:val="20"/>
          <w:lang w:eastAsia="zh-CN"/>
        </w:rPr>
        <w:t>，也没有取得签字的赔偿协议和地契及其他文件</w:t>
      </w:r>
      <w:r w:rsidRPr="002B37B4">
        <w:rPr>
          <w:rStyle w:val="BodyText1"/>
          <w:rFonts w:ascii="Arial" w:hAnsi="Arial" w:cs="Arial"/>
          <w:sz w:val="20"/>
          <w:szCs w:val="20"/>
          <w:lang w:eastAsia="zh-CN"/>
        </w:rPr>
        <w:t>. . .</w:t>
      </w:r>
    </w:p>
    <w:p w14:paraId="3A1F8497" w14:textId="77777777" w:rsidR="00480568" w:rsidRPr="002B37B4" w:rsidRDefault="009674F1" w:rsidP="00480568">
      <w:pPr>
        <w:spacing w:after="120"/>
        <w:ind w:left="23" w:right="278"/>
        <w:rPr>
          <w:rFonts w:ascii="Arial" w:hAnsi="Arial" w:cs="Arial"/>
          <w:sz w:val="20"/>
          <w:szCs w:val="20"/>
          <w:lang w:eastAsia="zh-CN"/>
        </w:rPr>
      </w:pPr>
      <w:r>
        <w:rPr>
          <w:rFonts w:ascii="Arial" w:hAnsi="Arial" w:cs="Arial" w:hint="eastAsia"/>
          <w:sz w:val="20"/>
          <w:szCs w:val="20"/>
          <w:lang w:eastAsia="zh-CN"/>
        </w:rPr>
        <w:t>法院认定乌干达投资局雇用的律师负有主要责任，但也严厉批评了</w:t>
      </w:r>
      <w:proofErr w:type="spellStart"/>
      <w:r w:rsidRPr="002B37B4">
        <w:rPr>
          <w:rFonts w:ascii="Arial" w:hAnsi="Arial" w:cs="Arial"/>
          <w:sz w:val="20"/>
          <w:szCs w:val="20"/>
          <w:lang w:eastAsia="zh-CN"/>
        </w:rPr>
        <w:t>Kaweri</w:t>
      </w:r>
      <w:proofErr w:type="spellEnd"/>
      <w:r w:rsidRPr="002B37B4">
        <w:rPr>
          <w:rFonts w:ascii="Arial" w:hAnsi="Arial" w:cs="Arial"/>
          <w:sz w:val="20"/>
          <w:szCs w:val="20"/>
          <w:lang w:eastAsia="zh-CN"/>
        </w:rPr>
        <w:t xml:space="preserve"> </w:t>
      </w:r>
      <w:r>
        <w:rPr>
          <w:rFonts w:ascii="Arial" w:hAnsi="Arial" w:cs="Arial" w:hint="eastAsia"/>
          <w:sz w:val="20"/>
          <w:szCs w:val="20"/>
          <w:lang w:eastAsia="zh-CN"/>
        </w:rPr>
        <w:t>咖啡公司背后的德国投资者的</w:t>
      </w:r>
      <w:r w:rsidR="000E08EF">
        <w:rPr>
          <w:rFonts w:ascii="Arial" w:hAnsi="Arial" w:cs="Arial" w:hint="eastAsia"/>
          <w:sz w:val="20"/>
          <w:szCs w:val="20"/>
          <w:lang w:eastAsia="zh-CN"/>
        </w:rPr>
        <w:t>角色</w:t>
      </w:r>
      <w:r>
        <w:rPr>
          <w:rFonts w:ascii="Arial" w:hAnsi="Arial" w:cs="Arial" w:hint="eastAsia"/>
          <w:sz w:val="20"/>
          <w:szCs w:val="20"/>
          <w:lang w:eastAsia="zh-CN"/>
        </w:rPr>
        <w:t>。法院称：“投资者有义务确保</w:t>
      </w:r>
      <w:r w:rsidR="000E08EF">
        <w:rPr>
          <w:rFonts w:ascii="Arial" w:hAnsi="Arial" w:cs="Arial" w:hint="eastAsia"/>
          <w:sz w:val="20"/>
          <w:szCs w:val="20"/>
          <w:lang w:eastAsia="zh-CN"/>
        </w:rPr>
        <w:t>我们的原住民不受剥削。他们本应尊重人权和人们的价值</w:t>
      </w:r>
      <w:r w:rsidR="000E08EF" w:rsidRPr="002B37B4">
        <w:rPr>
          <w:rStyle w:val="Bodytext6"/>
          <w:rFonts w:ascii="Arial" w:hAnsi="Arial" w:cs="Arial"/>
          <w:sz w:val="20"/>
          <w:szCs w:val="20"/>
          <w:lang w:eastAsia="zh-CN"/>
        </w:rPr>
        <w:t>…</w:t>
      </w:r>
      <w:r w:rsidR="000E08EF" w:rsidRPr="000E08EF">
        <w:rPr>
          <w:rStyle w:val="Bodytext6"/>
          <w:rFonts w:asciiTheme="minorEastAsia" w:eastAsiaTheme="minorEastAsia" w:hAnsiTheme="minorEastAsia" w:cs="Arial" w:hint="eastAsia"/>
          <w:i w:val="0"/>
          <w:sz w:val="20"/>
          <w:szCs w:val="20"/>
          <w:lang w:eastAsia="zh-CN"/>
        </w:rPr>
        <w:t>本应</w:t>
      </w:r>
      <w:r w:rsidR="000E08EF">
        <w:rPr>
          <w:rStyle w:val="Bodytext6"/>
          <w:rFonts w:asciiTheme="minorEastAsia" w:eastAsiaTheme="minorEastAsia" w:hAnsiTheme="minorEastAsia" w:cs="Arial" w:hint="eastAsia"/>
          <w:i w:val="0"/>
          <w:sz w:val="20"/>
          <w:szCs w:val="20"/>
          <w:lang w:eastAsia="zh-CN"/>
        </w:rPr>
        <w:t>确定</w:t>
      </w:r>
      <w:r w:rsidR="000E08EF">
        <w:rPr>
          <w:rFonts w:ascii="Arial" w:hAnsi="Arial" w:cs="Arial" w:hint="eastAsia"/>
          <w:sz w:val="20"/>
          <w:szCs w:val="20"/>
          <w:lang w:eastAsia="zh-CN"/>
        </w:rPr>
        <w:t>租户得到了适当赔偿和搬迁，而且租户得到足够提前的通知。但与此相反，他们是沉默的旁观者</w:t>
      </w:r>
      <w:r w:rsidR="000E08EF" w:rsidRPr="002B37B4">
        <w:rPr>
          <w:rStyle w:val="Bodytext6"/>
          <w:rFonts w:ascii="Arial" w:hAnsi="Arial" w:cs="Arial"/>
          <w:sz w:val="20"/>
          <w:szCs w:val="20"/>
          <w:lang w:eastAsia="zh-CN"/>
        </w:rPr>
        <w:t>….</w:t>
      </w:r>
      <w:r>
        <w:rPr>
          <w:rFonts w:ascii="Arial" w:hAnsi="Arial" w:cs="Arial" w:hint="eastAsia"/>
          <w:sz w:val="20"/>
          <w:szCs w:val="20"/>
          <w:lang w:eastAsia="zh-CN"/>
        </w:rPr>
        <w:t>”</w:t>
      </w:r>
      <w:r w:rsidR="00480568" w:rsidRPr="002B37B4">
        <w:rPr>
          <w:rStyle w:val="Bodytext6"/>
          <w:rFonts w:ascii="Arial" w:hAnsi="Arial" w:cs="Arial"/>
          <w:sz w:val="20"/>
          <w:szCs w:val="20"/>
          <w:lang w:eastAsia="zh-CN"/>
        </w:rPr>
        <w:t xml:space="preserve"> </w:t>
      </w:r>
      <w:r w:rsidR="000E08EF" w:rsidRPr="000E08EF">
        <w:rPr>
          <w:rStyle w:val="Bodytext6"/>
          <w:rFonts w:asciiTheme="minorEastAsia" w:eastAsiaTheme="minorEastAsia" w:hAnsiTheme="minorEastAsia" w:cs="Arial" w:hint="eastAsia"/>
          <w:i w:val="0"/>
          <w:sz w:val="20"/>
          <w:szCs w:val="20"/>
          <w:lang w:eastAsia="zh-CN"/>
        </w:rPr>
        <w:t>该德国公司</w:t>
      </w:r>
      <w:r w:rsidR="000E08EF">
        <w:rPr>
          <w:rStyle w:val="Bodytext6"/>
          <w:rFonts w:asciiTheme="minorEastAsia" w:eastAsiaTheme="minorEastAsia" w:hAnsiTheme="minorEastAsia" w:cs="Arial" w:hint="eastAsia"/>
          <w:i w:val="0"/>
          <w:sz w:val="20"/>
          <w:szCs w:val="20"/>
          <w:lang w:eastAsia="zh-CN"/>
        </w:rPr>
        <w:t>否认了关于他们角色的指称，称这些指称的根据歪曲了事实。</w:t>
      </w:r>
      <w:r w:rsidR="00480568" w:rsidRPr="002B37B4">
        <w:rPr>
          <w:rFonts w:ascii="Arial" w:hAnsi="Arial" w:cs="Arial"/>
          <w:sz w:val="20"/>
          <w:szCs w:val="20"/>
          <w:lang w:eastAsia="zh-CN"/>
        </w:rPr>
        <w:t xml:space="preserve"> </w:t>
      </w:r>
    </w:p>
    <w:p w14:paraId="662E72E3" w14:textId="77777777" w:rsidR="00480568" w:rsidRPr="002B37B4" w:rsidRDefault="00480568" w:rsidP="00480568">
      <w:pPr>
        <w:spacing w:after="120"/>
        <w:rPr>
          <w:rFonts w:ascii="Arial" w:hAnsi="Arial" w:cs="Arial"/>
          <w:sz w:val="20"/>
          <w:szCs w:val="20"/>
          <w:lang w:eastAsia="zh-CN"/>
        </w:rPr>
      </w:pPr>
    </w:p>
    <w:p w14:paraId="1EFA6D19" w14:textId="77777777" w:rsidR="00480568" w:rsidRPr="002B37B4" w:rsidRDefault="00480568" w:rsidP="00480568">
      <w:pPr>
        <w:pStyle w:val="Heading2"/>
        <w:numPr>
          <w:ilvl w:val="0"/>
          <w:numId w:val="4"/>
        </w:numPr>
        <w:rPr>
          <w:rFonts w:ascii="Arial" w:hAnsi="Arial" w:cs="Arial"/>
          <w:sz w:val="20"/>
          <w:szCs w:val="20"/>
        </w:rPr>
      </w:pPr>
      <w:bookmarkStart w:id="7" w:name="_Toc372707269"/>
      <w:r w:rsidRPr="002B37B4">
        <w:rPr>
          <w:rFonts w:ascii="Arial" w:hAnsi="Arial" w:cs="Arial"/>
          <w:sz w:val="20"/>
          <w:szCs w:val="20"/>
          <w:lang w:eastAsia="zh-CN"/>
        </w:rPr>
        <w:t xml:space="preserve"> </w:t>
      </w:r>
      <w:bookmarkStart w:id="8" w:name="_Toc372820015"/>
      <w:r w:rsidR="000E08EF">
        <w:rPr>
          <w:rFonts w:ascii="Arial" w:hAnsi="Arial" w:cs="Arial" w:hint="eastAsia"/>
          <w:sz w:val="20"/>
          <w:szCs w:val="20"/>
          <w:lang w:eastAsia="zh-CN"/>
        </w:rPr>
        <w:t>对尽责的奖励</w:t>
      </w:r>
      <w:bookmarkEnd w:id="7"/>
      <w:bookmarkEnd w:id="8"/>
      <w:r w:rsidRPr="002B37B4">
        <w:rPr>
          <w:rFonts w:ascii="Arial" w:hAnsi="Arial" w:cs="Arial"/>
          <w:sz w:val="20"/>
          <w:szCs w:val="20"/>
        </w:rPr>
        <w:t xml:space="preserve"> </w:t>
      </w:r>
    </w:p>
    <w:p w14:paraId="08380A83" w14:textId="77777777" w:rsidR="00480568" w:rsidRPr="002B37B4" w:rsidRDefault="00E57763"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大多数国家具有规定，通过利用国家作为客户（采购方）、投资者或其他市场行为体的身份，来鼓励或要求企业采取尽责行动。</w:t>
      </w:r>
      <w:r w:rsidR="00944A86">
        <w:rPr>
          <w:rFonts w:asciiTheme="minorEastAsia" w:eastAsiaTheme="minorEastAsia" w:hAnsiTheme="minorEastAsia" w:cs="Arial" w:hint="eastAsia"/>
          <w:sz w:val="20"/>
          <w:szCs w:val="20"/>
          <w:lang w:val="en-US" w:eastAsia="zh-CN"/>
        </w:rPr>
        <w:t>这些做法利用政策和法律来向公司提供奖励和福利，公司则须能够显示其尽责行为。</w:t>
      </w:r>
      <w:r w:rsidR="00480568" w:rsidRPr="002B37B4">
        <w:rPr>
          <w:rFonts w:ascii="Arial" w:hAnsi="Arial" w:cs="Arial"/>
          <w:sz w:val="20"/>
          <w:szCs w:val="20"/>
          <w:lang w:val="en-US"/>
        </w:rPr>
        <w:t xml:space="preserve">  </w:t>
      </w:r>
    </w:p>
    <w:p w14:paraId="68F8006E" w14:textId="77777777" w:rsidR="00480568" w:rsidRPr="002B37B4" w:rsidRDefault="00944A86"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日本、韩国和台湾都有所谓的“绿色采购”规定，例如</w:t>
      </w:r>
      <w:r w:rsidR="00085C10">
        <w:rPr>
          <w:rFonts w:asciiTheme="minorEastAsia" w:eastAsiaTheme="minorEastAsia" w:hAnsiTheme="minorEastAsia" w:cs="Arial" w:hint="eastAsia"/>
          <w:sz w:val="20"/>
          <w:szCs w:val="20"/>
          <w:lang w:val="en-US" w:eastAsia="zh-CN"/>
        </w:rPr>
        <w:t>向那些能证明其环保做法的供应商提供优惠待遇。美国《</w:t>
      </w:r>
      <w:r w:rsidR="00085C10" w:rsidRPr="00085C10">
        <w:rPr>
          <w:rFonts w:asciiTheme="minorEastAsia" w:eastAsiaTheme="minorEastAsia" w:hAnsiTheme="minorEastAsia" w:cs="Arial" w:hint="eastAsia"/>
          <w:sz w:val="20"/>
          <w:szCs w:val="20"/>
          <w:lang w:val="en-US" w:eastAsia="zh-CN"/>
        </w:rPr>
        <w:t>联邦采购条例</w:t>
      </w:r>
      <w:r w:rsidR="00085C10">
        <w:rPr>
          <w:rFonts w:asciiTheme="minorEastAsia" w:eastAsiaTheme="minorEastAsia" w:hAnsiTheme="minorEastAsia" w:cs="Arial" w:hint="eastAsia"/>
          <w:sz w:val="20"/>
          <w:szCs w:val="20"/>
          <w:lang w:val="en-US" w:eastAsia="zh-CN"/>
        </w:rPr>
        <w:t>》</w:t>
      </w:r>
      <w:r w:rsidR="00480568" w:rsidRPr="002B37B4">
        <w:rPr>
          <w:rFonts w:ascii="Arial" w:hAnsi="Arial" w:cs="Arial"/>
          <w:sz w:val="20"/>
          <w:szCs w:val="20"/>
          <w:lang w:val="en-US"/>
        </w:rPr>
        <w:t>(FAR)</w:t>
      </w:r>
      <w:r w:rsidR="00085C10">
        <w:rPr>
          <w:rFonts w:asciiTheme="minorEastAsia" w:eastAsiaTheme="minorEastAsia" w:hAnsiTheme="minorEastAsia" w:cs="Arial" w:hint="eastAsia"/>
          <w:sz w:val="20"/>
          <w:szCs w:val="20"/>
          <w:lang w:val="en-US" w:eastAsia="zh-CN"/>
        </w:rPr>
        <w:t>要求联邦政府的供应商证明，他们在其产品生产国的童工问题上采取了尽责行动。与此类似，美国的《</w:t>
      </w:r>
      <w:r w:rsidR="00085C10" w:rsidRPr="00085C10">
        <w:rPr>
          <w:rFonts w:asciiTheme="minorEastAsia" w:eastAsiaTheme="minorEastAsia" w:hAnsiTheme="minorEastAsia" w:cs="Arial" w:hint="eastAsia"/>
          <w:sz w:val="20"/>
          <w:szCs w:val="20"/>
          <w:lang w:val="en-US" w:eastAsia="zh-CN"/>
        </w:rPr>
        <w:t>戴维斯 - 培根法案</w:t>
      </w:r>
      <w:r w:rsidR="00085C10">
        <w:rPr>
          <w:rFonts w:asciiTheme="minorEastAsia" w:eastAsiaTheme="minorEastAsia" w:hAnsiTheme="minorEastAsia" w:cs="Arial" w:hint="eastAsia"/>
          <w:sz w:val="20"/>
          <w:szCs w:val="20"/>
          <w:lang w:val="en-US" w:eastAsia="zh-CN"/>
        </w:rPr>
        <w:t>》打击联邦建筑合同承包商的社会倾销行为。挪威的国家（全球）养老金基金</w:t>
      </w:r>
      <w:r w:rsidR="00877CFB">
        <w:rPr>
          <w:rFonts w:asciiTheme="minorEastAsia" w:eastAsiaTheme="minorEastAsia" w:hAnsiTheme="minorEastAsia" w:cs="Arial" w:hint="eastAsia"/>
          <w:sz w:val="20"/>
          <w:szCs w:val="20"/>
          <w:lang w:val="en-US" w:eastAsia="zh-CN"/>
        </w:rPr>
        <w:t>被调查是否涉及</w:t>
      </w:r>
      <w:r w:rsidR="00085C10">
        <w:rPr>
          <w:rFonts w:asciiTheme="minorEastAsia" w:eastAsiaTheme="minorEastAsia" w:hAnsiTheme="minorEastAsia" w:cs="Arial" w:hint="eastAsia"/>
          <w:sz w:val="20"/>
          <w:szCs w:val="20"/>
          <w:lang w:val="en-US" w:eastAsia="zh-CN"/>
        </w:rPr>
        <w:t>一系列侵犯人权的行为</w:t>
      </w:r>
      <w:r w:rsidR="00877CFB">
        <w:rPr>
          <w:rFonts w:asciiTheme="minorEastAsia" w:eastAsiaTheme="minorEastAsia" w:hAnsiTheme="minorEastAsia" w:cs="Arial" w:hint="eastAsia"/>
          <w:sz w:val="20"/>
          <w:szCs w:val="20"/>
          <w:lang w:val="en-US" w:eastAsia="zh-CN"/>
        </w:rPr>
        <w:t>，如果一家公司无法显示其采取了适当的尽责行动，就可能被排除在基金的投资名单之外，或受到观察。</w:t>
      </w:r>
      <w:r w:rsidR="00480568" w:rsidRPr="002B37B4">
        <w:rPr>
          <w:rFonts w:ascii="Arial" w:hAnsi="Arial" w:cs="Arial"/>
          <w:sz w:val="20"/>
          <w:szCs w:val="20"/>
          <w:lang w:val="en-US"/>
        </w:rPr>
        <w:t xml:space="preserve">  </w:t>
      </w:r>
    </w:p>
    <w:p w14:paraId="0D3568AF" w14:textId="77777777" w:rsidR="00480568" w:rsidRPr="002B37B4" w:rsidRDefault="00877CFB" w:rsidP="00480568">
      <w:pPr>
        <w:spacing w:after="120"/>
        <w:rPr>
          <w:rFonts w:ascii="Arial" w:eastAsia="Times New Roman" w:hAnsi="Arial" w:cs="Arial"/>
          <w:sz w:val="20"/>
          <w:szCs w:val="20"/>
          <w:shd w:val="clear" w:color="auto" w:fill="FFFFFF"/>
          <w:lang w:eastAsia="zh-CN"/>
        </w:rPr>
      </w:pPr>
      <w:r>
        <w:rPr>
          <w:rFonts w:ascii="Arial" w:hAnsi="Arial" w:cs="Arial" w:hint="eastAsia"/>
          <w:sz w:val="20"/>
          <w:szCs w:val="20"/>
          <w:lang w:val="en-US" w:eastAsia="zh-CN"/>
        </w:rPr>
        <w:t>欧盟</w:t>
      </w:r>
      <w:r w:rsidR="00E63E72">
        <w:rPr>
          <w:rFonts w:ascii="Arial" w:hAnsi="Arial" w:cs="Arial" w:hint="eastAsia"/>
          <w:sz w:val="20"/>
          <w:szCs w:val="20"/>
          <w:lang w:val="en-US" w:eastAsia="zh-CN"/>
        </w:rPr>
        <w:t>在</w:t>
      </w:r>
      <w:r w:rsidR="00E63E72">
        <w:rPr>
          <w:rFonts w:ascii="Arial" w:hAnsi="Arial" w:cs="Arial" w:hint="eastAsia"/>
          <w:sz w:val="20"/>
          <w:szCs w:val="20"/>
          <w:lang w:val="en-US" w:eastAsia="zh-CN"/>
        </w:rPr>
        <w:t>2013</w:t>
      </w:r>
      <w:r w:rsidR="00E63E72">
        <w:rPr>
          <w:rFonts w:ascii="Arial" w:hAnsi="Arial" w:cs="Arial" w:hint="eastAsia"/>
          <w:sz w:val="20"/>
          <w:szCs w:val="20"/>
          <w:lang w:val="en-US" w:eastAsia="zh-CN"/>
        </w:rPr>
        <w:t>年采取步骤，使以色列定居点生产的产品</w:t>
      </w:r>
      <w:r w:rsidR="00891EC6">
        <w:rPr>
          <w:rFonts w:ascii="Arial" w:hAnsi="Arial" w:cs="Arial" w:hint="eastAsia"/>
          <w:sz w:val="20"/>
          <w:szCs w:val="20"/>
          <w:lang w:val="en-US" w:eastAsia="zh-CN"/>
        </w:rPr>
        <w:t>能够受到尽责行动</w:t>
      </w:r>
      <w:r w:rsidR="00E63E72">
        <w:rPr>
          <w:rFonts w:ascii="Arial" w:hAnsi="Arial" w:cs="Arial" w:hint="eastAsia"/>
          <w:sz w:val="20"/>
          <w:szCs w:val="20"/>
          <w:lang w:val="en-US" w:eastAsia="zh-CN"/>
        </w:rPr>
        <w:t>。欧盟外交事务高级代表</w:t>
      </w:r>
      <w:r w:rsidR="00E63E72" w:rsidRPr="00E63E72">
        <w:rPr>
          <w:rFonts w:ascii="Arial" w:hAnsi="Arial" w:cs="Arial" w:hint="eastAsia"/>
          <w:sz w:val="20"/>
          <w:szCs w:val="20"/>
          <w:lang w:val="en-US" w:eastAsia="zh-CN"/>
        </w:rPr>
        <w:t>凯瑟琳·阿什顿</w:t>
      </w:r>
      <w:r w:rsidR="00E63E72">
        <w:rPr>
          <w:rFonts w:ascii="Arial" w:hAnsi="Arial" w:cs="Arial" w:hint="eastAsia"/>
          <w:sz w:val="20"/>
          <w:szCs w:val="20"/>
          <w:lang w:val="en-US" w:eastAsia="zh-CN"/>
        </w:rPr>
        <w:t>致函</w:t>
      </w:r>
      <w:r w:rsidR="00E63E72" w:rsidRPr="00E63E72">
        <w:rPr>
          <w:rFonts w:ascii="Arial" w:hAnsi="Arial" w:cs="Arial" w:hint="eastAsia"/>
          <w:sz w:val="20"/>
          <w:szCs w:val="20"/>
          <w:lang w:val="en-US" w:eastAsia="zh-CN"/>
        </w:rPr>
        <w:t>欧盟委员会</w:t>
      </w:r>
      <w:r w:rsidR="00E63E72">
        <w:rPr>
          <w:rFonts w:ascii="Arial" w:hAnsi="Arial" w:cs="Arial" w:hint="eastAsia"/>
          <w:sz w:val="20"/>
          <w:szCs w:val="20"/>
          <w:lang w:val="en-US" w:eastAsia="zh-CN"/>
        </w:rPr>
        <w:t>的高级官员，指示他们采取一切必要的法律和行政步骤，来确保巴勒斯坦</w:t>
      </w:r>
      <w:r w:rsidR="00076A09" w:rsidRPr="005B6D61">
        <w:rPr>
          <w:rFonts w:ascii="PMingLiU" w:hAnsi="PMingLiU" w:cs="Arial" w:hint="eastAsia"/>
          <w:sz w:val="20"/>
          <w:szCs w:val="20"/>
          <w:lang w:val="en-US" w:eastAsia="zh-CN"/>
        </w:rPr>
        <w:t>占</w:t>
      </w:r>
      <w:r w:rsidR="00E63E72">
        <w:rPr>
          <w:rFonts w:ascii="Arial" w:hAnsi="Arial" w:cs="Arial" w:hint="eastAsia"/>
          <w:sz w:val="20"/>
          <w:szCs w:val="20"/>
          <w:lang w:val="en-US" w:eastAsia="zh-CN"/>
        </w:rPr>
        <w:t>领土上以色列定居点的产品上标明来源地。</w:t>
      </w:r>
      <w:r w:rsidR="00891EC6">
        <w:rPr>
          <w:rFonts w:ascii="Arial" w:hAnsi="Arial" w:cs="Arial" w:hint="eastAsia"/>
          <w:sz w:val="20"/>
          <w:szCs w:val="20"/>
          <w:lang w:val="en-US" w:eastAsia="zh-CN"/>
        </w:rPr>
        <w:t>她在信中确认，欧盟的立场是反对修建以色列定居点，因而需防止出现以色列定居点产品</w:t>
      </w:r>
      <w:r w:rsidR="000A0B4F">
        <w:rPr>
          <w:rFonts w:ascii="Arial" w:hAnsi="Arial" w:cs="Arial" w:hint="eastAsia"/>
          <w:sz w:val="20"/>
          <w:szCs w:val="20"/>
          <w:lang w:val="en-US" w:eastAsia="zh-CN"/>
        </w:rPr>
        <w:t>可能</w:t>
      </w:r>
      <w:r w:rsidR="00891EC6">
        <w:rPr>
          <w:rFonts w:ascii="Arial" w:hAnsi="Arial" w:cs="Arial" w:hint="eastAsia"/>
          <w:sz w:val="20"/>
          <w:szCs w:val="20"/>
          <w:lang w:val="en-US" w:eastAsia="zh-CN"/>
        </w:rPr>
        <w:t>作为以色列产品出口到欧盟的情况。欧盟</w:t>
      </w:r>
      <w:r w:rsidR="00500864">
        <w:rPr>
          <w:rFonts w:ascii="Arial" w:hAnsi="Arial" w:cs="Arial" w:hint="eastAsia"/>
          <w:sz w:val="20"/>
          <w:szCs w:val="20"/>
          <w:lang w:val="en-US" w:eastAsia="zh-CN"/>
        </w:rPr>
        <w:t>已存在允许国家要求此类标示的法律。在阿什顿采取该行动前，</w:t>
      </w:r>
      <w:r w:rsidR="00500864">
        <w:rPr>
          <w:rFonts w:asciiTheme="minorEastAsia" w:eastAsiaTheme="minorEastAsia" w:hAnsiTheme="minorEastAsia" w:cs="Arial" w:hint="eastAsia"/>
          <w:sz w:val="20"/>
          <w:szCs w:val="20"/>
          <w:shd w:val="clear" w:color="auto" w:fill="FFFFFF"/>
          <w:lang w:eastAsia="zh-CN"/>
        </w:rPr>
        <w:t>13名欧盟国家的外交部长</w:t>
      </w:r>
      <w:r w:rsidR="007F7DB4">
        <w:rPr>
          <w:rFonts w:asciiTheme="minorEastAsia" w:eastAsiaTheme="minorEastAsia" w:hAnsiTheme="minorEastAsia" w:cs="Arial" w:hint="eastAsia"/>
          <w:sz w:val="20"/>
          <w:szCs w:val="20"/>
          <w:shd w:val="clear" w:color="auto" w:fill="FFFFFF"/>
          <w:lang w:eastAsia="zh-CN"/>
        </w:rPr>
        <w:t>在2013年4月向她致函，表示在欧盟国家进口及在欧洲市场销售的以色列定居点产品的商标要求</w:t>
      </w:r>
      <w:r w:rsidR="000A0B4F">
        <w:rPr>
          <w:rFonts w:asciiTheme="minorEastAsia" w:eastAsiaTheme="minorEastAsia" w:hAnsiTheme="minorEastAsia" w:cs="Arial" w:hint="eastAsia"/>
          <w:sz w:val="20"/>
          <w:szCs w:val="20"/>
          <w:shd w:val="clear" w:color="auto" w:fill="FFFFFF"/>
          <w:lang w:eastAsia="zh-CN"/>
        </w:rPr>
        <w:t>问题上</w:t>
      </w:r>
      <w:r w:rsidR="007F7DB4">
        <w:rPr>
          <w:rFonts w:asciiTheme="minorEastAsia" w:eastAsiaTheme="minorEastAsia" w:hAnsiTheme="minorEastAsia" w:cs="Arial" w:hint="eastAsia"/>
          <w:sz w:val="20"/>
          <w:szCs w:val="20"/>
          <w:shd w:val="clear" w:color="auto" w:fill="FFFFFF"/>
          <w:lang w:eastAsia="zh-CN"/>
        </w:rPr>
        <w:t>，支持她为所有欧盟国家正式制定</w:t>
      </w:r>
      <w:r w:rsidR="000A0B4F">
        <w:rPr>
          <w:rFonts w:asciiTheme="minorEastAsia" w:eastAsiaTheme="minorEastAsia" w:hAnsiTheme="minorEastAsia" w:cs="Arial" w:hint="eastAsia"/>
          <w:sz w:val="20"/>
          <w:szCs w:val="20"/>
          <w:shd w:val="clear" w:color="auto" w:fill="FFFFFF"/>
          <w:lang w:eastAsia="zh-CN"/>
        </w:rPr>
        <w:t>指导方针的努力。</w:t>
      </w:r>
      <w:r w:rsidR="00480568" w:rsidRPr="002B37B4">
        <w:rPr>
          <w:rFonts w:ascii="Arial" w:eastAsia="Times New Roman" w:hAnsi="Arial" w:cs="Arial"/>
          <w:sz w:val="20"/>
          <w:szCs w:val="20"/>
          <w:shd w:val="clear" w:color="auto" w:fill="FFFFFF"/>
          <w:lang w:eastAsia="zh-CN"/>
        </w:rPr>
        <w:t xml:space="preserve">   </w:t>
      </w:r>
    </w:p>
    <w:p w14:paraId="54FDCA8E" w14:textId="77777777" w:rsidR="00480568" w:rsidRPr="002B37B4" w:rsidRDefault="000A0B4F" w:rsidP="00480568">
      <w:pPr>
        <w:spacing w:after="120"/>
        <w:rPr>
          <w:rFonts w:ascii="Arial" w:hAnsi="Arial" w:cs="Arial"/>
          <w:sz w:val="20"/>
          <w:szCs w:val="20"/>
          <w:lang w:eastAsia="zh-CN"/>
        </w:rPr>
      </w:pPr>
      <w:r>
        <w:rPr>
          <w:rFonts w:asciiTheme="minorEastAsia" w:eastAsiaTheme="minorEastAsia" w:hAnsiTheme="minorEastAsia" w:cs="Arial" w:hint="eastAsia"/>
          <w:sz w:val="20"/>
          <w:szCs w:val="20"/>
          <w:shd w:val="clear" w:color="auto" w:fill="FFFFFF"/>
          <w:lang w:eastAsia="zh-CN"/>
        </w:rPr>
        <w:t>欧盟还在2013年采取行动，</w:t>
      </w:r>
      <w:r w:rsidR="0084467E">
        <w:rPr>
          <w:rFonts w:asciiTheme="minorEastAsia" w:eastAsiaTheme="minorEastAsia" w:hAnsiTheme="minorEastAsia" w:cs="Arial" w:hint="eastAsia"/>
          <w:sz w:val="20"/>
          <w:szCs w:val="20"/>
          <w:shd w:val="clear" w:color="auto" w:fill="FFFFFF"/>
          <w:lang w:eastAsia="zh-CN"/>
        </w:rPr>
        <w:t>调整了针对在以色列经营的企业的奖励结构，旨在确保欧盟资金不会流入以色列定居点。欧盟下发一项指令，将以色列定居点排除在欧盟金融捐款名单之外。为确保欧盟按照国际法所持的立场和承诺得到尊重，所有在被占领土上居住或经营的以色列实体，都没有资格得到欧盟出资的“补助、奖金、</w:t>
      </w:r>
      <w:r w:rsidR="0084467E" w:rsidRPr="0084467E">
        <w:rPr>
          <w:rFonts w:asciiTheme="minorEastAsia" w:eastAsiaTheme="minorEastAsia" w:hAnsiTheme="minorEastAsia" w:cs="Arial" w:hint="eastAsia"/>
          <w:sz w:val="20"/>
          <w:szCs w:val="20"/>
          <w:shd w:val="clear" w:color="auto" w:fill="FFFFFF"/>
          <w:lang w:eastAsia="zh-CN"/>
        </w:rPr>
        <w:t>[或]金融工具</w:t>
      </w:r>
      <w:r w:rsidR="0084467E">
        <w:rPr>
          <w:rFonts w:asciiTheme="minorEastAsia" w:eastAsiaTheme="minorEastAsia" w:hAnsiTheme="minorEastAsia" w:cs="Arial" w:hint="eastAsia"/>
          <w:sz w:val="20"/>
          <w:szCs w:val="20"/>
          <w:shd w:val="clear" w:color="auto" w:fill="FFFFFF"/>
          <w:lang w:eastAsia="zh-CN"/>
        </w:rPr>
        <w:t>”。这些指导方针适用于任何</w:t>
      </w:r>
      <w:r w:rsidR="008606EB">
        <w:rPr>
          <w:rFonts w:asciiTheme="minorEastAsia" w:eastAsiaTheme="minorEastAsia" w:hAnsiTheme="minorEastAsia" w:cs="Arial" w:hint="eastAsia"/>
          <w:sz w:val="20"/>
          <w:szCs w:val="20"/>
          <w:shd w:val="clear" w:color="auto" w:fill="FFFFFF"/>
          <w:lang w:eastAsia="zh-CN"/>
        </w:rPr>
        <w:t>成立或经营地点</w:t>
      </w:r>
      <w:r w:rsidR="00F43B90">
        <w:rPr>
          <w:rFonts w:asciiTheme="minorEastAsia" w:eastAsiaTheme="minorEastAsia" w:hAnsiTheme="minorEastAsia" w:cs="Arial" w:hint="eastAsia"/>
          <w:sz w:val="20"/>
          <w:szCs w:val="20"/>
          <w:shd w:val="clear" w:color="auto" w:fill="FFFFFF"/>
          <w:lang w:eastAsia="zh-CN"/>
        </w:rPr>
        <w:t>全部或部分位于被占领土的</w:t>
      </w:r>
      <w:r w:rsidR="0084467E">
        <w:rPr>
          <w:rFonts w:asciiTheme="minorEastAsia" w:eastAsiaTheme="minorEastAsia" w:hAnsiTheme="minorEastAsia" w:cs="Arial" w:hint="eastAsia"/>
          <w:sz w:val="20"/>
          <w:szCs w:val="20"/>
          <w:shd w:val="clear" w:color="auto" w:fill="FFFFFF"/>
          <w:lang w:eastAsia="zh-CN"/>
        </w:rPr>
        <w:t>以色列公营或私营公司</w:t>
      </w:r>
      <w:r w:rsidR="00F43B90">
        <w:rPr>
          <w:rFonts w:asciiTheme="minorEastAsia" w:eastAsiaTheme="minorEastAsia" w:hAnsiTheme="minorEastAsia" w:cs="Arial" w:hint="eastAsia"/>
          <w:sz w:val="20"/>
          <w:szCs w:val="20"/>
          <w:shd w:val="clear" w:color="auto" w:fill="FFFFFF"/>
          <w:lang w:eastAsia="zh-CN"/>
        </w:rPr>
        <w:t>和</w:t>
      </w:r>
      <w:r w:rsidR="0084467E">
        <w:rPr>
          <w:rFonts w:asciiTheme="minorEastAsia" w:eastAsiaTheme="minorEastAsia" w:hAnsiTheme="minorEastAsia" w:cs="Arial" w:hint="eastAsia"/>
          <w:sz w:val="20"/>
          <w:szCs w:val="20"/>
          <w:shd w:val="clear" w:color="auto" w:fill="FFFFFF"/>
          <w:lang w:eastAsia="zh-CN"/>
        </w:rPr>
        <w:t>非政府组织</w:t>
      </w:r>
      <w:r w:rsidR="00F43B90">
        <w:rPr>
          <w:rFonts w:asciiTheme="minorEastAsia" w:eastAsiaTheme="minorEastAsia" w:hAnsiTheme="minorEastAsia" w:cs="Arial" w:hint="eastAsia"/>
          <w:sz w:val="20"/>
          <w:szCs w:val="20"/>
          <w:shd w:val="clear" w:color="auto" w:fill="FFFFFF"/>
          <w:lang w:eastAsia="zh-CN"/>
        </w:rPr>
        <w:t>，包括非赢利组织。为取得同意，指导方针要求以色列实体在</w:t>
      </w:r>
      <w:r w:rsidR="00F43B90">
        <w:rPr>
          <w:rFonts w:asciiTheme="minorEastAsia" w:eastAsiaTheme="minorEastAsia" w:hAnsiTheme="minorEastAsia" w:cs="Arial" w:hint="eastAsia"/>
          <w:sz w:val="20"/>
          <w:szCs w:val="20"/>
          <w:shd w:val="clear" w:color="auto" w:fill="FFFFFF"/>
          <w:lang w:eastAsia="zh-CN"/>
        </w:rPr>
        <w:lastRenderedPageBreak/>
        <w:t>申请补助、奖金或金融工具时，声明他们根据上述要求有资格进行申请。如果声明中的信息不实，就可被认为是严重作假，该实体就可能</w:t>
      </w:r>
      <w:r w:rsidR="007E54FB" w:rsidRPr="005B6D61">
        <w:rPr>
          <w:rFonts w:asciiTheme="minorEastAsia" w:hAnsiTheme="minorEastAsia" w:cs="Arial" w:hint="eastAsia"/>
          <w:sz w:val="20"/>
          <w:szCs w:val="20"/>
          <w:shd w:val="clear" w:color="auto" w:fill="FFFFFF"/>
          <w:lang w:eastAsia="zh-CN"/>
        </w:rPr>
        <w:t>被</w:t>
      </w:r>
      <w:r w:rsidR="00F43B90">
        <w:rPr>
          <w:rFonts w:asciiTheme="minorEastAsia" w:eastAsiaTheme="minorEastAsia" w:hAnsiTheme="minorEastAsia" w:cs="Arial" w:hint="eastAsia"/>
          <w:sz w:val="20"/>
          <w:szCs w:val="20"/>
          <w:shd w:val="clear" w:color="auto" w:fill="FFFFFF"/>
          <w:lang w:eastAsia="zh-CN"/>
        </w:rPr>
        <w:t>排除，或者补助被取消。</w:t>
      </w:r>
      <w:r w:rsidR="00480568" w:rsidRPr="002B37B4">
        <w:rPr>
          <w:rFonts w:ascii="Arial" w:hAnsi="Arial" w:cs="Arial"/>
          <w:sz w:val="20"/>
          <w:szCs w:val="20"/>
          <w:lang w:eastAsia="zh-CN"/>
        </w:rPr>
        <w:t xml:space="preserve"> </w:t>
      </w:r>
    </w:p>
    <w:p w14:paraId="27508048" w14:textId="77777777" w:rsidR="00480568" w:rsidRPr="002B37B4" w:rsidRDefault="003D516D" w:rsidP="00480568">
      <w:pPr>
        <w:spacing w:after="0"/>
        <w:rPr>
          <w:rFonts w:ascii="Arial" w:hAnsi="Arial" w:cs="Arial"/>
          <w:sz w:val="20"/>
          <w:szCs w:val="20"/>
          <w:lang w:val="en-US" w:eastAsia="zh-CN"/>
        </w:rPr>
      </w:pPr>
      <w:r>
        <w:rPr>
          <w:rFonts w:ascii="Arial" w:hAnsi="Arial" w:cs="Arial" w:hint="eastAsia"/>
          <w:sz w:val="20"/>
          <w:szCs w:val="20"/>
          <w:lang w:val="en-US" w:eastAsia="zh-CN"/>
        </w:rPr>
        <w:t>挪威的</w:t>
      </w:r>
      <w:r w:rsidR="00296DDE">
        <w:rPr>
          <w:rFonts w:ascii="Arial" w:hAnsi="Arial" w:cs="Arial" w:hint="eastAsia"/>
          <w:sz w:val="20"/>
          <w:szCs w:val="20"/>
          <w:lang w:val="en-US" w:eastAsia="zh-CN"/>
        </w:rPr>
        <w:t>出口信贷机构</w:t>
      </w:r>
      <w:r w:rsidR="00480568" w:rsidRPr="002B37B4">
        <w:rPr>
          <w:rFonts w:ascii="Arial" w:hAnsi="Arial" w:cs="Arial"/>
          <w:sz w:val="20"/>
          <w:szCs w:val="20"/>
          <w:lang w:val="en-US" w:eastAsia="zh-CN"/>
        </w:rPr>
        <w:t>GIEK</w:t>
      </w:r>
      <w:r w:rsidR="00296DDE">
        <w:rPr>
          <w:rFonts w:ascii="Arial" w:hAnsi="Arial" w:cs="Arial" w:hint="eastAsia"/>
          <w:sz w:val="20"/>
          <w:szCs w:val="20"/>
          <w:lang w:val="en-US" w:eastAsia="zh-CN"/>
        </w:rPr>
        <w:t>在</w:t>
      </w:r>
      <w:r w:rsidR="00296DDE">
        <w:rPr>
          <w:rFonts w:ascii="Arial" w:hAnsi="Arial" w:cs="Arial" w:hint="eastAsia"/>
          <w:sz w:val="20"/>
          <w:szCs w:val="20"/>
          <w:lang w:val="en-US" w:eastAsia="zh-CN"/>
        </w:rPr>
        <w:t>2013</w:t>
      </w:r>
      <w:r w:rsidR="00296DDE">
        <w:rPr>
          <w:rFonts w:ascii="Arial" w:hAnsi="Arial" w:cs="Arial" w:hint="eastAsia"/>
          <w:sz w:val="20"/>
          <w:szCs w:val="20"/>
          <w:lang w:val="en-US" w:eastAsia="zh-CN"/>
        </w:rPr>
        <w:t>年修改了对其客户的社会和环境要求方面的政策和程序，以</w:t>
      </w:r>
      <w:r w:rsidR="008906E5">
        <w:rPr>
          <w:rFonts w:ascii="Arial" w:hAnsi="Arial" w:cs="Arial" w:hint="eastAsia"/>
          <w:sz w:val="20"/>
          <w:szCs w:val="20"/>
          <w:lang w:val="en-US" w:eastAsia="zh-CN"/>
        </w:rPr>
        <w:t>符合最新的《</w:t>
      </w:r>
      <w:r w:rsidR="00296DDE">
        <w:rPr>
          <w:rFonts w:ascii="Arial" w:hAnsi="Arial" w:cs="Arial" w:hint="eastAsia"/>
          <w:sz w:val="20"/>
          <w:szCs w:val="20"/>
          <w:lang w:val="en-US" w:eastAsia="zh-CN"/>
        </w:rPr>
        <w:t>经合组织</w:t>
      </w:r>
      <w:r w:rsidR="008906E5">
        <w:rPr>
          <w:rFonts w:ascii="Arial" w:hAnsi="Arial" w:cs="Arial" w:hint="eastAsia"/>
          <w:sz w:val="20"/>
          <w:szCs w:val="20"/>
          <w:lang w:val="en-US" w:eastAsia="zh-CN"/>
        </w:rPr>
        <w:t>通用做法》（</w:t>
      </w:r>
      <w:r w:rsidR="008906E5">
        <w:rPr>
          <w:rFonts w:ascii="Arial" w:hAnsi="Arial" w:cs="Arial" w:hint="eastAsia"/>
          <w:sz w:val="20"/>
          <w:szCs w:val="20"/>
          <w:lang w:val="en-US" w:eastAsia="zh-CN"/>
        </w:rPr>
        <w:t>2012</w:t>
      </w:r>
      <w:r w:rsidR="008906E5">
        <w:rPr>
          <w:rFonts w:ascii="Arial" w:hAnsi="Arial" w:cs="Arial" w:hint="eastAsia"/>
          <w:sz w:val="20"/>
          <w:szCs w:val="20"/>
          <w:lang w:val="en-US" w:eastAsia="zh-CN"/>
        </w:rPr>
        <w:t>）和联合国的指导原则。</w:t>
      </w:r>
      <w:r w:rsidR="00480568" w:rsidRPr="002B37B4">
        <w:rPr>
          <w:rFonts w:ascii="Arial" w:hAnsi="Arial" w:cs="Arial"/>
          <w:sz w:val="20"/>
          <w:szCs w:val="20"/>
          <w:lang w:val="en-US" w:eastAsia="zh-CN"/>
        </w:rPr>
        <w:t>GIEK</w:t>
      </w:r>
      <w:r w:rsidR="008906E5">
        <w:rPr>
          <w:rFonts w:ascii="Arial" w:hAnsi="Arial" w:cs="Arial" w:hint="eastAsia"/>
          <w:sz w:val="20"/>
          <w:szCs w:val="20"/>
          <w:lang w:val="en-US" w:eastAsia="zh-CN"/>
        </w:rPr>
        <w:t>的新政策超出了经合组织的最低要求，涵盖</w:t>
      </w:r>
      <w:r w:rsidR="00480568" w:rsidRPr="002B37B4">
        <w:rPr>
          <w:rFonts w:ascii="Arial" w:hAnsi="Arial" w:cs="Arial"/>
          <w:sz w:val="20"/>
          <w:szCs w:val="20"/>
          <w:lang w:val="en-US" w:eastAsia="zh-CN"/>
        </w:rPr>
        <w:t>GIEK</w:t>
      </w:r>
      <w:r w:rsidR="008906E5">
        <w:rPr>
          <w:rFonts w:ascii="Arial" w:hAnsi="Arial" w:cs="Arial" w:hint="eastAsia"/>
          <w:sz w:val="20"/>
          <w:szCs w:val="20"/>
          <w:lang w:val="en-US" w:eastAsia="zh-CN"/>
        </w:rPr>
        <w:t>的所有交易，包括移动单位（船只）、低于</w:t>
      </w:r>
      <w:r w:rsidR="008906E5">
        <w:rPr>
          <w:rFonts w:ascii="Arial" w:hAnsi="Arial" w:cs="Arial" w:hint="eastAsia"/>
          <w:sz w:val="20"/>
          <w:szCs w:val="20"/>
          <w:lang w:val="en-US" w:eastAsia="zh-CN"/>
        </w:rPr>
        <w:t>1</w:t>
      </w:r>
      <w:r w:rsidR="008906E5">
        <w:rPr>
          <w:rFonts w:ascii="Arial" w:hAnsi="Arial" w:cs="Arial" w:hint="eastAsia"/>
          <w:sz w:val="20"/>
          <w:szCs w:val="20"/>
          <w:lang w:val="en-US" w:eastAsia="zh-CN"/>
        </w:rPr>
        <w:t>千万特别提款权的项目和短期交易。实际上，</w:t>
      </w:r>
      <w:r w:rsidR="008906E5">
        <w:rPr>
          <w:rFonts w:ascii="Arial" w:hAnsi="Arial" w:cs="Arial"/>
          <w:sz w:val="20"/>
          <w:szCs w:val="20"/>
          <w:lang w:val="en-US" w:eastAsia="zh-CN"/>
        </w:rPr>
        <w:t xml:space="preserve"> </w:t>
      </w:r>
      <w:r w:rsidR="00480568" w:rsidRPr="002B37B4">
        <w:rPr>
          <w:rFonts w:ascii="Arial" w:hAnsi="Arial" w:cs="Arial"/>
          <w:sz w:val="20"/>
          <w:szCs w:val="20"/>
          <w:lang w:val="en-US" w:eastAsia="zh-CN"/>
        </w:rPr>
        <w:t>GIEK</w:t>
      </w:r>
      <w:r w:rsidR="0015461F">
        <w:rPr>
          <w:rFonts w:ascii="Arial" w:hAnsi="Arial" w:cs="Arial" w:hint="eastAsia"/>
          <w:sz w:val="20"/>
          <w:szCs w:val="20"/>
          <w:lang w:val="en-US" w:eastAsia="zh-CN"/>
        </w:rPr>
        <w:t>大量采用了</w:t>
      </w:r>
      <w:r w:rsidR="008906E5">
        <w:rPr>
          <w:rFonts w:ascii="Arial" w:hAnsi="Arial" w:cs="Arial" w:hint="eastAsia"/>
          <w:sz w:val="20"/>
          <w:szCs w:val="20"/>
          <w:lang w:val="en-US" w:eastAsia="zh-CN"/>
        </w:rPr>
        <w:t>《</w:t>
      </w:r>
      <w:r w:rsidR="0015461F">
        <w:rPr>
          <w:rFonts w:ascii="Arial" w:hAnsi="Arial" w:cs="Arial" w:hint="eastAsia"/>
          <w:sz w:val="20"/>
          <w:szCs w:val="20"/>
          <w:lang w:val="en-US" w:eastAsia="zh-CN"/>
        </w:rPr>
        <w:t>国际金融公司绩效标准</w:t>
      </w:r>
      <w:r w:rsidR="008906E5">
        <w:rPr>
          <w:rFonts w:ascii="Arial" w:hAnsi="Arial" w:cs="Arial" w:hint="eastAsia"/>
          <w:sz w:val="20"/>
          <w:szCs w:val="20"/>
          <w:lang w:val="en-US" w:eastAsia="zh-CN"/>
        </w:rPr>
        <w:t>》</w:t>
      </w:r>
      <w:r w:rsidR="0015461F">
        <w:rPr>
          <w:rFonts w:ascii="Arial" w:hAnsi="Arial" w:cs="Arial" w:hint="eastAsia"/>
          <w:sz w:val="20"/>
          <w:szCs w:val="20"/>
          <w:lang w:val="en-US" w:eastAsia="zh-CN"/>
        </w:rPr>
        <w:t>的要求，并使用了一套问卷，出口信贷或保险申请者必须填写问卷。</w:t>
      </w:r>
      <w:r w:rsidR="00560816">
        <w:rPr>
          <w:rFonts w:ascii="Arial" w:hAnsi="Arial" w:cs="Arial" w:hint="eastAsia"/>
          <w:sz w:val="20"/>
          <w:szCs w:val="20"/>
          <w:lang w:val="en-US" w:eastAsia="zh-CN"/>
        </w:rPr>
        <w:t>这些构成了</w:t>
      </w:r>
      <w:r w:rsidR="00480568" w:rsidRPr="002B37B4">
        <w:rPr>
          <w:rFonts w:ascii="Arial" w:hAnsi="Arial" w:cs="Arial"/>
          <w:sz w:val="20"/>
          <w:szCs w:val="20"/>
          <w:lang w:val="en-US" w:eastAsia="zh-CN"/>
        </w:rPr>
        <w:t>GIEK</w:t>
      </w:r>
      <w:r w:rsidR="00560816">
        <w:rPr>
          <w:rFonts w:ascii="Arial" w:hAnsi="Arial" w:cs="Arial" w:hint="eastAsia"/>
          <w:sz w:val="20"/>
          <w:szCs w:val="20"/>
          <w:lang w:val="en-US" w:eastAsia="zh-CN"/>
        </w:rPr>
        <w:t>与一家公司接触的基础，也是</w:t>
      </w:r>
      <w:r w:rsidR="00480568" w:rsidRPr="002B37B4">
        <w:rPr>
          <w:rFonts w:ascii="Arial" w:hAnsi="Arial" w:cs="Arial"/>
          <w:sz w:val="20"/>
          <w:szCs w:val="20"/>
          <w:lang w:val="en-US" w:eastAsia="zh-CN"/>
        </w:rPr>
        <w:t>GIEK</w:t>
      </w:r>
      <w:r w:rsidR="00560816">
        <w:rPr>
          <w:rFonts w:ascii="Arial" w:hAnsi="Arial" w:cs="Arial" w:hint="eastAsia"/>
          <w:sz w:val="20"/>
          <w:szCs w:val="20"/>
          <w:lang w:val="en-US" w:eastAsia="zh-CN"/>
        </w:rPr>
        <w:t>自身在潜在的社会（人权）和环境影响方面的尽责行动。除此之外，</w:t>
      </w:r>
      <w:r w:rsidR="00480568" w:rsidRPr="002B37B4">
        <w:rPr>
          <w:rFonts w:ascii="Arial" w:hAnsi="Arial" w:cs="Arial"/>
          <w:sz w:val="20"/>
          <w:szCs w:val="20"/>
          <w:lang w:val="en-US" w:eastAsia="zh-CN"/>
        </w:rPr>
        <w:t xml:space="preserve">GIEK </w:t>
      </w:r>
      <w:r w:rsidR="00560816">
        <w:rPr>
          <w:rFonts w:ascii="Arial" w:hAnsi="Arial" w:cs="Arial" w:hint="eastAsia"/>
          <w:sz w:val="20"/>
          <w:szCs w:val="20"/>
          <w:lang w:val="en-US" w:eastAsia="zh-CN"/>
        </w:rPr>
        <w:t>还采取多种措施来确认其交易中的风险，包括走访现场，利用独立的第三方专家顾问的服务，以及使用网上的</w:t>
      </w:r>
      <w:r w:rsidR="00560816" w:rsidRPr="00560816">
        <w:rPr>
          <w:rFonts w:ascii="Arial" w:hAnsi="Arial" w:cs="Arial" w:hint="eastAsia"/>
          <w:sz w:val="20"/>
          <w:szCs w:val="20"/>
          <w:lang w:val="en-US" w:eastAsia="zh-CN"/>
        </w:rPr>
        <w:t>数据筛选工具</w:t>
      </w:r>
      <w:r w:rsidR="00560816">
        <w:rPr>
          <w:rFonts w:ascii="Arial" w:hAnsi="Arial" w:cs="Arial" w:hint="eastAsia"/>
          <w:sz w:val="20"/>
          <w:szCs w:val="20"/>
          <w:lang w:val="en-US" w:eastAsia="zh-CN"/>
        </w:rPr>
        <w:t>。</w:t>
      </w:r>
      <w:r w:rsidR="00480568" w:rsidRPr="002B37B4">
        <w:rPr>
          <w:rFonts w:ascii="Arial" w:hAnsi="Arial" w:cs="Arial"/>
          <w:sz w:val="20"/>
          <w:szCs w:val="20"/>
          <w:lang w:val="en-US" w:eastAsia="zh-CN"/>
        </w:rPr>
        <w:t>GIEK</w:t>
      </w:r>
      <w:r w:rsidR="00560816">
        <w:rPr>
          <w:rFonts w:ascii="Arial" w:hAnsi="Arial" w:cs="Arial" w:hint="eastAsia"/>
          <w:sz w:val="20"/>
          <w:szCs w:val="20"/>
          <w:lang w:val="en-US" w:eastAsia="zh-CN"/>
        </w:rPr>
        <w:t>在批准项目</w:t>
      </w:r>
      <w:r w:rsidR="001108B9">
        <w:rPr>
          <w:rFonts w:ascii="Arial" w:hAnsi="Arial" w:cs="Arial" w:hint="eastAsia"/>
          <w:sz w:val="20"/>
          <w:szCs w:val="20"/>
          <w:lang w:val="en-US" w:eastAsia="zh-CN"/>
        </w:rPr>
        <w:t>或开始与实施项目的公司和提供项目资金的银行合作前，会提出潜在的问题。在实施项目期间，会设定社会和环境绩效标杆，</w:t>
      </w:r>
      <w:r w:rsidR="00480568" w:rsidRPr="002B37B4">
        <w:rPr>
          <w:rFonts w:ascii="Arial" w:hAnsi="Arial" w:cs="Arial"/>
          <w:sz w:val="20"/>
          <w:szCs w:val="20"/>
          <w:lang w:val="en-US" w:eastAsia="zh-CN"/>
        </w:rPr>
        <w:t>GIEK</w:t>
      </w:r>
      <w:r w:rsidR="001108B9">
        <w:rPr>
          <w:rFonts w:ascii="Arial" w:hAnsi="Arial" w:cs="Arial" w:hint="eastAsia"/>
          <w:sz w:val="20"/>
          <w:szCs w:val="20"/>
          <w:lang w:val="en-US" w:eastAsia="zh-CN"/>
        </w:rPr>
        <w:t>致力于</w:t>
      </w:r>
      <w:r w:rsidR="009A781A">
        <w:rPr>
          <w:rFonts w:ascii="Arial" w:hAnsi="Arial" w:cs="Arial" w:hint="eastAsia"/>
          <w:sz w:val="20"/>
          <w:szCs w:val="20"/>
          <w:lang w:val="en-US" w:eastAsia="zh-CN"/>
        </w:rPr>
        <w:t>通过把这些标杆加入银行制定的贷款协议中，</w:t>
      </w:r>
      <w:r w:rsidR="009369D0">
        <w:rPr>
          <w:rFonts w:ascii="Arial" w:hAnsi="Arial" w:cs="Arial" w:hint="eastAsia"/>
          <w:sz w:val="20"/>
          <w:szCs w:val="20"/>
          <w:lang w:val="en-US" w:eastAsia="zh-CN"/>
        </w:rPr>
        <w:t>来</w:t>
      </w:r>
      <w:r w:rsidR="001108B9">
        <w:rPr>
          <w:rFonts w:ascii="Arial" w:hAnsi="Arial" w:cs="Arial" w:hint="eastAsia"/>
          <w:sz w:val="20"/>
          <w:szCs w:val="20"/>
          <w:lang w:val="en-US" w:eastAsia="zh-CN"/>
        </w:rPr>
        <w:t>确保这些标杆成为</w:t>
      </w:r>
      <w:r w:rsidR="009A781A">
        <w:rPr>
          <w:rFonts w:ascii="Arial" w:hAnsi="Arial" w:cs="Arial" w:hint="eastAsia"/>
          <w:sz w:val="20"/>
          <w:szCs w:val="20"/>
          <w:lang w:val="en-US" w:eastAsia="zh-CN"/>
        </w:rPr>
        <w:t>具有法律约束力的义务。客户被要求针对这些标杆进行定期报告。在具有中等风险和高风险项目中，向</w:t>
      </w:r>
      <w:r w:rsidR="00480568" w:rsidRPr="002B37B4">
        <w:rPr>
          <w:rFonts w:ascii="Arial" w:hAnsi="Arial" w:cs="Arial"/>
          <w:sz w:val="20"/>
          <w:szCs w:val="20"/>
          <w:lang w:val="en-US" w:eastAsia="zh-CN"/>
        </w:rPr>
        <w:t>GIEK</w:t>
      </w:r>
      <w:r w:rsidR="009A781A">
        <w:rPr>
          <w:rFonts w:ascii="Arial" w:hAnsi="Arial" w:cs="Arial" w:hint="eastAsia"/>
          <w:sz w:val="20"/>
          <w:szCs w:val="20"/>
          <w:lang w:val="en-US" w:eastAsia="zh-CN"/>
        </w:rPr>
        <w:t>提供的影响情况信息会显示在</w:t>
      </w:r>
      <w:r w:rsidR="00480568" w:rsidRPr="002B37B4">
        <w:rPr>
          <w:rFonts w:ascii="Arial" w:hAnsi="Arial" w:cs="Arial"/>
          <w:sz w:val="20"/>
          <w:szCs w:val="20"/>
          <w:lang w:val="en-US" w:eastAsia="zh-CN"/>
        </w:rPr>
        <w:t>GIEK</w:t>
      </w:r>
      <w:r w:rsidR="009A781A">
        <w:rPr>
          <w:rFonts w:ascii="Arial" w:hAnsi="Arial" w:cs="Arial" w:hint="eastAsia"/>
          <w:sz w:val="20"/>
          <w:szCs w:val="20"/>
          <w:lang w:val="en-US" w:eastAsia="zh-CN"/>
        </w:rPr>
        <w:t>的网站上。</w:t>
      </w:r>
    </w:p>
    <w:p w14:paraId="565603B3" w14:textId="77777777" w:rsidR="00480568" w:rsidRPr="002B37B4" w:rsidRDefault="00480568" w:rsidP="00480568">
      <w:pPr>
        <w:spacing w:after="0"/>
        <w:rPr>
          <w:rFonts w:ascii="Arial" w:hAnsi="Arial" w:cs="Arial"/>
          <w:sz w:val="20"/>
          <w:szCs w:val="20"/>
          <w:lang w:val="en-US" w:eastAsia="zh-CN"/>
        </w:rPr>
      </w:pPr>
      <w:r w:rsidRPr="002B37B4">
        <w:rPr>
          <w:rFonts w:ascii="Arial" w:hAnsi="Arial" w:cs="Arial"/>
          <w:sz w:val="20"/>
          <w:szCs w:val="20"/>
          <w:lang w:val="en-US" w:eastAsia="zh-CN"/>
        </w:rPr>
        <w:t xml:space="preserve">  </w:t>
      </w:r>
    </w:p>
    <w:p w14:paraId="3CD8D70C" w14:textId="77777777" w:rsidR="00480568" w:rsidRPr="002B37B4" w:rsidRDefault="005C220F" w:rsidP="00480568">
      <w:pPr>
        <w:pStyle w:val="Heading2"/>
        <w:numPr>
          <w:ilvl w:val="0"/>
          <w:numId w:val="4"/>
        </w:numPr>
        <w:rPr>
          <w:rFonts w:ascii="Arial" w:hAnsi="Arial" w:cs="Arial"/>
          <w:sz w:val="20"/>
          <w:szCs w:val="20"/>
          <w:lang w:val="en-US" w:eastAsia="zh-CN"/>
        </w:rPr>
      </w:pPr>
      <w:bookmarkStart w:id="9" w:name="_Toc372707270"/>
      <w:r>
        <w:rPr>
          <w:rFonts w:ascii="Arial" w:hAnsi="Arial" w:cs="Arial" w:hint="eastAsia"/>
          <w:sz w:val="20"/>
          <w:szCs w:val="20"/>
          <w:lang w:val="en-US" w:eastAsia="zh-CN"/>
        </w:rPr>
        <w:t>对尽责的披露</w:t>
      </w:r>
      <w:bookmarkEnd w:id="9"/>
      <w:r w:rsidR="00480568" w:rsidRPr="002B37B4">
        <w:rPr>
          <w:rFonts w:ascii="Arial" w:hAnsi="Arial" w:cs="Arial"/>
          <w:sz w:val="20"/>
          <w:szCs w:val="20"/>
          <w:lang w:val="en-US" w:eastAsia="zh-CN"/>
        </w:rPr>
        <w:t xml:space="preserve"> </w:t>
      </w:r>
    </w:p>
    <w:p w14:paraId="65BECC36" w14:textId="77777777" w:rsidR="00480568" w:rsidRPr="002B37B4" w:rsidRDefault="00480568" w:rsidP="00480568">
      <w:pPr>
        <w:pStyle w:val="NormalWeb"/>
        <w:spacing w:before="0" w:beforeAutospacing="0" w:after="120" w:afterAutospacing="0"/>
        <w:rPr>
          <w:rFonts w:ascii="Arial" w:hAnsi="Arial" w:cs="Arial"/>
          <w:sz w:val="20"/>
          <w:szCs w:val="20"/>
          <w:lang w:val="en-US"/>
        </w:rPr>
      </w:pPr>
    </w:p>
    <w:p w14:paraId="63AD2030" w14:textId="1D39F7F0" w:rsidR="00480568" w:rsidRPr="002B37B4" w:rsidRDefault="009369D0" w:rsidP="00480568">
      <w:pPr>
        <w:pStyle w:val="NormalWeb"/>
        <w:spacing w:before="0" w:beforeAutospacing="0" w:after="12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鼓励或要求尽责</w:t>
      </w:r>
      <w:r w:rsidR="005C220F">
        <w:rPr>
          <w:rFonts w:asciiTheme="minorEastAsia" w:eastAsiaTheme="minorEastAsia" w:hAnsiTheme="minorEastAsia" w:cs="Arial" w:hint="eastAsia"/>
          <w:sz w:val="20"/>
          <w:szCs w:val="20"/>
          <w:lang w:val="en-US" w:eastAsia="zh-CN"/>
        </w:rPr>
        <w:t>的第三种方法是通过透明</w:t>
      </w:r>
      <w:r w:rsidR="00830B06">
        <w:rPr>
          <w:rFonts w:ascii="PMingLiU" w:eastAsia="SimSun" w:hAnsi="PMingLiU" w:cs="Arial" w:hint="eastAsia"/>
          <w:sz w:val="20"/>
          <w:szCs w:val="20"/>
          <w:lang w:val="en-US" w:eastAsia="zh-CN"/>
        </w:rPr>
        <w:t>度</w:t>
      </w:r>
      <w:r w:rsidR="005C220F">
        <w:rPr>
          <w:rFonts w:asciiTheme="minorEastAsia" w:eastAsiaTheme="minorEastAsia" w:hAnsiTheme="minorEastAsia" w:cs="Arial" w:hint="eastAsia"/>
          <w:sz w:val="20"/>
          <w:szCs w:val="20"/>
          <w:lang w:val="en-US" w:eastAsia="zh-CN"/>
        </w:rPr>
        <w:t>和披露机制。正如</w:t>
      </w:r>
      <w:r w:rsidR="00DE25B4">
        <w:rPr>
          <w:rFonts w:ascii="SimSun" w:eastAsia="SimSun" w:hAnsi="SimSun" w:cs="SimSun" w:hint="eastAsia"/>
          <w:sz w:val="20"/>
          <w:szCs w:val="20"/>
          <w:lang w:val="en-US"/>
        </w:rPr>
        <w:t>《人权尽责报告》（</w:t>
      </w:r>
      <w:r w:rsidR="00DE25B4">
        <w:rPr>
          <w:rFonts w:ascii="Arial" w:hAnsi="Arial" w:cs="Arial"/>
          <w:sz w:val="20"/>
          <w:szCs w:val="20"/>
          <w:lang w:val="en-US"/>
        </w:rPr>
        <w:t>2012</w:t>
      </w:r>
      <w:r w:rsidR="00DE25B4">
        <w:rPr>
          <w:rFonts w:ascii="SimSun" w:eastAsia="SimSun" w:hAnsi="SimSun" w:cs="SimSun" w:hint="eastAsia"/>
          <w:sz w:val="20"/>
          <w:szCs w:val="20"/>
          <w:lang w:val="en-US"/>
        </w:rPr>
        <w:t>）</w:t>
      </w:r>
      <w:r w:rsidR="005C220F">
        <w:rPr>
          <w:rFonts w:ascii="SimSun" w:eastAsia="SimSun" w:hAnsi="SimSun" w:cs="SimSun" w:hint="eastAsia"/>
          <w:sz w:val="20"/>
          <w:szCs w:val="20"/>
          <w:lang w:val="en-US" w:eastAsia="zh-CN"/>
        </w:rPr>
        <w:t>所述，国家实施那些要求企业透露其尽责行动的规则，旨在使市场和社会争取限制任何被确认的损害。</w:t>
      </w:r>
      <w:r w:rsidR="00480568" w:rsidRPr="002B37B4">
        <w:rPr>
          <w:rStyle w:val="EndnoteReference"/>
          <w:rFonts w:ascii="Arial" w:eastAsia="Calibri" w:hAnsi="Arial" w:cs="Arial"/>
          <w:sz w:val="20"/>
          <w:szCs w:val="20"/>
        </w:rPr>
        <w:t xml:space="preserve"> </w:t>
      </w:r>
      <w:r w:rsidR="00480568" w:rsidRPr="002B37B4">
        <w:rPr>
          <w:rFonts w:ascii="Arial" w:hAnsi="Arial" w:cs="Arial"/>
          <w:sz w:val="20"/>
          <w:szCs w:val="20"/>
          <w:lang w:val="en-US"/>
        </w:rPr>
        <w:t xml:space="preserve">  </w:t>
      </w:r>
    </w:p>
    <w:p w14:paraId="03B8B2D9" w14:textId="3C86564E" w:rsidR="00480568" w:rsidRPr="002B37B4" w:rsidRDefault="005C220F" w:rsidP="00480568">
      <w:pPr>
        <w:pStyle w:val="NormalWeb"/>
        <w:spacing w:before="0" w:beforeAutospacing="0" w:after="12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例如，</w:t>
      </w:r>
      <w:r w:rsidR="007D5DD1">
        <w:rPr>
          <w:rFonts w:asciiTheme="minorEastAsia" w:eastAsiaTheme="minorEastAsia" w:hAnsiTheme="minorEastAsia" w:cs="Arial" w:hint="eastAsia"/>
          <w:sz w:val="20"/>
          <w:szCs w:val="20"/>
          <w:lang w:val="en-US" w:eastAsia="zh-CN"/>
        </w:rPr>
        <w:t>大多数国家的证券法要求一定形式的公司报告，法律还可能</w:t>
      </w:r>
      <w:r w:rsidR="00830B06">
        <w:rPr>
          <w:rFonts w:asciiTheme="minorEastAsia" w:eastAsiaTheme="minorEastAsia" w:hAnsiTheme="minorEastAsia" w:cs="Arial" w:hint="eastAsia"/>
          <w:sz w:val="20"/>
          <w:szCs w:val="20"/>
          <w:lang w:val="en-US" w:eastAsia="zh-CN"/>
        </w:rPr>
        <w:t>要求</w:t>
      </w:r>
      <w:r w:rsidR="007D5DD1">
        <w:rPr>
          <w:rFonts w:asciiTheme="minorEastAsia" w:eastAsiaTheme="minorEastAsia" w:hAnsiTheme="minorEastAsia" w:cs="Arial" w:hint="eastAsia"/>
          <w:sz w:val="20"/>
          <w:szCs w:val="20"/>
          <w:lang w:val="en-US" w:eastAsia="zh-CN"/>
        </w:rPr>
        <w:t>公司</w:t>
      </w:r>
      <w:r w:rsidR="00A96249">
        <w:rPr>
          <w:rFonts w:asciiTheme="minorEastAsia" w:eastAsiaTheme="minorEastAsia" w:hAnsiTheme="minorEastAsia" w:cs="Arial" w:hint="eastAsia"/>
          <w:sz w:val="20"/>
          <w:szCs w:val="20"/>
          <w:lang w:val="en-US" w:eastAsia="zh-CN"/>
        </w:rPr>
        <w:t>对</w:t>
      </w:r>
      <w:r w:rsidR="00830B06">
        <w:rPr>
          <w:rFonts w:asciiTheme="minorEastAsia" w:eastAsiaTheme="minorEastAsia" w:hAnsiTheme="minorEastAsia" w:cs="Arial" w:hint="eastAsia"/>
          <w:sz w:val="20"/>
          <w:szCs w:val="20"/>
          <w:lang w:val="en-US" w:eastAsia="zh-CN"/>
        </w:rPr>
        <w:t>其</w:t>
      </w:r>
      <w:r w:rsidR="00A96249">
        <w:rPr>
          <w:rFonts w:asciiTheme="minorEastAsia" w:eastAsiaTheme="minorEastAsia" w:hAnsiTheme="minorEastAsia" w:cs="Arial" w:hint="eastAsia"/>
          <w:sz w:val="20"/>
          <w:szCs w:val="20"/>
          <w:lang w:val="en-US" w:eastAsia="zh-CN"/>
        </w:rPr>
        <w:t>企业</w:t>
      </w:r>
      <w:r w:rsidR="007D5DD1">
        <w:rPr>
          <w:rFonts w:asciiTheme="minorEastAsia" w:eastAsiaTheme="minorEastAsia" w:hAnsiTheme="minorEastAsia" w:cs="Arial" w:hint="eastAsia"/>
          <w:sz w:val="20"/>
          <w:szCs w:val="20"/>
          <w:lang w:val="en-US" w:eastAsia="zh-CN"/>
        </w:rPr>
        <w:t>社会责任提</w:t>
      </w:r>
      <w:r w:rsidR="00830B06">
        <w:rPr>
          <w:rFonts w:asciiTheme="minorEastAsia" w:eastAsiaTheme="minorEastAsia" w:hAnsiTheme="minorEastAsia" w:cs="Arial" w:hint="eastAsia"/>
          <w:sz w:val="20"/>
          <w:szCs w:val="20"/>
          <w:lang w:val="en-US" w:eastAsia="zh-CN"/>
        </w:rPr>
        <w:t>供</w:t>
      </w:r>
      <w:r w:rsidR="007D5DD1">
        <w:rPr>
          <w:rFonts w:asciiTheme="minorEastAsia" w:eastAsiaTheme="minorEastAsia" w:hAnsiTheme="minorEastAsia" w:cs="Arial" w:hint="eastAsia"/>
          <w:sz w:val="20"/>
          <w:szCs w:val="20"/>
          <w:lang w:val="en-US" w:eastAsia="zh-CN"/>
        </w:rPr>
        <w:t>报告要求，丹麦、挪威、西班牙和马来西</w:t>
      </w:r>
      <w:r w:rsidR="0071049B">
        <w:rPr>
          <w:rFonts w:asciiTheme="minorEastAsia" w:eastAsiaTheme="minorEastAsia" w:hAnsiTheme="minorEastAsia" w:cs="Arial" w:hint="eastAsia"/>
          <w:sz w:val="20"/>
          <w:szCs w:val="20"/>
          <w:lang w:val="en-US" w:eastAsia="zh-CN"/>
        </w:rPr>
        <w:t>亚就是如此。在一些国家，例如法国、阿根廷、德国、美国和欧盟，消费者</w:t>
      </w:r>
      <w:r w:rsidR="007D5DD1">
        <w:rPr>
          <w:rFonts w:asciiTheme="minorEastAsia" w:eastAsiaTheme="minorEastAsia" w:hAnsiTheme="minorEastAsia" w:cs="Arial" w:hint="eastAsia"/>
          <w:sz w:val="20"/>
          <w:szCs w:val="20"/>
          <w:lang w:val="en-US" w:eastAsia="zh-CN"/>
        </w:rPr>
        <w:t>保护法要求某种形式的披露，理由是信息对顾客利益有利，还会促使投资者、监管者和可能受到企业活动负面影响的人采取行动。</w:t>
      </w:r>
      <w:r w:rsidR="00480568" w:rsidRPr="002B37B4">
        <w:rPr>
          <w:rFonts w:ascii="Arial" w:hAnsi="Arial" w:cs="Arial"/>
          <w:sz w:val="20"/>
          <w:szCs w:val="20"/>
          <w:lang w:val="en-US"/>
        </w:rPr>
        <w:t xml:space="preserve">  </w:t>
      </w:r>
    </w:p>
    <w:p w14:paraId="5FB1E767" w14:textId="77777777" w:rsidR="00480568" w:rsidRPr="002B37B4" w:rsidRDefault="005E3662" w:rsidP="00480568">
      <w:pPr>
        <w:spacing w:after="120"/>
        <w:rPr>
          <w:rFonts w:ascii="Arial" w:hAnsi="Arial" w:cs="Arial"/>
          <w:sz w:val="20"/>
          <w:szCs w:val="20"/>
          <w:lang w:val="en-US" w:eastAsia="zh-CN"/>
        </w:rPr>
      </w:pPr>
      <w:r>
        <w:rPr>
          <w:rFonts w:ascii="Arial" w:hAnsi="Arial" w:cs="Arial" w:hint="eastAsia"/>
          <w:sz w:val="20"/>
          <w:szCs w:val="20"/>
          <w:lang w:val="en-US" w:eastAsia="zh-CN"/>
        </w:rPr>
        <w:t>2013</w:t>
      </w:r>
      <w:r>
        <w:rPr>
          <w:rFonts w:ascii="Arial" w:hAnsi="Arial" w:cs="Arial" w:hint="eastAsia"/>
          <w:sz w:val="20"/>
          <w:szCs w:val="20"/>
          <w:lang w:val="en-US" w:eastAsia="zh-CN"/>
        </w:rPr>
        <w:t>年，美国</w:t>
      </w:r>
      <w:r w:rsidR="00011AEB">
        <w:rPr>
          <w:rFonts w:ascii="Arial" w:hAnsi="Arial" w:cs="Arial" w:hint="eastAsia"/>
          <w:sz w:val="20"/>
          <w:szCs w:val="20"/>
          <w:lang w:val="en-US" w:eastAsia="zh-CN"/>
        </w:rPr>
        <w:t>国务院对新获授权的向缅甸投资项目制定了报告要求，美国此前放松了对缅甸的制裁，以回应该国实行的改革。根据新要求，任何向缅甸石油与</w:t>
      </w:r>
      <w:r w:rsidR="00011AEB" w:rsidRPr="00011AEB">
        <w:rPr>
          <w:rFonts w:ascii="Arial" w:hAnsi="Arial" w:cs="Arial" w:hint="eastAsia"/>
          <w:sz w:val="20"/>
          <w:szCs w:val="20"/>
          <w:lang w:val="en-US" w:eastAsia="zh-CN"/>
        </w:rPr>
        <w:t>天然气企业</w:t>
      </w:r>
      <w:r w:rsidR="00011AEB">
        <w:rPr>
          <w:rFonts w:ascii="Arial" w:hAnsi="Arial" w:cs="Arial" w:hint="eastAsia"/>
          <w:sz w:val="20"/>
          <w:szCs w:val="20"/>
          <w:lang w:eastAsia="zh-CN"/>
        </w:rPr>
        <w:t>投资</w:t>
      </w:r>
      <w:r w:rsidR="005F6345">
        <w:rPr>
          <w:rFonts w:ascii="Arial" w:hAnsi="Arial" w:cs="Arial" w:hint="eastAsia"/>
          <w:sz w:val="20"/>
          <w:szCs w:val="20"/>
          <w:lang w:eastAsia="zh-CN"/>
        </w:rPr>
        <w:t>或在</w:t>
      </w:r>
      <w:r w:rsidR="00011AEB">
        <w:rPr>
          <w:rFonts w:ascii="Arial" w:hAnsi="Arial" w:cs="Arial" w:hint="eastAsia"/>
          <w:sz w:val="20"/>
          <w:szCs w:val="20"/>
          <w:lang w:eastAsia="zh-CN"/>
        </w:rPr>
        <w:t>缅甸的总投资额超过</w:t>
      </w:r>
      <w:r w:rsidR="00011AEB">
        <w:rPr>
          <w:rFonts w:ascii="Arial" w:hAnsi="Arial" w:cs="Arial" w:hint="eastAsia"/>
          <w:sz w:val="20"/>
          <w:szCs w:val="20"/>
          <w:lang w:eastAsia="zh-CN"/>
        </w:rPr>
        <w:t>50</w:t>
      </w:r>
      <w:r w:rsidR="00011AEB">
        <w:rPr>
          <w:rFonts w:ascii="Arial" w:hAnsi="Arial" w:cs="Arial" w:hint="eastAsia"/>
          <w:sz w:val="20"/>
          <w:szCs w:val="20"/>
          <w:lang w:eastAsia="zh-CN"/>
        </w:rPr>
        <w:t>万美元的美国人，都必须</w:t>
      </w:r>
      <w:r w:rsidR="005F6345">
        <w:rPr>
          <w:rFonts w:ascii="Arial" w:hAnsi="Arial" w:cs="Arial" w:hint="eastAsia"/>
          <w:sz w:val="20"/>
          <w:szCs w:val="20"/>
          <w:lang w:eastAsia="zh-CN"/>
        </w:rPr>
        <w:t>报告其在缅甸活动的概要，以及在人权、劳工权利、反腐、环境、收购财产、与保安提供方的安排和财务透明</w:t>
      </w:r>
      <w:r w:rsidR="00CC5975" w:rsidRPr="005B6D61">
        <w:rPr>
          <w:rFonts w:ascii="PMingLiU" w:hAnsi="PMingLiU" w:cs="Arial" w:hint="eastAsia"/>
          <w:sz w:val="20"/>
          <w:szCs w:val="20"/>
          <w:lang w:eastAsia="zh-CN"/>
        </w:rPr>
        <w:t>性</w:t>
      </w:r>
      <w:r w:rsidR="005F6345">
        <w:rPr>
          <w:rFonts w:ascii="Arial" w:hAnsi="Arial" w:cs="Arial" w:hint="eastAsia"/>
          <w:sz w:val="20"/>
          <w:szCs w:val="20"/>
          <w:lang w:eastAsia="zh-CN"/>
        </w:rPr>
        <w:t>方面，都具有什么政策和程序。</w:t>
      </w:r>
    </w:p>
    <w:p w14:paraId="47073994" w14:textId="7FCA58DC" w:rsidR="00480568" w:rsidRPr="002B37B4" w:rsidRDefault="005F6345" w:rsidP="00480568">
      <w:pPr>
        <w:spacing w:after="120"/>
        <w:rPr>
          <w:rFonts w:ascii="Arial" w:hAnsi="Arial" w:cs="Arial"/>
          <w:sz w:val="20"/>
          <w:szCs w:val="20"/>
          <w:lang w:eastAsia="zh-CN"/>
        </w:rPr>
      </w:pPr>
      <w:r>
        <w:rPr>
          <w:rFonts w:ascii="Arial" w:hAnsi="Arial" w:cs="Arial" w:hint="eastAsia"/>
          <w:sz w:val="20"/>
          <w:szCs w:val="20"/>
          <w:lang w:eastAsia="zh-CN"/>
        </w:rPr>
        <w:t>美国国务院预计，公司披露和分享的信息</w:t>
      </w:r>
      <w:r w:rsidR="0012670C">
        <w:rPr>
          <w:rFonts w:ascii="Arial" w:hAnsi="Arial" w:cs="Arial" w:hint="eastAsia"/>
          <w:sz w:val="20"/>
          <w:szCs w:val="20"/>
          <w:lang w:eastAsia="zh-CN"/>
        </w:rPr>
        <w:t>会被用于鼓励和帮助企业制定政策和程序，来处理企业经营行动在缅甸造成的多种影响。例如，“如果企业具有影响力来防止或减少负面影响”，国务院就鼓励企业按照联合国指导原则行事，并“行使其</w:t>
      </w:r>
      <w:r w:rsidR="0012670C">
        <w:rPr>
          <w:rFonts w:ascii="Arial" w:hAnsi="Arial" w:cs="Arial"/>
          <w:sz w:val="20"/>
          <w:szCs w:val="20"/>
          <w:lang w:eastAsia="zh-CN"/>
        </w:rPr>
        <w:t>[</w:t>
      </w:r>
      <w:r w:rsidR="0012670C">
        <w:rPr>
          <w:rFonts w:ascii="Arial" w:hAnsi="Arial" w:cs="Arial" w:hint="eastAsia"/>
          <w:sz w:val="20"/>
          <w:szCs w:val="20"/>
          <w:lang w:eastAsia="zh-CN"/>
        </w:rPr>
        <w:t>影响力</w:t>
      </w:r>
      <w:r w:rsidR="0012670C" w:rsidRPr="002B37B4">
        <w:rPr>
          <w:rFonts w:ascii="Arial" w:hAnsi="Arial" w:cs="Arial"/>
          <w:sz w:val="20"/>
          <w:szCs w:val="20"/>
          <w:lang w:eastAsia="zh-CN"/>
        </w:rPr>
        <w:t>]</w:t>
      </w:r>
      <w:r w:rsidR="0012670C">
        <w:rPr>
          <w:rFonts w:ascii="Arial" w:hAnsi="Arial" w:cs="Arial" w:hint="eastAsia"/>
          <w:sz w:val="20"/>
          <w:szCs w:val="20"/>
          <w:lang w:eastAsia="zh-CN"/>
        </w:rPr>
        <w:t>。”</w:t>
      </w:r>
      <w:r w:rsidR="00480568" w:rsidRPr="002B37B4">
        <w:rPr>
          <w:rFonts w:ascii="Arial" w:hAnsi="Arial" w:cs="Arial"/>
          <w:sz w:val="20"/>
          <w:szCs w:val="20"/>
          <w:lang w:eastAsia="zh-CN"/>
        </w:rPr>
        <w:t xml:space="preserve"> </w:t>
      </w:r>
      <w:r w:rsidR="0012670C">
        <w:rPr>
          <w:rFonts w:ascii="Arial" w:hAnsi="Arial" w:cs="Arial" w:hint="eastAsia"/>
          <w:sz w:val="20"/>
          <w:szCs w:val="20"/>
          <w:lang w:eastAsia="zh-CN"/>
        </w:rPr>
        <w:t>如果企业无法增加其影响力，</w:t>
      </w:r>
      <w:r w:rsidR="00516B47">
        <w:rPr>
          <w:rFonts w:ascii="Arial" w:hAnsi="Arial" w:cs="Arial" w:hint="eastAsia"/>
          <w:sz w:val="20"/>
          <w:szCs w:val="20"/>
          <w:lang w:eastAsia="zh-CN"/>
        </w:rPr>
        <w:t>“企业就应考虑终止关系，并考虑到这样做可能产生的负面人权影响的</w:t>
      </w:r>
      <w:r w:rsidR="00A96249">
        <w:rPr>
          <w:rFonts w:ascii="Arial" w:hAnsi="Arial" w:cs="Arial" w:hint="eastAsia"/>
          <w:sz w:val="20"/>
          <w:szCs w:val="20"/>
          <w:lang w:eastAsia="zh-CN"/>
        </w:rPr>
        <w:t>信贷</w:t>
      </w:r>
      <w:r w:rsidR="00516B47">
        <w:rPr>
          <w:rFonts w:ascii="Arial" w:hAnsi="Arial" w:cs="Arial" w:hint="eastAsia"/>
          <w:sz w:val="20"/>
          <w:szCs w:val="20"/>
          <w:lang w:eastAsia="zh-CN"/>
        </w:rPr>
        <w:t>评估。”</w:t>
      </w:r>
      <w:r w:rsidR="007224D6">
        <w:rPr>
          <w:rFonts w:ascii="Arial" w:hAnsi="Arial" w:cs="Arial" w:hint="eastAsia"/>
          <w:sz w:val="20"/>
          <w:szCs w:val="20"/>
          <w:lang w:eastAsia="zh-CN"/>
        </w:rPr>
        <w:t>未能按要求提交报告的投资者就没有合规，会因为违反《</w:t>
      </w:r>
      <w:r w:rsidR="007224D6" w:rsidRPr="007224D6">
        <w:rPr>
          <w:rFonts w:ascii="Arial" w:hAnsi="Arial" w:cs="Arial" w:hint="eastAsia"/>
          <w:sz w:val="20"/>
          <w:szCs w:val="20"/>
          <w:lang w:eastAsia="zh-CN"/>
        </w:rPr>
        <w:t>国际紧急经济权力法</w:t>
      </w:r>
      <w:r w:rsidR="007224D6">
        <w:rPr>
          <w:rFonts w:ascii="Arial" w:hAnsi="Arial" w:cs="Arial" w:hint="eastAsia"/>
          <w:sz w:val="20"/>
          <w:szCs w:val="20"/>
          <w:lang w:eastAsia="zh-CN"/>
        </w:rPr>
        <w:t>》而受到民事和刑事处罚。</w:t>
      </w:r>
    </w:p>
    <w:p w14:paraId="7B38B077" w14:textId="2C60A4E9" w:rsidR="00480568" w:rsidRPr="002B37B4" w:rsidRDefault="007224D6" w:rsidP="00480568">
      <w:pPr>
        <w:spacing w:after="120"/>
        <w:rPr>
          <w:rFonts w:ascii="Arial" w:hAnsi="Arial" w:cs="Arial"/>
          <w:sz w:val="20"/>
          <w:szCs w:val="20"/>
          <w:lang w:eastAsia="zh-CN"/>
        </w:rPr>
      </w:pPr>
      <w:r>
        <w:rPr>
          <w:rFonts w:ascii="Arial" w:hAnsi="Arial" w:cs="Arial" w:hint="eastAsia"/>
          <w:sz w:val="20"/>
          <w:szCs w:val="20"/>
          <w:lang w:eastAsia="zh-CN"/>
        </w:rPr>
        <w:t>2013</w:t>
      </w:r>
      <w:r>
        <w:rPr>
          <w:rFonts w:ascii="Arial" w:hAnsi="Arial" w:cs="Arial" w:hint="eastAsia"/>
          <w:sz w:val="20"/>
          <w:szCs w:val="20"/>
          <w:lang w:eastAsia="zh-CN"/>
        </w:rPr>
        <w:t>年</w:t>
      </w:r>
      <w:r>
        <w:rPr>
          <w:rFonts w:ascii="Arial" w:hAnsi="Arial" w:cs="Arial" w:hint="eastAsia"/>
          <w:sz w:val="20"/>
          <w:szCs w:val="20"/>
          <w:lang w:eastAsia="zh-CN"/>
        </w:rPr>
        <w:t>7</w:t>
      </w:r>
      <w:r>
        <w:rPr>
          <w:rFonts w:ascii="Arial" w:hAnsi="Arial" w:cs="Arial" w:hint="eastAsia"/>
          <w:sz w:val="20"/>
          <w:szCs w:val="20"/>
          <w:lang w:eastAsia="zh-CN"/>
        </w:rPr>
        <w:t>月，在一起</w:t>
      </w:r>
      <w:r w:rsidR="009B5D5D">
        <w:rPr>
          <w:rFonts w:ascii="Arial" w:hAnsi="Arial" w:cs="Arial" w:hint="eastAsia"/>
          <w:sz w:val="20"/>
          <w:szCs w:val="20"/>
          <w:lang w:eastAsia="zh-CN"/>
        </w:rPr>
        <w:t>针对</w:t>
      </w:r>
      <w:r>
        <w:rPr>
          <w:rFonts w:ascii="Arial" w:hAnsi="Arial" w:cs="Arial" w:hint="eastAsia"/>
          <w:sz w:val="20"/>
          <w:szCs w:val="20"/>
          <w:lang w:eastAsia="zh-CN"/>
        </w:rPr>
        <w:t>冲突地区</w:t>
      </w:r>
      <w:r w:rsidR="00EF2C79">
        <w:rPr>
          <w:rFonts w:ascii="Arial" w:hAnsi="Arial" w:cs="Arial" w:hint="eastAsia"/>
          <w:sz w:val="20"/>
          <w:szCs w:val="20"/>
          <w:lang w:eastAsia="zh-CN"/>
        </w:rPr>
        <w:t>矿产</w:t>
      </w:r>
      <w:r>
        <w:rPr>
          <w:rFonts w:ascii="Arial" w:hAnsi="Arial" w:cs="Arial" w:hint="eastAsia"/>
          <w:sz w:val="20"/>
          <w:szCs w:val="20"/>
          <w:lang w:eastAsia="zh-CN"/>
        </w:rPr>
        <w:t>的披露要求的诉讼中，一家美国法院驳回了美国全国制造商协会、</w:t>
      </w:r>
      <w:r w:rsidRPr="007224D6">
        <w:rPr>
          <w:rFonts w:ascii="Arial" w:hAnsi="Arial" w:cs="Arial" w:hint="eastAsia"/>
          <w:sz w:val="20"/>
          <w:szCs w:val="20"/>
          <w:lang w:eastAsia="zh-CN"/>
        </w:rPr>
        <w:t>美国商会和商业圆桌会议</w:t>
      </w:r>
      <w:r>
        <w:rPr>
          <w:rFonts w:ascii="Arial" w:hAnsi="Arial" w:cs="Arial" w:hint="eastAsia"/>
          <w:sz w:val="20"/>
          <w:szCs w:val="20"/>
          <w:lang w:eastAsia="zh-CN"/>
        </w:rPr>
        <w:t>的</w:t>
      </w:r>
      <w:r w:rsidR="009B5D5D">
        <w:rPr>
          <w:rFonts w:ascii="Arial" w:hAnsi="Arial" w:cs="Arial" w:hint="eastAsia"/>
          <w:sz w:val="20"/>
          <w:szCs w:val="20"/>
          <w:lang w:eastAsia="zh-CN"/>
        </w:rPr>
        <w:t>论点</w:t>
      </w:r>
      <w:r>
        <w:rPr>
          <w:rFonts w:ascii="Arial" w:hAnsi="Arial" w:cs="Arial" w:hint="eastAsia"/>
          <w:sz w:val="20"/>
          <w:szCs w:val="20"/>
          <w:lang w:eastAsia="zh-CN"/>
        </w:rPr>
        <w:t>。该诉讼是在</w:t>
      </w:r>
      <w:r>
        <w:rPr>
          <w:rFonts w:ascii="Arial" w:hAnsi="Arial" w:cs="Arial" w:hint="eastAsia"/>
          <w:sz w:val="20"/>
          <w:szCs w:val="20"/>
          <w:lang w:eastAsia="zh-CN"/>
        </w:rPr>
        <w:t>2012</w:t>
      </w:r>
      <w:r>
        <w:rPr>
          <w:rFonts w:ascii="Arial" w:hAnsi="Arial" w:cs="Arial" w:hint="eastAsia"/>
          <w:sz w:val="20"/>
          <w:szCs w:val="20"/>
          <w:lang w:eastAsia="zh-CN"/>
        </w:rPr>
        <w:t>年提起，挑战</w:t>
      </w:r>
      <w:r w:rsidR="00EF2C79">
        <w:rPr>
          <w:rFonts w:ascii="Arial" w:hAnsi="Arial" w:cs="Arial" w:hint="eastAsia"/>
          <w:sz w:val="20"/>
          <w:szCs w:val="20"/>
          <w:lang w:eastAsia="zh-CN"/>
        </w:rPr>
        <w:t>《</w:t>
      </w:r>
      <w:r w:rsidRPr="007224D6">
        <w:rPr>
          <w:rFonts w:ascii="Arial" w:hAnsi="Arial" w:cs="Arial" w:hint="eastAsia"/>
          <w:sz w:val="20"/>
          <w:szCs w:val="20"/>
          <w:lang w:eastAsia="zh-CN"/>
        </w:rPr>
        <w:t>多德</w:t>
      </w:r>
      <w:r w:rsidRPr="007224D6">
        <w:rPr>
          <w:rFonts w:ascii="Arial" w:hAnsi="Arial" w:cs="Arial" w:hint="eastAsia"/>
          <w:sz w:val="20"/>
          <w:szCs w:val="20"/>
          <w:lang w:eastAsia="zh-CN"/>
        </w:rPr>
        <w:t xml:space="preserve"> - </w:t>
      </w:r>
      <w:r w:rsidRPr="007224D6">
        <w:rPr>
          <w:rFonts w:ascii="Arial" w:hAnsi="Arial" w:cs="Arial" w:hint="eastAsia"/>
          <w:sz w:val="20"/>
          <w:szCs w:val="20"/>
          <w:lang w:eastAsia="zh-CN"/>
        </w:rPr>
        <w:t>弗兰克华尔街改革和消费者保护法案</w:t>
      </w:r>
      <w:r w:rsidR="00EF2C79">
        <w:rPr>
          <w:rFonts w:ascii="Arial" w:hAnsi="Arial" w:cs="Arial" w:hint="eastAsia"/>
          <w:sz w:val="20"/>
          <w:szCs w:val="20"/>
          <w:lang w:eastAsia="zh-CN"/>
        </w:rPr>
        <w:t>》</w:t>
      </w:r>
      <w:r w:rsidR="00EF2C79" w:rsidRPr="007224D6">
        <w:rPr>
          <w:rFonts w:ascii="Arial" w:hAnsi="Arial" w:cs="Arial" w:hint="eastAsia"/>
          <w:sz w:val="20"/>
          <w:szCs w:val="20"/>
          <w:lang w:eastAsia="zh-CN"/>
        </w:rPr>
        <w:t>第</w:t>
      </w:r>
      <w:r w:rsidR="00EF2C79" w:rsidRPr="007224D6">
        <w:rPr>
          <w:rFonts w:ascii="Arial" w:hAnsi="Arial" w:cs="Arial" w:hint="eastAsia"/>
          <w:sz w:val="20"/>
          <w:szCs w:val="20"/>
          <w:lang w:eastAsia="zh-CN"/>
        </w:rPr>
        <w:t>1502</w:t>
      </w:r>
      <w:r w:rsidR="00EF2C79">
        <w:rPr>
          <w:rFonts w:ascii="Arial" w:hAnsi="Arial" w:cs="Arial" w:hint="eastAsia"/>
          <w:sz w:val="20"/>
          <w:szCs w:val="20"/>
          <w:lang w:eastAsia="zh-CN"/>
        </w:rPr>
        <w:t>节。该节条款要求在美国证券交易委员会登记有证券的公司，</w:t>
      </w:r>
      <w:r w:rsidR="003059DB">
        <w:rPr>
          <w:rFonts w:ascii="Arial" w:hAnsi="Arial" w:cs="Arial" w:hint="eastAsia"/>
          <w:sz w:val="20"/>
          <w:szCs w:val="20"/>
          <w:lang w:eastAsia="zh-CN"/>
        </w:rPr>
        <w:t>对其</w:t>
      </w:r>
      <w:r w:rsidR="00954972">
        <w:rPr>
          <w:rFonts w:ascii="Arial" w:hAnsi="Arial" w:cs="Arial" w:hint="eastAsia"/>
          <w:sz w:val="20"/>
          <w:szCs w:val="20"/>
          <w:lang w:eastAsia="zh-CN"/>
        </w:rPr>
        <w:t>使用任何冲突地区矿产作“性能或生产中必不可少部份”</w:t>
      </w:r>
      <w:r w:rsidR="003059DB">
        <w:rPr>
          <w:rFonts w:ascii="Arial" w:hAnsi="Arial" w:cs="Arial" w:hint="eastAsia"/>
          <w:sz w:val="20"/>
          <w:szCs w:val="20"/>
          <w:lang w:eastAsia="zh-CN"/>
        </w:rPr>
        <w:t>所制造（或转给其它方面承包制造）</w:t>
      </w:r>
      <w:r w:rsidR="00B242F9">
        <w:rPr>
          <w:rFonts w:ascii="Arial" w:hAnsi="Arial" w:cs="Arial" w:hint="eastAsia"/>
          <w:sz w:val="20"/>
          <w:szCs w:val="20"/>
          <w:lang w:eastAsia="zh-CN"/>
        </w:rPr>
        <w:t>的</w:t>
      </w:r>
      <w:r w:rsidR="003059DB">
        <w:rPr>
          <w:rFonts w:ascii="Arial" w:hAnsi="Arial" w:cs="Arial" w:hint="eastAsia"/>
          <w:sz w:val="20"/>
          <w:szCs w:val="20"/>
          <w:lang w:eastAsia="zh-CN"/>
        </w:rPr>
        <w:t>产品，进行年度评估和报告。公司必须诚实地调查原产地，而且当锡、钽、</w:t>
      </w:r>
      <w:r w:rsidR="003059DB" w:rsidRPr="003059DB">
        <w:rPr>
          <w:rFonts w:ascii="Arial" w:hAnsi="Arial" w:cs="Arial" w:hint="eastAsia"/>
          <w:sz w:val="20"/>
          <w:szCs w:val="20"/>
          <w:lang w:eastAsia="zh-CN"/>
        </w:rPr>
        <w:t>钨</w:t>
      </w:r>
      <w:r w:rsidR="003059DB">
        <w:rPr>
          <w:rFonts w:ascii="Arial" w:hAnsi="Arial" w:cs="Arial" w:hint="eastAsia"/>
          <w:sz w:val="20"/>
          <w:szCs w:val="20"/>
          <w:lang w:eastAsia="zh-CN"/>
        </w:rPr>
        <w:t>和黄金似乎来自刚果民主共和国或邻近国家时，公司必须</w:t>
      </w:r>
      <w:r w:rsidR="00DD5265">
        <w:rPr>
          <w:rFonts w:ascii="Arial" w:hAnsi="Arial" w:cs="Arial" w:hint="eastAsia"/>
          <w:sz w:val="20"/>
          <w:szCs w:val="20"/>
          <w:lang w:eastAsia="zh-CN"/>
        </w:rPr>
        <w:t>采取尽责行动，并提交一份</w:t>
      </w:r>
      <w:r w:rsidR="00914506">
        <w:rPr>
          <w:rFonts w:ascii="Arial" w:hAnsi="Arial" w:cs="Arial" w:hint="eastAsia"/>
          <w:sz w:val="20"/>
          <w:szCs w:val="20"/>
          <w:lang w:eastAsia="zh-CN"/>
        </w:rPr>
        <w:t>关于冲突地区矿产的公开报告。最后一条规则要求，</w:t>
      </w:r>
      <w:r w:rsidR="009B5D5D">
        <w:rPr>
          <w:rFonts w:ascii="Arial" w:hAnsi="Arial" w:cs="Arial" w:hint="eastAsia"/>
          <w:sz w:val="20"/>
          <w:szCs w:val="20"/>
          <w:lang w:eastAsia="zh-CN"/>
        </w:rPr>
        <w:t>尽责工作应符合受到国家或国际认可的尽责框架。美国证券交易委员会指出，经合组织的《受冲突影响和高风险区域矿石负责任的供应链尽责</w:t>
      </w:r>
      <w:r w:rsidR="009B5D5D" w:rsidRPr="009B5D5D">
        <w:rPr>
          <w:rFonts w:ascii="Arial" w:hAnsi="Arial" w:cs="Arial" w:hint="eastAsia"/>
          <w:sz w:val="20"/>
          <w:szCs w:val="20"/>
          <w:lang w:eastAsia="zh-CN"/>
        </w:rPr>
        <w:t>指南</w:t>
      </w:r>
      <w:r w:rsidR="009B5D5D">
        <w:rPr>
          <w:rFonts w:ascii="Arial" w:hAnsi="Arial" w:cs="Arial" w:hint="eastAsia"/>
          <w:sz w:val="20"/>
          <w:szCs w:val="20"/>
          <w:lang w:eastAsia="zh-CN"/>
        </w:rPr>
        <w:t>》符合委员会的标准。</w:t>
      </w:r>
      <w:r w:rsidR="00480568" w:rsidRPr="002B37B4">
        <w:rPr>
          <w:rFonts w:ascii="Arial" w:hAnsi="Arial" w:cs="Arial"/>
          <w:sz w:val="20"/>
          <w:szCs w:val="20"/>
          <w:lang w:eastAsia="zh-CN"/>
        </w:rPr>
        <w:t xml:space="preserve">  </w:t>
      </w:r>
    </w:p>
    <w:p w14:paraId="48D6ACEE" w14:textId="77777777" w:rsidR="00480568" w:rsidRPr="002B37B4" w:rsidRDefault="009B5D5D" w:rsidP="00480568">
      <w:pPr>
        <w:spacing w:after="120"/>
        <w:rPr>
          <w:rFonts w:ascii="Arial" w:hAnsi="Arial" w:cs="Arial"/>
          <w:sz w:val="20"/>
          <w:szCs w:val="20"/>
          <w:lang w:eastAsia="zh-CN"/>
        </w:rPr>
      </w:pPr>
      <w:r>
        <w:rPr>
          <w:rFonts w:ascii="Arial" w:hAnsi="Arial" w:cs="Arial" w:hint="eastAsia"/>
          <w:sz w:val="20"/>
          <w:szCs w:val="20"/>
          <w:lang w:eastAsia="zh-CN"/>
        </w:rPr>
        <w:t>原告在其诉讼中称，美国证券交易委员会在发布该规则时，没有考虑</w:t>
      </w:r>
      <w:r w:rsidR="00495125">
        <w:rPr>
          <w:rFonts w:ascii="Arial" w:hAnsi="Arial" w:cs="Arial" w:hint="eastAsia"/>
          <w:sz w:val="20"/>
          <w:szCs w:val="20"/>
          <w:lang w:eastAsia="zh-CN"/>
        </w:rPr>
        <w:t>其根据</w:t>
      </w:r>
      <w:r>
        <w:rPr>
          <w:rFonts w:ascii="Arial" w:hAnsi="Arial" w:cs="Arial" w:hint="eastAsia"/>
          <w:sz w:val="20"/>
          <w:szCs w:val="20"/>
          <w:lang w:eastAsia="zh-CN"/>
        </w:rPr>
        <w:t>《证券交易法》</w:t>
      </w:r>
      <w:r w:rsidR="00495125">
        <w:rPr>
          <w:rFonts w:ascii="Arial" w:hAnsi="Arial" w:cs="Arial" w:hint="eastAsia"/>
          <w:sz w:val="20"/>
          <w:szCs w:val="20"/>
          <w:lang w:eastAsia="zh-CN"/>
        </w:rPr>
        <w:t>而负有的法律义务，制定规则的程序在其他许多方面都是武断和随意的，该规则和《</w:t>
      </w:r>
      <w:r w:rsidR="00495125" w:rsidRPr="007224D6">
        <w:rPr>
          <w:rFonts w:ascii="Arial" w:hAnsi="Arial" w:cs="Arial" w:hint="eastAsia"/>
          <w:sz w:val="20"/>
          <w:szCs w:val="20"/>
          <w:lang w:eastAsia="zh-CN"/>
        </w:rPr>
        <w:t>多德</w:t>
      </w:r>
      <w:r w:rsidR="00495125" w:rsidRPr="007224D6">
        <w:rPr>
          <w:rFonts w:ascii="Arial" w:hAnsi="Arial" w:cs="Arial" w:hint="eastAsia"/>
          <w:sz w:val="20"/>
          <w:szCs w:val="20"/>
          <w:lang w:eastAsia="zh-CN"/>
        </w:rPr>
        <w:t xml:space="preserve"> - </w:t>
      </w:r>
      <w:r w:rsidR="00495125" w:rsidRPr="007224D6">
        <w:rPr>
          <w:rFonts w:ascii="Arial" w:hAnsi="Arial" w:cs="Arial" w:hint="eastAsia"/>
          <w:sz w:val="20"/>
          <w:szCs w:val="20"/>
          <w:lang w:eastAsia="zh-CN"/>
        </w:rPr>
        <w:t>弗兰克华尔街改革和消费者保护法案</w:t>
      </w:r>
      <w:r w:rsidR="00495125">
        <w:rPr>
          <w:rFonts w:ascii="Arial" w:hAnsi="Arial" w:cs="Arial" w:hint="eastAsia"/>
          <w:sz w:val="20"/>
          <w:szCs w:val="20"/>
          <w:lang w:eastAsia="zh-CN"/>
        </w:rPr>
        <w:t>》</w:t>
      </w:r>
      <w:r w:rsidR="00495125" w:rsidRPr="007224D6">
        <w:rPr>
          <w:rFonts w:ascii="Arial" w:hAnsi="Arial" w:cs="Arial" w:hint="eastAsia"/>
          <w:sz w:val="20"/>
          <w:szCs w:val="20"/>
          <w:lang w:eastAsia="zh-CN"/>
        </w:rPr>
        <w:t>第</w:t>
      </w:r>
      <w:r w:rsidR="00495125" w:rsidRPr="007224D6">
        <w:rPr>
          <w:rFonts w:ascii="Arial" w:hAnsi="Arial" w:cs="Arial" w:hint="eastAsia"/>
          <w:sz w:val="20"/>
          <w:szCs w:val="20"/>
          <w:lang w:eastAsia="zh-CN"/>
        </w:rPr>
        <w:t>1502</w:t>
      </w:r>
      <w:r w:rsidR="00495125">
        <w:rPr>
          <w:rFonts w:ascii="Arial" w:hAnsi="Arial" w:cs="Arial" w:hint="eastAsia"/>
          <w:sz w:val="20"/>
          <w:szCs w:val="20"/>
          <w:lang w:eastAsia="zh-CN"/>
        </w:rPr>
        <w:t>节所要求的公共披露，造成了强迫发言的情况，违反了《第一修正案》。美国哥伦比亚特区联邦地区法院驳回了他们的论点。联邦地区法院认为，美国证券交易委员会制定规则的方式符合国会的意愿，即</w:t>
      </w:r>
      <w:r w:rsidR="00480568" w:rsidRPr="002B37B4">
        <w:rPr>
          <w:rFonts w:ascii="Arial" w:hAnsi="Arial" w:cs="Arial"/>
          <w:sz w:val="20"/>
          <w:szCs w:val="20"/>
          <w:lang w:val="en-US" w:eastAsia="zh-CN"/>
        </w:rPr>
        <w:t xml:space="preserve"> </w:t>
      </w:r>
    </w:p>
    <w:p w14:paraId="6EB50F48" w14:textId="77777777" w:rsidR="00480568" w:rsidRPr="002B37B4" w:rsidRDefault="00DA23F0" w:rsidP="00480568">
      <w:pPr>
        <w:spacing w:after="120"/>
        <w:ind w:left="360" w:right="766"/>
        <w:jc w:val="both"/>
        <w:rPr>
          <w:rFonts w:ascii="Arial" w:hAnsi="Arial" w:cs="Arial"/>
          <w:sz w:val="20"/>
          <w:szCs w:val="20"/>
          <w:lang w:eastAsia="zh-CN"/>
        </w:rPr>
      </w:pPr>
      <w:r>
        <w:rPr>
          <w:rFonts w:ascii="Arial" w:hAnsi="Arial" w:cs="Arial" w:hint="eastAsia"/>
          <w:sz w:val="20"/>
          <w:szCs w:val="20"/>
          <w:lang w:eastAsia="zh-CN"/>
        </w:rPr>
        <w:t>为</w:t>
      </w:r>
      <w:r w:rsidR="00F60351">
        <w:rPr>
          <w:rFonts w:ascii="Arial" w:hAnsi="Arial" w:cs="Arial" w:hint="eastAsia"/>
          <w:sz w:val="20"/>
          <w:szCs w:val="20"/>
          <w:lang w:eastAsia="zh-CN"/>
        </w:rPr>
        <w:t>帮助结束刚果民主共和国冲突导致的侵犯人权情况</w:t>
      </w:r>
      <w:r>
        <w:rPr>
          <w:rFonts w:ascii="Arial" w:hAnsi="Arial" w:cs="Arial" w:hint="eastAsia"/>
          <w:sz w:val="20"/>
          <w:szCs w:val="20"/>
          <w:lang w:eastAsia="zh-CN"/>
        </w:rPr>
        <w:t>，国会选择用证券法的披露要求，来使公众更了解公司的冲突地区矿产的来源，并提倡在冲突地区矿产供应链方面的尽责行动。</w:t>
      </w:r>
      <w:r w:rsidR="00480568" w:rsidRPr="002B37B4">
        <w:rPr>
          <w:rFonts w:ascii="Arial" w:hAnsi="Arial" w:cs="Arial"/>
          <w:sz w:val="20"/>
          <w:szCs w:val="20"/>
          <w:lang w:eastAsia="zh-CN"/>
        </w:rPr>
        <w:t xml:space="preserve">  </w:t>
      </w:r>
    </w:p>
    <w:p w14:paraId="331841C8" w14:textId="77777777" w:rsidR="00480568" w:rsidRPr="002B37B4" w:rsidRDefault="00DA23F0" w:rsidP="00480568">
      <w:pPr>
        <w:spacing w:after="120"/>
        <w:rPr>
          <w:rFonts w:ascii="Arial" w:hAnsi="Arial" w:cs="Arial"/>
          <w:sz w:val="20"/>
          <w:szCs w:val="20"/>
          <w:lang w:eastAsia="zh-CN"/>
        </w:rPr>
      </w:pPr>
      <w:r>
        <w:rPr>
          <w:rFonts w:ascii="Arial" w:hAnsi="Arial" w:cs="Arial" w:hint="eastAsia"/>
          <w:sz w:val="20"/>
          <w:szCs w:val="20"/>
          <w:lang w:eastAsia="zh-CN"/>
        </w:rPr>
        <w:t>法院裁定，美国证券交易委员会的规则既不武断，也不随意，该规则及其所根据的法律也没有侵犯到行业的《第一修正案》权利。</w:t>
      </w:r>
      <w:r w:rsidR="00480568" w:rsidRPr="002B37B4">
        <w:rPr>
          <w:rFonts w:ascii="Arial" w:hAnsi="Arial" w:cs="Arial"/>
          <w:sz w:val="20"/>
          <w:szCs w:val="20"/>
          <w:lang w:val="en-US" w:eastAsia="zh-CN"/>
        </w:rPr>
        <w:t xml:space="preserve">   </w:t>
      </w:r>
    </w:p>
    <w:p w14:paraId="44A05C9D" w14:textId="77777777" w:rsidR="00480568" w:rsidRPr="002B37B4" w:rsidRDefault="00480568" w:rsidP="00480568">
      <w:pPr>
        <w:pStyle w:val="Heading2"/>
        <w:numPr>
          <w:ilvl w:val="0"/>
          <w:numId w:val="4"/>
        </w:numPr>
        <w:rPr>
          <w:rFonts w:ascii="Arial" w:hAnsi="Arial" w:cs="Arial"/>
          <w:sz w:val="20"/>
          <w:szCs w:val="20"/>
          <w:lang w:val="en-US"/>
        </w:rPr>
      </w:pPr>
      <w:bookmarkStart w:id="10" w:name="_Toc372707271"/>
      <w:r w:rsidRPr="002B37B4">
        <w:rPr>
          <w:rFonts w:ascii="Arial" w:hAnsi="Arial" w:cs="Arial"/>
          <w:sz w:val="20"/>
          <w:szCs w:val="20"/>
          <w:lang w:val="en-US" w:eastAsia="zh-CN"/>
        </w:rPr>
        <w:lastRenderedPageBreak/>
        <w:t xml:space="preserve"> </w:t>
      </w:r>
      <w:bookmarkStart w:id="11" w:name="_Toc372820017"/>
      <w:r w:rsidR="00DA23F0">
        <w:rPr>
          <w:rFonts w:ascii="Arial" w:hAnsi="Arial" w:cs="Arial" w:hint="eastAsia"/>
          <w:sz w:val="20"/>
          <w:szCs w:val="20"/>
          <w:lang w:val="en-US" w:eastAsia="zh-CN"/>
        </w:rPr>
        <w:t>尽责监管手段的组合</w:t>
      </w:r>
      <w:bookmarkEnd w:id="10"/>
      <w:bookmarkEnd w:id="11"/>
      <w:r w:rsidRPr="002B37B4">
        <w:rPr>
          <w:rFonts w:ascii="Arial" w:hAnsi="Arial" w:cs="Arial"/>
          <w:sz w:val="20"/>
          <w:szCs w:val="20"/>
          <w:lang w:val="en-US"/>
        </w:rPr>
        <w:t xml:space="preserve"> </w:t>
      </w:r>
    </w:p>
    <w:p w14:paraId="570DCD66" w14:textId="77777777" w:rsidR="00480568" w:rsidRPr="002B37B4" w:rsidRDefault="00480568" w:rsidP="00480568">
      <w:pPr>
        <w:rPr>
          <w:rFonts w:ascii="Arial" w:hAnsi="Arial" w:cs="Arial"/>
          <w:sz w:val="20"/>
          <w:szCs w:val="20"/>
          <w:lang w:val="en-US"/>
        </w:rPr>
      </w:pPr>
    </w:p>
    <w:p w14:paraId="478D9E24" w14:textId="77777777" w:rsidR="00480568" w:rsidRPr="002B37B4" w:rsidRDefault="00DA23F0" w:rsidP="00480568">
      <w:pPr>
        <w:pStyle w:val="NormalWeb"/>
        <w:spacing w:before="0" w:beforeAutospacing="0" w:after="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第四类鼓励或要求尽责的监管手段，是将上述的一种或多种手段组合</w:t>
      </w:r>
      <w:r w:rsidR="009B645F" w:rsidRPr="005B6D61">
        <w:rPr>
          <w:rFonts w:ascii="PMingLiU" w:eastAsia="SimSun" w:hAnsi="PMingLiU" w:cs="Arial" w:hint="eastAsia"/>
          <w:sz w:val="20"/>
          <w:szCs w:val="20"/>
          <w:lang w:val="en-US" w:eastAsia="zh-CN"/>
        </w:rPr>
        <w:t>起来</w:t>
      </w:r>
      <w:r>
        <w:rPr>
          <w:rFonts w:asciiTheme="minorEastAsia" w:eastAsiaTheme="minorEastAsia" w:hAnsiTheme="minorEastAsia" w:cs="Arial" w:hint="eastAsia"/>
          <w:sz w:val="20"/>
          <w:szCs w:val="20"/>
          <w:lang w:val="en-US" w:eastAsia="zh-CN"/>
        </w:rPr>
        <w:t>。国家经常组合这些手段中的某些方面，</w:t>
      </w:r>
      <w:r w:rsidR="009B645F" w:rsidRPr="005B6D61">
        <w:rPr>
          <w:rFonts w:asciiTheme="minorEastAsia" w:eastAsia="SimSun" w:hAnsiTheme="minorEastAsia" w:cs="Arial" w:hint="eastAsia"/>
          <w:sz w:val="20"/>
          <w:szCs w:val="20"/>
          <w:lang w:val="en-US" w:eastAsia="zh-CN"/>
        </w:rPr>
        <w:t>并</w:t>
      </w:r>
      <w:r>
        <w:rPr>
          <w:rFonts w:asciiTheme="minorEastAsia" w:eastAsiaTheme="minorEastAsia" w:hAnsiTheme="minorEastAsia" w:cs="Arial" w:hint="eastAsia"/>
          <w:sz w:val="20"/>
          <w:szCs w:val="20"/>
          <w:lang w:val="en-US" w:eastAsia="zh-CN"/>
        </w:rPr>
        <w:t>设立一个奖励结构，来提倡企业尊重规则中设定的标准</w:t>
      </w:r>
      <w:r w:rsidR="00641A1E">
        <w:rPr>
          <w:rFonts w:asciiTheme="minorEastAsia" w:eastAsiaTheme="minorEastAsia" w:hAnsiTheme="minorEastAsia" w:cs="Arial" w:hint="eastAsia"/>
          <w:sz w:val="20"/>
          <w:szCs w:val="20"/>
          <w:lang w:val="en-US" w:eastAsia="zh-CN"/>
        </w:rPr>
        <w:t>，并确保能以有效方式评估合规情况。例如，</w:t>
      </w:r>
      <w:r w:rsidR="0071049B">
        <w:rPr>
          <w:rFonts w:asciiTheme="minorEastAsia" w:eastAsiaTheme="minorEastAsia" w:hAnsiTheme="minorEastAsia" w:cs="Arial" w:hint="eastAsia"/>
          <w:sz w:val="20"/>
          <w:szCs w:val="20"/>
          <w:lang w:val="en-US" w:eastAsia="zh-CN"/>
        </w:rPr>
        <w:t>环保、劳工权利、消费者保护或反腐方面的</w:t>
      </w:r>
      <w:r w:rsidR="00641A1E">
        <w:rPr>
          <w:rFonts w:asciiTheme="minorEastAsia" w:eastAsiaTheme="minorEastAsia" w:hAnsiTheme="minorEastAsia" w:cs="Arial" w:hint="eastAsia"/>
          <w:sz w:val="20"/>
          <w:szCs w:val="20"/>
          <w:lang w:val="en-US" w:eastAsia="zh-CN"/>
        </w:rPr>
        <w:t>行政规则</w:t>
      </w:r>
      <w:r w:rsidR="0071049B">
        <w:rPr>
          <w:rFonts w:asciiTheme="minorEastAsia" w:eastAsiaTheme="minorEastAsia" w:hAnsiTheme="minorEastAsia" w:cs="Arial" w:hint="eastAsia"/>
          <w:sz w:val="20"/>
          <w:szCs w:val="20"/>
          <w:lang w:val="en-US" w:eastAsia="zh-CN"/>
        </w:rPr>
        <w:t>可能要求，根据企业的尽责工作来决定是否颁发执照或许可。此类规则的执行可能</w:t>
      </w:r>
      <w:r w:rsidR="00FE2D2D">
        <w:rPr>
          <w:rFonts w:asciiTheme="minorEastAsia" w:eastAsiaTheme="minorEastAsia" w:hAnsiTheme="minorEastAsia" w:cs="Arial" w:hint="eastAsia"/>
          <w:sz w:val="20"/>
          <w:szCs w:val="20"/>
          <w:lang w:val="en-US" w:eastAsia="zh-CN"/>
        </w:rPr>
        <w:t>将行政处罚（罚款）、刑事制裁和民事诉讼组合起来，而尽责行动则可被作为辩护理由。</w:t>
      </w:r>
      <w:r w:rsidR="00480568" w:rsidRPr="002B37B4">
        <w:rPr>
          <w:rFonts w:ascii="Arial" w:hAnsi="Arial" w:cs="Arial"/>
          <w:sz w:val="20"/>
          <w:szCs w:val="20"/>
          <w:lang w:val="en-US"/>
        </w:rPr>
        <w:t xml:space="preserve"> </w:t>
      </w:r>
    </w:p>
    <w:p w14:paraId="1EF8ADFC" w14:textId="77777777" w:rsidR="00480568" w:rsidRPr="002B37B4" w:rsidRDefault="00480568" w:rsidP="00480568">
      <w:pPr>
        <w:pStyle w:val="NormalWeb"/>
        <w:spacing w:before="0" w:beforeAutospacing="0" w:after="0" w:afterAutospacing="0"/>
        <w:rPr>
          <w:rFonts w:ascii="Arial" w:hAnsi="Arial" w:cs="Arial"/>
          <w:sz w:val="20"/>
          <w:szCs w:val="20"/>
          <w:lang w:val="en-US"/>
        </w:rPr>
      </w:pPr>
    </w:p>
    <w:p w14:paraId="45376D65" w14:textId="77777777" w:rsidR="00480568" w:rsidRPr="002B37B4" w:rsidRDefault="00FE2D2D" w:rsidP="00480568">
      <w:pPr>
        <w:spacing w:after="0"/>
        <w:rPr>
          <w:rFonts w:ascii="Arial" w:hAnsi="Arial" w:cs="Arial"/>
          <w:sz w:val="20"/>
          <w:szCs w:val="20"/>
          <w:lang w:eastAsia="zh-CN"/>
        </w:rPr>
      </w:pPr>
      <w:r>
        <w:rPr>
          <w:rFonts w:ascii="Arial" w:hAnsi="Arial" w:cs="Arial" w:hint="eastAsia"/>
          <w:sz w:val="20"/>
          <w:szCs w:val="20"/>
          <w:lang w:eastAsia="zh-CN"/>
        </w:rPr>
        <w:t>2013</w:t>
      </w:r>
      <w:r>
        <w:rPr>
          <w:rFonts w:ascii="Arial" w:hAnsi="Arial" w:cs="Arial" w:hint="eastAsia"/>
          <w:sz w:val="20"/>
          <w:szCs w:val="20"/>
          <w:lang w:eastAsia="zh-CN"/>
        </w:rPr>
        <w:t>年</w:t>
      </w:r>
      <w:r>
        <w:rPr>
          <w:rFonts w:ascii="Arial" w:hAnsi="Arial" w:cs="Arial" w:hint="eastAsia"/>
          <w:sz w:val="20"/>
          <w:szCs w:val="20"/>
          <w:lang w:eastAsia="zh-CN"/>
        </w:rPr>
        <w:t>3</w:t>
      </w:r>
      <w:r>
        <w:rPr>
          <w:rFonts w:ascii="Arial" w:hAnsi="Arial" w:cs="Arial" w:hint="eastAsia"/>
          <w:sz w:val="20"/>
          <w:szCs w:val="20"/>
          <w:lang w:eastAsia="zh-CN"/>
        </w:rPr>
        <w:t>月，美国重新授权通过《贩运受害者保护重新授权法》</w:t>
      </w:r>
      <w:r w:rsidR="00480568" w:rsidRPr="002B37B4">
        <w:rPr>
          <w:rFonts w:ascii="Arial" w:hAnsi="Arial" w:cs="Arial"/>
          <w:sz w:val="20"/>
          <w:szCs w:val="20"/>
          <w:lang w:eastAsia="zh-CN"/>
        </w:rPr>
        <w:t>(TVPRA)</w:t>
      </w:r>
      <w:r>
        <w:rPr>
          <w:rFonts w:ascii="Arial" w:hAnsi="Arial" w:cs="Arial" w:hint="eastAsia"/>
          <w:sz w:val="20"/>
          <w:szCs w:val="20"/>
          <w:lang w:eastAsia="zh-CN"/>
        </w:rPr>
        <w:t>。其中的条款要求，政府机构与公司一同确保他们的供应链中不存在用贩运劳工生产的材料</w:t>
      </w:r>
      <w:r w:rsidR="00480568" w:rsidRPr="002B37B4">
        <w:rPr>
          <w:rFonts w:ascii="Arial" w:hAnsi="Arial" w:cs="Arial"/>
          <w:sz w:val="20"/>
          <w:szCs w:val="20"/>
          <w:lang w:eastAsia="zh-CN"/>
        </w:rPr>
        <w:t xml:space="preserve"> </w:t>
      </w:r>
      <w:r>
        <w:rPr>
          <w:rFonts w:ascii="Arial" w:hAnsi="Arial" w:cs="Arial" w:hint="eastAsia"/>
          <w:sz w:val="20"/>
          <w:szCs w:val="20"/>
          <w:lang w:eastAsia="zh-CN"/>
        </w:rPr>
        <w:t>，企业也没有助长以性剥削为目的的贩运人口行为。该法律还修改了《反</w:t>
      </w:r>
      <w:r w:rsidRPr="00FE2D2D">
        <w:rPr>
          <w:rFonts w:ascii="Arial" w:hAnsi="Arial" w:cs="Arial" w:hint="eastAsia"/>
          <w:sz w:val="20"/>
          <w:szCs w:val="20"/>
          <w:lang w:eastAsia="zh-CN"/>
        </w:rPr>
        <w:t>诈骗腐败组织集团犯罪法</w:t>
      </w:r>
      <w:r>
        <w:rPr>
          <w:rFonts w:ascii="Arial" w:hAnsi="Arial" w:cs="Arial" w:hint="eastAsia"/>
          <w:sz w:val="20"/>
          <w:szCs w:val="20"/>
          <w:lang w:eastAsia="zh-CN"/>
        </w:rPr>
        <w:t>》</w:t>
      </w:r>
      <w:r w:rsidR="00480568" w:rsidRPr="002B37B4">
        <w:rPr>
          <w:rFonts w:ascii="Arial" w:hAnsi="Arial" w:cs="Arial"/>
          <w:sz w:val="20"/>
          <w:szCs w:val="20"/>
          <w:lang w:eastAsia="zh-CN"/>
        </w:rPr>
        <w:t>(RICO)</w:t>
      </w:r>
      <w:r>
        <w:rPr>
          <w:rFonts w:ascii="Arial" w:hAnsi="Arial" w:cs="Arial" w:hint="eastAsia"/>
          <w:sz w:val="20"/>
          <w:szCs w:val="20"/>
          <w:lang w:eastAsia="zh-CN"/>
        </w:rPr>
        <w:t>这一刑法，将外国劳工合同中的欺诈行为和奴役等犯罪一起定为上游犯罪。</w:t>
      </w:r>
      <w:r w:rsidR="00480568" w:rsidRPr="002B37B4">
        <w:rPr>
          <w:rFonts w:ascii="Arial" w:hAnsi="Arial" w:cs="Arial"/>
          <w:sz w:val="20"/>
          <w:szCs w:val="20"/>
          <w:lang w:eastAsia="zh-CN"/>
        </w:rPr>
        <w:t xml:space="preserve"> </w:t>
      </w:r>
    </w:p>
    <w:p w14:paraId="7A6C9527" w14:textId="77777777" w:rsidR="00480568" w:rsidRPr="002B37B4" w:rsidRDefault="00480568" w:rsidP="00480568">
      <w:pPr>
        <w:spacing w:after="0"/>
        <w:rPr>
          <w:rFonts w:ascii="Arial" w:hAnsi="Arial" w:cs="Arial"/>
          <w:sz w:val="20"/>
          <w:szCs w:val="20"/>
          <w:lang w:eastAsia="zh-CN"/>
        </w:rPr>
      </w:pPr>
    </w:p>
    <w:p w14:paraId="32A2F4BA" w14:textId="12A34DC6" w:rsidR="00480568" w:rsidRPr="002B37B4" w:rsidRDefault="00A13782" w:rsidP="00480568">
      <w:pPr>
        <w:spacing w:after="0"/>
        <w:rPr>
          <w:rFonts w:ascii="Arial" w:hAnsi="Arial" w:cs="Arial"/>
          <w:sz w:val="20"/>
          <w:szCs w:val="20"/>
          <w:lang w:eastAsia="zh-CN"/>
        </w:rPr>
      </w:pPr>
      <w:r>
        <w:rPr>
          <w:rFonts w:ascii="Arial" w:hAnsi="Arial" w:cs="Arial" w:hint="eastAsia"/>
          <w:sz w:val="20"/>
          <w:szCs w:val="20"/>
          <w:lang w:eastAsia="zh-CN"/>
        </w:rPr>
        <w:t>在</w:t>
      </w:r>
      <w:r>
        <w:rPr>
          <w:rFonts w:ascii="Arial" w:hAnsi="Arial" w:cs="Arial" w:hint="eastAsia"/>
          <w:sz w:val="20"/>
          <w:szCs w:val="20"/>
          <w:lang w:eastAsia="zh-CN"/>
        </w:rPr>
        <w:t>2013</w:t>
      </w:r>
      <w:r>
        <w:rPr>
          <w:rFonts w:ascii="Arial" w:hAnsi="Arial" w:cs="Arial" w:hint="eastAsia"/>
          <w:sz w:val="20"/>
          <w:szCs w:val="20"/>
          <w:lang w:eastAsia="zh-CN"/>
        </w:rPr>
        <w:t>年的《贩运受害者保护重新授权法》之前，美国还采取了一系列措施，强化规则来管理企业参加贩运和相关犯罪的风险。</w:t>
      </w:r>
      <w:r>
        <w:rPr>
          <w:rFonts w:ascii="Arial" w:hAnsi="Arial" w:cs="Arial" w:hint="eastAsia"/>
          <w:sz w:val="20"/>
          <w:szCs w:val="20"/>
          <w:lang w:eastAsia="zh-CN"/>
        </w:rPr>
        <w:t>2012</w:t>
      </w:r>
      <w:r>
        <w:rPr>
          <w:rFonts w:ascii="Arial" w:hAnsi="Arial" w:cs="Arial" w:hint="eastAsia"/>
          <w:sz w:val="20"/>
          <w:szCs w:val="20"/>
          <w:lang w:eastAsia="zh-CN"/>
        </w:rPr>
        <w:t>年</w:t>
      </w:r>
      <w:r>
        <w:rPr>
          <w:rFonts w:ascii="Arial" w:hAnsi="Arial" w:cs="Arial" w:hint="eastAsia"/>
          <w:sz w:val="20"/>
          <w:szCs w:val="20"/>
          <w:lang w:eastAsia="zh-CN"/>
        </w:rPr>
        <w:t>9</w:t>
      </w:r>
      <w:r>
        <w:rPr>
          <w:rFonts w:ascii="Arial" w:hAnsi="Arial" w:cs="Arial" w:hint="eastAsia"/>
          <w:sz w:val="20"/>
          <w:szCs w:val="20"/>
          <w:lang w:eastAsia="zh-CN"/>
        </w:rPr>
        <w:t>月，奥巴马总统下发了第</w:t>
      </w:r>
      <w:r>
        <w:rPr>
          <w:rFonts w:ascii="Arial" w:hAnsi="Arial" w:cs="Arial" w:hint="eastAsia"/>
          <w:sz w:val="20"/>
          <w:szCs w:val="20"/>
          <w:lang w:eastAsia="zh-CN"/>
        </w:rPr>
        <w:t>13627</w:t>
      </w:r>
      <w:r>
        <w:rPr>
          <w:rFonts w:ascii="Arial" w:hAnsi="Arial" w:cs="Arial" w:hint="eastAsia"/>
          <w:sz w:val="20"/>
          <w:szCs w:val="20"/>
          <w:lang w:eastAsia="zh-CN"/>
        </w:rPr>
        <w:t>号行政命令《在联邦合同中加强保护人们免遭人口贩运》，该命令禁止联邦承包商进行和</w:t>
      </w:r>
      <w:r w:rsidR="002A7AA9">
        <w:rPr>
          <w:rFonts w:ascii="Arial" w:hAnsi="Arial" w:cs="Arial" w:hint="eastAsia"/>
          <w:sz w:val="20"/>
          <w:szCs w:val="20"/>
          <w:lang w:eastAsia="zh-CN"/>
        </w:rPr>
        <w:t>人口</w:t>
      </w:r>
      <w:r>
        <w:rPr>
          <w:rFonts w:ascii="Arial" w:hAnsi="Arial" w:cs="Arial" w:hint="eastAsia"/>
          <w:sz w:val="20"/>
          <w:szCs w:val="20"/>
          <w:lang w:eastAsia="zh-CN"/>
        </w:rPr>
        <w:t>贩运相关的特定活动，并规定承包商和分包商负有积极义务，包括一些与其他公共采购计划规则十分相似的尽责奖励。</w:t>
      </w:r>
      <w:r w:rsidR="00480568" w:rsidRPr="002B37B4">
        <w:rPr>
          <w:rFonts w:ascii="Arial" w:hAnsi="Arial" w:cs="Arial"/>
          <w:sz w:val="20"/>
          <w:szCs w:val="20"/>
          <w:lang w:eastAsia="zh-CN"/>
        </w:rPr>
        <w:t xml:space="preserve"> </w:t>
      </w:r>
    </w:p>
    <w:p w14:paraId="30934B47" w14:textId="77777777" w:rsidR="00480568" w:rsidRPr="00711791" w:rsidRDefault="00480568" w:rsidP="00480568">
      <w:pPr>
        <w:spacing w:after="0"/>
        <w:rPr>
          <w:rFonts w:ascii="Arial" w:hAnsi="Arial" w:cs="Arial"/>
          <w:sz w:val="20"/>
          <w:szCs w:val="20"/>
          <w:lang w:eastAsia="zh-CN"/>
        </w:rPr>
      </w:pPr>
    </w:p>
    <w:p w14:paraId="1DBBB61E" w14:textId="37120907" w:rsidR="00480568" w:rsidRPr="002B37B4" w:rsidRDefault="002A7AA9" w:rsidP="00480568">
      <w:pPr>
        <w:spacing w:after="0"/>
        <w:rPr>
          <w:rFonts w:ascii="Arial" w:hAnsi="Arial" w:cs="Arial"/>
          <w:sz w:val="20"/>
          <w:szCs w:val="20"/>
          <w:lang w:eastAsia="zh-CN"/>
        </w:rPr>
      </w:pPr>
      <w:r>
        <w:rPr>
          <w:rFonts w:ascii="Arial" w:hAnsi="Arial" w:cs="Arial" w:hint="eastAsia"/>
          <w:sz w:val="20"/>
          <w:szCs w:val="20"/>
          <w:lang w:eastAsia="zh-CN"/>
        </w:rPr>
        <w:t>为确保合规，承包商及其分包商必须通过合同同意，对发包机构的审计和调查进行全面合作，而且对于价值超过</w:t>
      </w:r>
      <w:r>
        <w:rPr>
          <w:rFonts w:ascii="Arial" w:hAnsi="Arial" w:cs="Arial" w:hint="eastAsia"/>
          <w:sz w:val="20"/>
          <w:szCs w:val="20"/>
          <w:lang w:eastAsia="zh-CN"/>
        </w:rPr>
        <w:t>50</w:t>
      </w:r>
      <w:r>
        <w:rPr>
          <w:rFonts w:ascii="Arial" w:hAnsi="Arial" w:cs="Arial" w:hint="eastAsia"/>
          <w:sz w:val="20"/>
          <w:szCs w:val="20"/>
          <w:lang w:eastAsia="zh-CN"/>
        </w:rPr>
        <w:t>万美元的合同，承包商和分包商</w:t>
      </w:r>
      <w:r w:rsidR="00BA4489">
        <w:rPr>
          <w:rFonts w:ascii="Arial" w:hAnsi="Arial" w:cs="Arial" w:hint="eastAsia"/>
          <w:sz w:val="20"/>
          <w:szCs w:val="20"/>
          <w:lang w:eastAsia="zh-CN"/>
        </w:rPr>
        <w:t>须保有一份合规计划，其中包括切实的尽责措施。该行政命令</w:t>
      </w:r>
      <w:r w:rsidR="007B5725">
        <w:rPr>
          <w:rFonts w:ascii="Arial" w:hAnsi="Arial" w:cs="Arial" w:hint="eastAsia"/>
          <w:sz w:val="20"/>
          <w:szCs w:val="20"/>
          <w:lang w:eastAsia="zh-CN"/>
        </w:rPr>
        <w:t>涵盖美国国内或国外服务或产品的所有联邦合同，如果任何一项条款未受遵守，就可能导致合同的暂停或终止，还可能导致承包资格的取消。该行政命令</w:t>
      </w:r>
      <w:r w:rsidR="00DE7081">
        <w:rPr>
          <w:rFonts w:ascii="Arial" w:hAnsi="Arial" w:cs="Arial" w:hint="eastAsia"/>
          <w:sz w:val="20"/>
          <w:szCs w:val="20"/>
          <w:lang w:eastAsia="zh-CN"/>
        </w:rPr>
        <w:t>未规定有</w:t>
      </w:r>
      <w:r w:rsidR="007B5725">
        <w:rPr>
          <w:rFonts w:ascii="Arial" w:hAnsi="Arial" w:cs="Arial" w:hint="eastAsia"/>
          <w:sz w:val="20"/>
          <w:szCs w:val="20"/>
          <w:lang w:eastAsia="zh-CN"/>
        </w:rPr>
        <w:t>私人诉讼的权利，但</w:t>
      </w:r>
      <w:r w:rsidR="00480568" w:rsidRPr="002B37B4">
        <w:rPr>
          <w:rFonts w:ascii="Arial" w:hAnsi="Arial" w:cs="Arial"/>
          <w:sz w:val="20"/>
          <w:szCs w:val="20"/>
          <w:lang w:eastAsia="zh-CN"/>
        </w:rPr>
        <w:t xml:space="preserve"> </w:t>
      </w:r>
      <w:r w:rsidR="007B5725">
        <w:rPr>
          <w:rFonts w:ascii="Arial" w:hAnsi="Arial" w:cs="Arial" w:hint="eastAsia"/>
          <w:sz w:val="20"/>
          <w:szCs w:val="20"/>
          <w:lang w:eastAsia="zh-CN"/>
        </w:rPr>
        <w:t>《</w:t>
      </w:r>
      <w:r w:rsidR="007B5725" w:rsidRPr="007B5725">
        <w:rPr>
          <w:rFonts w:ascii="Arial" w:hAnsi="Arial" w:cs="Arial" w:hint="eastAsia"/>
          <w:sz w:val="20"/>
          <w:szCs w:val="20"/>
          <w:lang w:eastAsia="zh-CN"/>
        </w:rPr>
        <w:t>人口贩运受害者保护法</w:t>
      </w:r>
      <w:r w:rsidR="007B5725">
        <w:rPr>
          <w:rFonts w:ascii="Arial" w:hAnsi="Arial" w:cs="Arial" w:hint="eastAsia"/>
          <w:sz w:val="20"/>
          <w:szCs w:val="20"/>
          <w:lang w:eastAsia="zh-CN"/>
        </w:rPr>
        <w:t>》</w:t>
      </w:r>
      <w:r w:rsidR="00DE7081">
        <w:rPr>
          <w:rFonts w:ascii="Arial" w:hAnsi="Arial" w:cs="Arial" w:hint="eastAsia"/>
          <w:sz w:val="20"/>
          <w:szCs w:val="20"/>
          <w:lang w:eastAsia="zh-CN"/>
        </w:rPr>
        <w:t>（</w:t>
      </w:r>
      <w:r w:rsidR="00DE7081">
        <w:rPr>
          <w:rFonts w:ascii="Arial" w:hAnsi="Arial" w:cs="Arial" w:hint="eastAsia"/>
          <w:sz w:val="20"/>
          <w:szCs w:val="20"/>
          <w:lang w:eastAsia="zh-CN"/>
        </w:rPr>
        <w:t>2003</w:t>
      </w:r>
      <w:r w:rsidR="00DE7081">
        <w:rPr>
          <w:rFonts w:ascii="Arial" w:hAnsi="Arial" w:cs="Arial" w:hint="eastAsia"/>
          <w:sz w:val="20"/>
          <w:szCs w:val="20"/>
          <w:lang w:eastAsia="zh-CN"/>
        </w:rPr>
        <w:t>）中存在该权利：</w:t>
      </w:r>
      <w:r w:rsidR="00DE7081">
        <w:rPr>
          <w:rFonts w:ascii="Arial" w:hAnsi="Arial" w:cs="Arial" w:hint="eastAsia"/>
          <w:sz w:val="20"/>
          <w:szCs w:val="20"/>
          <w:lang w:eastAsia="zh-CN"/>
        </w:rPr>
        <w:t>2013</w:t>
      </w:r>
      <w:r w:rsidR="00DE7081">
        <w:rPr>
          <w:rFonts w:ascii="Arial" w:hAnsi="Arial" w:cs="Arial" w:hint="eastAsia"/>
          <w:sz w:val="20"/>
          <w:szCs w:val="20"/>
          <w:lang w:eastAsia="zh-CN"/>
        </w:rPr>
        <w:t>年</w:t>
      </w:r>
      <w:r w:rsidR="00DE7081">
        <w:rPr>
          <w:rFonts w:ascii="Arial" w:hAnsi="Arial" w:cs="Arial" w:hint="eastAsia"/>
          <w:sz w:val="20"/>
          <w:szCs w:val="20"/>
          <w:lang w:eastAsia="zh-CN"/>
        </w:rPr>
        <w:t>8</w:t>
      </w:r>
      <w:r w:rsidR="00DE7081">
        <w:rPr>
          <w:rFonts w:ascii="Arial" w:hAnsi="Arial" w:cs="Arial" w:hint="eastAsia"/>
          <w:sz w:val="20"/>
          <w:szCs w:val="20"/>
          <w:lang w:eastAsia="zh-CN"/>
        </w:rPr>
        <w:t>月，总部设在美国的承包商</w:t>
      </w:r>
      <w:r w:rsidR="00480568" w:rsidRPr="002B37B4">
        <w:rPr>
          <w:rFonts w:ascii="Arial" w:hAnsi="Arial" w:cs="Arial"/>
          <w:sz w:val="20"/>
          <w:szCs w:val="20"/>
          <w:lang w:eastAsia="zh-CN"/>
        </w:rPr>
        <w:t>KBR</w:t>
      </w:r>
      <w:r w:rsidR="00DE7081">
        <w:rPr>
          <w:rFonts w:ascii="Arial" w:hAnsi="Arial" w:cs="Arial" w:hint="eastAsia"/>
          <w:sz w:val="20"/>
          <w:szCs w:val="20"/>
          <w:lang w:eastAsia="zh-CN"/>
        </w:rPr>
        <w:t>及其约旦子公司，被命令在一家美国联邦法院受审，这是根据该法律针对</w:t>
      </w:r>
      <w:r w:rsidR="00A96249">
        <w:rPr>
          <w:rFonts w:ascii="Arial" w:hAnsi="Arial" w:cs="Arial" w:hint="eastAsia"/>
          <w:sz w:val="20"/>
          <w:szCs w:val="20"/>
          <w:lang w:eastAsia="zh-CN"/>
        </w:rPr>
        <w:t>企业</w:t>
      </w:r>
      <w:r w:rsidR="00860658">
        <w:rPr>
          <w:rFonts w:ascii="Arial" w:hAnsi="Arial" w:cs="Arial" w:hint="eastAsia"/>
          <w:sz w:val="20"/>
          <w:szCs w:val="20"/>
          <w:lang w:eastAsia="zh-CN"/>
        </w:rPr>
        <w:t>进行的首批</w:t>
      </w:r>
      <w:r w:rsidR="00DE7081">
        <w:rPr>
          <w:rFonts w:ascii="Arial" w:hAnsi="Arial" w:cs="Arial" w:hint="eastAsia"/>
          <w:sz w:val="20"/>
          <w:szCs w:val="20"/>
          <w:lang w:eastAsia="zh-CN"/>
        </w:rPr>
        <w:t>诉讼</w:t>
      </w:r>
      <w:r w:rsidR="00860658">
        <w:rPr>
          <w:rFonts w:ascii="Arial" w:hAnsi="Arial" w:cs="Arial" w:hint="eastAsia"/>
          <w:sz w:val="20"/>
          <w:szCs w:val="20"/>
          <w:lang w:eastAsia="zh-CN"/>
        </w:rPr>
        <w:t>之一</w:t>
      </w:r>
      <w:r w:rsidR="00DE7081">
        <w:rPr>
          <w:rFonts w:ascii="Arial" w:hAnsi="Arial" w:cs="Arial" w:hint="eastAsia"/>
          <w:sz w:val="20"/>
          <w:szCs w:val="20"/>
          <w:lang w:eastAsia="zh-CN"/>
        </w:rPr>
        <w:t>。</w:t>
      </w:r>
      <w:r w:rsidR="00480568" w:rsidRPr="002B37B4">
        <w:rPr>
          <w:rFonts w:ascii="Arial" w:hAnsi="Arial" w:cs="Arial"/>
          <w:sz w:val="20"/>
          <w:szCs w:val="20"/>
          <w:lang w:eastAsia="zh-CN"/>
        </w:rPr>
        <w:t xml:space="preserve">  </w:t>
      </w:r>
    </w:p>
    <w:p w14:paraId="45464FC6" w14:textId="77777777" w:rsidR="00480568" w:rsidRPr="002B37B4" w:rsidRDefault="00480568" w:rsidP="00480568">
      <w:pPr>
        <w:spacing w:after="0"/>
        <w:rPr>
          <w:rFonts w:ascii="Arial" w:hAnsi="Arial" w:cs="Arial"/>
          <w:sz w:val="20"/>
          <w:szCs w:val="20"/>
          <w:lang w:eastAsia="zh-CN"/>
        </w:rPr>
      </w:pPr>
    </w:p>
    <w:p w14:paraId="356F4595" w14:textId="77777777" w:rsidR="00480568" w:rsidRPr="0000036F" w:rsidRDefault="00860658" w:rsidP="00480568">
      <w:pPr>
        <w:spacing w:after="0"/>
        <w:rPr>
          <w:rFonts w:ascii="Arial" w:hAnsi="Arial" w:cs="Arial"/>
          <w:sz w:val="20"/>
          <w:szCs w:val="20"/>
          <w:lang w:eastAsia="zh-CN"/>
        </w:rPr>
      </w:pPr>
      <w:r>
        <w:rPr>
          <w:rFonts w:ascii="Arial" w:hAnsi="Arial" w:cs="Arial" w:hint="eastAsia"/>
          <w:sz w:val="20"/>
          <w:szCs w:val="20"/>
          <w:lang w:eastAsia="zh-CN"/>
        </w:rPr>
        <w:t>国家</w:t>
      </w:r>
      <w:r w:rsidR="00E51A84">
        <w:rPr>
          <w:rFonts w:ascii="Arial" w:hAnsi="Arial" w:cs="Arial" w:hint="eastAsia"/>
          <w:sz w:val="20"/>
          <w:szCs w:val="20"/>
          <w:lang w:eastAsia="zh-CN"/>
        </w:rPr>
        <w:t>与企业的接触、采购方面的要求、披露规则及刑事和民事补救的组合，是联合国《指导原则》所称的</w:t>
      </w:r>
      <w:r w:rsidR="00E51A84">
        <w:rPr>
          <w:rFonts w:ascii="Arial" w:hAnsi="Arial" w:cs="Arial" w:hint="eastAsia"/>
          <w:sz w:val="20"/>
          <w:szCs w:val="20"/>
          <w:lang w:eastAsia="zh-CN"/>
        </w:rPr>
        <w:t xml:space="preserve"> </w:t>
      </w:r>
      <w:r w:rsidR="00E51A84">
        <w:rPr>
          <w:rFonts w:ascii="Arial" w:hAnsi="Arial" w:cs="Arial" w:hint="eastAsia"/>
          <w:sz w:val="20"/>
          <w:szCs w:val="20"/>
          <w:lang w:eastAsia="zh-CN"/>
        </w:rPr>
        <w:t>“明智混合”</w:t>
      </w:r>
      <w:r w:rsidR="00E51A84" w:rsidRPr="00E51A84">
        <w:rPr>
          <w:rFonts w:ascii="Arial" w:hAnsi="Arial" w:cs="Arial" w:hint="eastAsia"/>
          <w:sz w:val="20"/>
          <w:szCs w:val="20"/>
          <w:lang w:eastAsia="zh-CN"/>
        </w:rPr>
        <w:t xml:space="preserve"> </w:t>
      </w:r>
      <w:r w:rsidR="00E51A84">
        <w:rPr>
          <w:rFonts w:ascii="Arial" w:hAnsi="Arial" w:cs="Arial" w:hint="eastAsia"/>
          <w:sz w:val="20"/>
          <w:szCs w:val="20"/>
          <w:lang w:eastAsia="zh-CN"/>
        </w:rPr>
        <w:t>措施的体现，来促使企业尊重人权。《指导原则》本身</w:t>
      </w:r>
      <w:r w:rsidR="0000036F">
        <w:rPr>
          <w:rFonts w:ascii="Arial" w:hAnsi="Arial" w:cs="Arial" w:hint="eastAsia"/>
          <w:sz w:val="20"/>
          <w:szCs w:val="20"/>
          <w:lang w:eastAsia="zh-CN"/>
        </w:rPr>
        <w:t>也阐述了武装冲突地区商业活动方面的</w:t>
      </w:r>
      <w:r w:rsidR="0000036F">
        <w:rPr>
          <w:rFonts w:ascii="Arial" w:hAnsi="Arial" w:cs="Arial" w:hint="eastAsia"/>
          <w:sz w:val="20"/>
          <w:szCs w:val="20"/>
          <w:lang w:val="en-US" w:eastAsia="zh-CN"/>
        </w:rPr>
        <w:t>混合做法。《指导原则》第</w:t>
      </w:r>
      <w:r w:rsidR="0000036F">
        <w:rPr>
          <w:rFonts w:ascii="Arial" w:hAnsi="Arial" w:cs="Arial" w:hint="eastAsia"/>
          <w:sz w:val="20"/>
          <w:szCs w:val="20"/>
          <w:lang w:val="en-US" w:eastAsia="zh-CN"/>
        </w:rPr>
        <w:t>7</w:t>
      </w:r>
      <w:r w:rsidR="0000036F">
        <w:rPr>
          <w:rFonts w:ascii="Arial" w:hAnsi="Arial" w:cs="Arial" w:hint="eastAsia"/>
          <w:sz w:val="20"/>
          <w:szCs w:val="20"/>
          <w:lang w:val="en-US" w:eastAsia="zh-CN"/>
        </w:rPr>
        <w:t>条《在受冲突影响地区支持企业尊重人权》提出，国家应尽早接触并帮助企业“确认、防止和缓解”某一特定暴力冲突背景下的人权风险。在进行接触时，应在企业拒绝合作的情况下，可以撤除公共支持，</w:t>
      </w:r>
      <w:r w:rsidR="000108F1">
        <w:rPr>
          <w:rFonts w:ascii="Arial" w:hAnsi="Arial" w:cs="Arial" w:hint="eastAsia"/>
          <w:sz w:val="20"/>
          <w:szCs w:val="20"/>
          <w:lang w:val="en-US" w:eastAsia="zh-CN"/>
        </w:rPr>
        <w:t>而且</w:t>
      </w:r>
      <w:r w:rsidR="0000036F">
        <w:rPr>
          <w:rFonts w:ascii="Arial" w:hAnsi="Arial" w:cs="Arial" w:hint="eastAsia"/>
          <w:sz w:val="20"/>
          <w:szCs w:val="20"/>
          <w:lang w:val="en-US" w:eastAsia="zh-CN"/>
        </w:rPr>
        <w:t>执行措施可有效应对工商企业参与严重侵犯人权的危险。”</w:t>
      </w:r>
      <w:r w:rsidR="00480568" w:rsidRPr="002B37B4">
        <w:rPr>
          <w:rFonts w:ascii="Arial" w:hAnsi="Arial" w:cs="Arial"/>
          <w:sz w:val="20"/>
          <w:szCs w:val="20"/>
          <w:lang w:val="en-US" w:eastAsia="zh-CN"/>
        </w:rPr>
        <w:t xml:space="preserve"> </w:t>
      </w:r>
    </w:p>
    <w:p w14:paraId="08CD3921" w14:textId="77777777" w:rsidR="00480568" w:rsidRPr="002B37B4" w:rsidRDefault="000108F1"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CA" w:eastAsia="zh-CN"/>
        </w:rPr>
        <w:t>2013年，在以色列占领的西岸地区的荷兰投资情况，体现了这种针对冲突地区商业活动的做法。</w:t>
      </w:r>
      <w:r w:rsidR="00B14225">
        <w:rPr>
          <w:rFonts w:asciiTheme="minorEastAsia" w:eastAsiaTheme="minorEastAsia" w:hAnsiTheme="minorEastAsia" w:cs="Arial" w:hint="eastAsia"/>
          <w:sz w:val="20"/>
          <w:szCs w:val="20"/>
          <w:lang w:val="en-CA" w:eastAsia="zh-CN"/>
        </w:rPr>
        <w:t>一家荷兰工程公司</w:t>
      </w:r>
      <w:r w:rsidR="00B14225" w:rsidRPr="00B14225">
        <w:rPr>
          <w:rFonts w:asciiTheme="minorEastAsia" w:eastAsiaTheme="minorEastAsia" w:hAnsiTheme="minorEastAsia" w:cs="Arial" w:hint="eastAsia"/>
          <w:sz w:val="20"/>
          <w:szCs w:val="20"/>
          <w:lang w:val="en-CA" w:eastAsia="zh-CN"/>
        </w:rPr>
        <w:t>皇家豪思康宁DHV</w:t>
      </w:r>
      <w:r w:rsidR="00150791">
        <w:rPr>
          <w:rFonts w:asciiTheme="minorEastAsia" w:eastAsiaTheme="minorEastAsia" w:hAnsiTheme="minorEastAsia" w:cs="Arial" w:hint="eastAsia"/>
          <w:sz w:val="20"/>
          <w:szCs w:val="20"/>
          <w:lang w:val="en-CA" w:eastAsia="zh-CN"/>
        </w:rPr>
        <w:t>（</w:t>
      </w:r>
      <w:r w:rsidR="00150791" w:rsidRPr="002B37B4">
        <w:rPr>
          <w:rFonts w:ascii="Arial" w:hAnsi="Arial" w:cs="Arial"/>
          <w:sz w:val="20"/>
          <w:szCs w:val="20"/>
          <w:lang w:val="en-US"/>
        </w:rPr>
        <w:t xml:space="preserve">Royal </w:t>
      </w:r>
      <w:proofErr w:type="spellStart"/>
      <w:r w:rsidR="00150791" w:rsidRPr="002B37B4">
        <w:rPr>
          <w:rFonts w:ascii="Arial" w:hAnsi="Arial" w:cs="Arial"/>
          <w:sz w:val="20"/>
          <w:szCs w:val="20"/>
          <w:lang w:val="en-US"/>
        </w:rPr>
        <w:t>Haskoning</w:t>
      </w:r>
      <w:proofErr w:type="spellEnd"/>
      <w:r w:rsidR="00150791" w:rsidRPr="002B37B4">
        <w:rPr>
          <w:rFonts w:ascii="Arial" w:hAnsi="Arial" w:cs="Arial"/>
          <w:sz w:val="20"/>
          <w:szCs w:val="20"/>
          <w:lang w:val="en-US"/>
        </w:rPr>
        <w:t xml:space="preserve"> DHV</w:t>
      </w:r>
      <w:r w:rsidR="00150791">
        <w:rPr>
          <w:rFonts w:asciiTheme="minorEastAsia" w:eastAsiaTheme="minorEastAsia" w:hAnsiTheme="minorEastAsia" w:cs="Arial" w:hint="eastAsia"/>
          <w:sz w:val="20"/>
          <w:szCs w:val="20"/>
          <w:lang w:val="en-US" w:eastAsia="zh-CN"/>
        </w:rPr>
        <w:t>）</w:t>
      </w:r>
      <w:r w:rsidR="00B14225">
        <w:rPr>
          <w:rFonts w:asciiTheme="minorEastAsia" w:eastAsiaTheme="minorEastAsia" w:hAnsiTheme="minorEastAsia" w:cs="Arial" w:hint="eastAsia"/>
          <w:sz w:val="20"/>
          <w:szCs w:val="20"/>
          <w:lang w:val="en-CA" w:eastAsia="zh-CN"/>
        </w:rPr>
        <w:t>在9月宣布，他们从被占的东耶路撒冷的一个</w:t>
      </w:r>
      <w:r w:rsidR="00B14225" w:rsidRPr="00B14225">
        <w:rPr>
          <w:rFonts w:asciiTheme="minorEastAsia" w:eastAsiaTheme="minorEastAsia" w:hAnsiTheme="minorEastAsia" w:cs="Arial" w:hint="eastAsia"/>
          <w:sz w:val="20"/>
          <w:szCs w:val="20"/>
          <w:lang w:val="en-CA" w:eastAsia="zh-CN"/>
        </w:rPr>
        <w:t>污水处理厂</w:t>
      </w:r>
      <w:r w:rsidR="00B14225">
        <w:rPr>
          <w:rFonts w:asciiTheme="minorEastAsia" w:eastAsiaTheme="minorEastAsia" w:hAnsiTheme="minorEastAsia" w:cs="Arial" w:hint="eastAsia"/>
          <w:sz w:val="20"/>
          <w:szCs w:val="20"/>
          <w:lang w:val="en-CA" w:eastAsia="zh-CN"/>
        </w:rPr>
        <w:t>撤出业务活动。</w:t>
      </w:r>
      <w:r w:rsidR="00480568" w:rsidRPr="002B37B4">
        <w:rPr>
          <w:rFonts w:ascii="Arial" w:hAnsi="Arial" w:cs="Arial"/>
          <w:sz w:val="20"/>
          <w:szCs w:val="20"/>
          <w:lang w:val="en-US"/>
        </w:rPr>
        <w:t xml:space="preserve"> </w:t>
      </w:r>
    </w:p>
    <w:p w14:paraId="44154BDA" w14:textId="7C2FED58" w:rsidR="00480568" w:rsidRPr="002B37B4" w:rsidRDefault="00B14225"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荷兰政府在该</w:t>
      </w:r>
      <w:r w:rsidR="00150791">
        <w:rPr>
          <w:rFonts w:asciiTheme="minorEastAsia" w:eastAsiaTheme="minorEastAsia" w:hAnsiTheme="minorEastAsia" w:cs="Arial" w:hint="eastAsia"/>
          <w:sz w:val="20"/>
          <w:szCs w:val="20"/>
          <w:lang w:val="en-US" w:eastAsia="zh-CN"/>
        </w:rPr>
        <w:t>决定</w:t>
      </w:r>
      <w:r>
        <w:rPr>
          <w:rFonts w:asciiTheme="minorEastAsia" w:eastAsiaTheme="minorEastAsia" w:hAnsiTheme="minorEastAsia" w:cs="Arial" w:hint="eastAsia"/>
          <w:sz w:val="20"/>
          <w:szCs w:val="20"/>
          <w:lang w:val="en-US" w:eastAsia="zh-CN"/>
        </w:rPr>
        <w:t>宣布前提供了建议，</w:t>
      </w:r>
      <w:r w:rsidR="00150791">
        <w:rPr>
          <w:rFonts w:asciiTheme="minorEastAsia" w:eastAsiaTheme="minorEastAsia" w:hAnsiTheme="minorEastAsia" w:cs="Arial" w:hint="eastAsia"/>
          <w:sz w:val="20"/>
          <w:szCs w:val="20"/>
          <w:lang w:val="en-US" w:eastAsia="zh-CN"/>
        </w:rPr>
        <w:t>政府的</w:t>
      </w:r>
      <w:r w:rsidR="00C975F0">
        <w:rPr>
          <w:rFonts w:asciiTheme="minorEastAsia" w:eastAsiaTheme="minorEastAsia" w:hAnsiTheme="minorEastAsia" w:cs="Arial" w:hint="eastAsia"/>
          <w:sz w:val="20"/>
          <w:szCs w:val="20"/>
          <w:lang w:val="en-US" w:eastAsia="zh-CN"/>
        </w:rPr>
        <w:t>政策是阻拦荷兰公司在西岸地区的定居点投资，因为政府认为此类定居点违反了国际法。</w:t>
      </w:r>
      <w:r w:rsidR="00150791">
        <w:rPr>
          <w:rFonts w:asciiTheme="minorEastAsia" w:eastAsiaTheme="minorEastAsia" w:hAnsiTheme="minorEastAsia" w:cs="Arial" w:hint="eastAsia"/>
          <w:sz w:val="20"/>
          <w:szCs w:val="20"/>
          <w:lang w:val="en-US" w:eastAsia="zh-CN"/>
        </w:rPr>
        <w:t>一名荷兰官员对</w:t>
      </w:r>
      <w:r w:rsidR="00A96249">
        <w:rPr>
          <w:rFonts w:asciiTheme="minorEastAsia" w:eastAsiaTheme="minorEastAsia" w:hAnsiTheme="minorEastAsia" w:cs="Arial" w:hint="eastAsia"/>
          <w:sz w:val="20"/>
          <w:szCs w:val="20"/>
          <w:lang w:val="en-US" w:eastAsia="zh-CN"/>
        </w:rPr>
        <w:t>策划</w:t>
      </w:r>
      <w:r w:rsidR="00150791">
        <w:rPr>
          <w:rFonts w:asciiTheme="minorEastAsia" w:eastAsiaTheme="minorEastAsia" w:hAnsiTheme="minorEastAsia" w:cs="Arial" w:hint="eastAsia"/>
          <w:sz w:val="20"/>
          <w:szCs w:val="20"/>
          <w:lang w:val="en-US" w:eastAsia="zh-CN"/>
        </w:rPr>
        <w:t>活动</w:t>
      </w:r>
      <w:r w:rsidR="001B7957">
        <w:rPr>
          <w:rFonts w:asciiTheme="minorEastAsia" w:eastAsiaTheme="minorEastAsia" w:hAnsiTheme="minorEastAsia" w:cs="Arial" w:hint="eastAsia"/>
          <w:sz w:val="20"/>
          <w:szCs w:val="20"/>
          <w:lang w:val="en-US" w:eastAsia="zh-CN"/>
        </w:rPr>
        <w:t>者</w:t>
      </w:r>
      <w:r w:rsidR="00150791">
        <w:rPr>
          <w:rFonts w:asciiTheme="minorEastAsia" w:eastAsiaTheme="minorEastAsia" w:hAnsiTheme="minorEastAsia" w:cs="Arial" w:hint="eastAsia"/>
          <w:sz w:val="20"/>
          <w:szCs w:val="20"/>
          <w:lang w:val="en-US" w:eastAsia="zh-CN"/>
        </w:rPr>
        <w:t>说：“我们通知了</w:t>
      </w:r>
      <w:r w:rsidR="00150791" w:rsidRPr="00B14225">
        <w:rPr>
          <w:rFonts w:asciiTheme="minorEastAsia" w:eastAsiaTheme="minorEastAsia" w:hAnsiTheme="minorEastAsia" w:cs="Arial" w:hint="eastAsia"/>
          <w:sz w:val="20"/>
          <w:szCs w:val="20"/>
          <w:lang w:val="en-CA" w:eastAsia="zh-CN"/>
        </w:rPr>
        <w:t>皇家豪思康宁DHV</w:t>
      </w:r>
      <w:r w:rsidR="00150791">
        <w:rPr>
          <w:rFonts w:asciiTheme="minorEastAsia" w:eastAsiaTheme="minorEastAsia" w:hAnsiTheme="minorEastAsia" w:cs="Arial" w:hint="eastAsia"/>
          <w:sz w:val="20"/>
          <w:szCs w:val="20"/>
          <w:lang w:val="en-CA" w:eastAsia="zh-CN"/>
        </w:rPr>
        <w:t>公司荷兰政府的义务，我们致力于积极向企业</w:t>
      </w:r>
      <w:r w:rsidR="00711791">
        <w:rPr>
          <w:rFonts w:asciiTheme="minorEastAsia" w:eastAsia="PMingLiU" w:hAnsiTheme="minorEastAsia" w:cs="Arial" w:hint="eastAsia"/>
          <w:sz w:val="20"/>
          <w:szCs w:val="20"/>
          <w:lang w:val="en-CA" w:eastAsia="zh-CN"/>
        </w:rPr>
        <w:t>發出</w:t>
      </w:r>
      <w:r w:rsidR="00150791">
        <w:rPr>
          <w:rFonts w:asciiTheme="minorEastAsia" w:eastAsiaTheme="minorEastAsia" w:hAnsiTheme="minorEastAsia" w:cs="Arial" w:hint="eastAsia"/>
          <w:sz w:val="20"/>
          <w:szCs w:val="20"/>
          <w:lang w:val="en-CA" w:eastAsia="zh-CN"/>
        </w:rPr>
        <w:t>这样的通知。</w:t>
      </w:r>
      <w:r w:rsidR="00150791">
        <w:rPr>
          <w:rFonts w:asciiTheme="minorEastAsia" w:eastAsiaTheme="minorEastAsia" w:hAnsiTheme="minorEastAsia" w:cs="Arial" w:hint="eastAsia"/>
          <w:sz w:val="20"/>
          <w:szCs w:val="20"/>
          <w:lang w:val="en-US" w:eastAsia="zh-CN"/>
        </w:rPr>
        <w:t>荷兰</w:t>
      </w:r>
      <w:r w:rsidR="00A96249">
        <w:rPr>
          <w:rFonts w:asciiTheme="minorEastAsia" w:eastAsiaTheme="minorEastAsia" w:hAnsiTheme="minorEastAsia" w:cs="Arial" w:hint="eastAsia"/>
          <w:sz w:val="20"/>
          <w:szCs w:val="20"/>
          <w:lang w:val="en-US" w:eastAsia="zh-CN"/>
        </w:rPr>
        <w:t>企业</w:t>
      </w:r>
      <w:r w:rsidR="00150791">
        <w:rPr>
          <w:rFonts w:asciiTheme="minorEastAsia" w:eastAsiaTheme="minorEastAsia" w:hAnsiTheme="minorEastAsia" w:cs="Arial" w:hint="eastAsia"/>
          <w:sz w:val="20"/>
          <w:szCs w:val="20"/>
          <w:lang w:val="en-US" w:eastAsia="zh-CN"/>
        </w:rPr>
        <w:t>并不被禁止保持此类经济关系。</w:t>
      </w:r>
      <w:r w:rsidR="00A96249">
        <w:rPr>
          <w:rFonts w:asciiTheme="minorEastAsia" w:eastAsiaTheme="minorEastAsia" w:hAnsiTheme="minorEastAsia" w:cs="Arial" w:hint="eastAsia"/>
          <w:sz w:val="20"/>
          <w:szCs w:val="20"/>
          <w:lang w:val="en-US" w:eastAsia="zh-CN"/>
        </w:rPr>
        <w:t>企业</w:t>
      </w:r>
      <w:r w:rsidR="00150791">
        <w:rPr>
          <w:rFonts w:asciiTheme="minorEastAsia" w:eastAsiaTheme="minorEastAsia" w:hAnsiTheme="minorEastAsia" w:cs="Arial" w:hint="eastAsia"/>
          <w:sz w:val="20"/>
          <w:szCs w:val="20"/>
          <w:lang w:val="en-US" w:eastAsia="zh-CN"/>
        </w:rPr>
        <w:t>自身负有最终的责任。”</w:t>
      </w:r>
      <w:r w:rsidR="00480568" w:rsidRPr="002B37B4">
        <w:rPr>
          <w:rFonts w:ascii="Arial" w:hAnsi="Arial" w:cs="Arial"/>
          <w:sz w:val="20"/>
          <w:szCs w:val="20"/>
          <w:lang w:val="en-US"/>
        </w:rPr>
        <w:t xml:space="preserve"> </w:t>
      </w:r>
    </w:p>
    <w:p w14:paraId="000BD220" w14:textId="459DF60B" w:rsidR="00480568" w:rsidRPr="002B37B4" w:rsidRDefault="00150791" w:rsidP="00480568">
      <w:pPr>
        <w:pStyle w:val="NormalWeb"/>
        <w:rPr>
          <w:rFonts w:ascii="Arial" w:hAnsi="Arial" w:cs="Arial"/>
          <w:sz w:val="20"/>
          <w:szCs w:val="20"/>
          <w:lang w:val="en-US"/>
        </w:rPr>
      </w:pPr>
      <w:r w:rsidRPr="00B14225">
        <w:rPr>
          <w:rFonts w:asciiTheme="minorEastAsia" w:eastAsiaTheme="minorEastAsia" w:hAnsiTheme="minorEastAsia" w:cs="Arial" w:hint="eastAsia"/>
          <w:sz w:val="20"/>
          <w:szCs w:val="20"/>
          <w:lang w:val="en-CA" w:eastAsia="zh-CN"/>
        </w:rPr>
        <w:t>皇家豪思康宁DHV</w:t>
      </w:r>
      <w:r>
        <w:rPr>
          <w:rFonts w:asciiTheme="minorEastAsia" w:eastAsiaTheme="minorEastAsia" w:hAnsiTheme="minorEastAsia" w:cs="Arial" w:hint="eastAsia"/>
          <w:sz w:val="20"/>
          <w:szCs w:val="20"/>
          <w:lang w:val="en-CA" w:eastAsia="zh-CN"/>
        </w:rPr>
        <w:t>公司称，“在和各利益攸关者进行协商后，公司意识到在未来参与该项目可能会违反国际法”，因而撤出了业务。荷兰的公共检察官在过去表明，他们认为在定居点的商业活动可能是战争罪行，并称在</w:t>
      </w:r>
      <w:r w:rsidR="00A96249">
        <w:rPr>
          <w:rFonts w:asciiTheme="minorEastAsia" w:eastAsiaTheme="minorEastAsia" w:hAnsiTheme="minorEastAsia" w:cs="Arial" w:hint="eastAsia"/>
          <w:sz w:val="20"/>
          <w:szCs w:val="20"/>
          <w:lang w:val="en-CA" w:eastAsia="zh-CN"/>
        </w:rPr>
        <w:t>或与</w:t>
      </w:r>
      <w:r>
        <w:rPr>
          <w:rFonts w:asciiTheme="minorEastAsia" w:eastAsiaTheme="minorEastAsia" w:hAnsiTheme="minorEastAsia" w:cs="Arial" w:hint="eastAsia"/>
          <w:sz w:val="20"/>
          <w:szCs w:val="20"/>
          <w:lang w:val="en-CA" w:eastAsia="zh-CN"/>
        </w:rPr>
        <w:t>定居点进行</w:t>
      </w:r>
      <w:r w:rsidR="00147BDA">
        <w:rPr>
          <w:rFonts w:asciiTheme="minorEastAsia" w:eastAsiaTheme="minorEastAsia" w:hAnsiTheme="minorEastAsia" w:cs="Arial" w:hint="eastAsia"/>
          <w:sz w:val="20"/>
          <w:szCs w:val="20"/>
          <w:lang w:val="en-CA" w:eastAsia="zh-CN"/>
        </w:rPr>
        <w:t>商业活动的公司应采取切实步骤来结束此类活动。10月，</w:t>
      </w:r>
      <w:r w:rsidR="00147BDA" w:rsidRPr="00147BDA">
        <w:rPr>
          <w:rFonts w:asciiTheme="minorEastAsia" w:eastAsiaTheme="minorEastAsia" w:hAnsiTheme="minorEastAsia" w:cs="Arial" w:hint="eastAsia"/>
          <w:sz w:val="20"/>
          <w:szCs w:val="20"/>
          <w:lang w:val="en-CA" w:eastAsia="zh-CN"/>
        </w:rPr>
        <w:t>巴勒斯坦被占领土人权状况特别报告员</w:t>
      </w:r>
      <w:r w:rsidR="00147BDA">
        <w:rPr>
          <w:rFonts w:asciiTheme="minorEastAsia" w:eastAsiaTheme="minorEastAsia" w:hAnsiTheme="minorEastAsia" w:cs="Arial" w:hint="eastAsia"/>
          <w:sz w:val="20"/>
          <w:szCs w:val="20"/>
          <w:lang w:val="en-CA" w:eastAsia="zh-CN"/>
        </w:rPr>
        <w:t>理查德·福尔克（</w:t>
      </w:r>
      <w:r w:rsidR="00147BDA" w:rsidRPr="002B37B4">
        <w:rPr>
          <w:rFonts w:ascii="Arial" w:hAnsi="Arial" w:cs="Arial"/>
          <w:sz w:val="20"/>
          <w:szCs w:val="20"/>
          <w:lang w:val="en-US"/>
        </w:rPr>
        <w:t>Richard Falk</w:t>
      </w:r>
      <w:r w:rsidR="00147BDA">
        <w:rPr>
          <w:rFonts w:asciiTheme="minorEastAsia" w:eastAsiaTheme="minorEastAsia" w:hAnsiTheme="minorEastAsia" w:cs="Arial" w:hint="eastAsia"/>
          <w:sz w:val="20"/>
          <w:szCs w:val="20"/>
          <w:lang w:val="en-CA" w:eastAsia="zh-CN"/>
        </w:rPr>
        <w:t>）教授表示，他的部门已通知一些公司，他们在被占领土上的活动可能是“有问题的”，并可能导致他们</w:t>
      </w:r>
      <w:r w:rsidR="00A96249">
        <w:rPr>
          <w:rFonts w:asciiTheme="minorEastAsia" w:eastAsiaTheme="minorEastAsia" w:hAnsiTheme="minorEastAsia" w:cs="Arial" w:hint="eastAsia"/>
          <w:sz w:val="20"/>
          <w:szCs w:val="20"/>
          <w:lang w:val="en-CA" w:eastAsia="zh-CN"/>
        </w:rPr>
        <w:t>负上</w:t>
      </w:r>
      <w:r w:rsidR="00147BDA">
        <w:rPr>
          <w:rFonts w:asciiTheme="minorEastAsia" w:eastAsiaTheme="minorEastAsia" w:hAnsiTheme="minorEastAsia" w:cs="Arial" w:hint="eastAsia"/>
          <w:sz w:val="20"/>
          <w:szCs w:val="20"/>
          <w:lang w:val="en-CA" w:eastAsia="zh-CN"/>
        </w:rPr>
        <w:t>刑事责任。</w:t>
      </w:r>
      <w:r w:rsidR="00480568" w:rsidRPr="002B37B4">
        <w:rPr>
          <w:rFonts w:ascii="Arial" w:hAnsi="Arial" w:cs="Arial"/>
          <w:sz w:val="20"/>
          <w:szCs w:val="20"/>
          <w:lang w:val="en-US"/>
        </w:rPr>
        <w:t xml:space="preserve"> </w:t>
      </w:r>
    </w:p>
    <w:p w14:paraId="6088C6A0" w14:textId="77777777" w:rsidR="00480568" w:rsidRPr="002B37B4" w:rsidRDefault="00480568" w:rsidP="00480568">
      <w:pPr>
        <w:pStyle w:val="NormalWeb"/>
        <w:rPr>
          <w:rFonts w:ascii="Arial" w:hAnsi="Arial" w:cs="Arial"/>
          <w:sz w:val="20"/>
          <w:szCs w:val="20"/>
          <w:lang w:val="en-US"/>
        </w:rPr>
      </w:pPr>
    </w:p>
    <w:p w14:paraId="7A38E062" w14:textId="77777777" w:rsidR="00147BDA" w:rsidRPr="002B37B4" w:rsidRDefault="00480568" w:rsidP="00480568">
      <w:pPr>
        <w:rPr>
          <w:rFonts w:ascii="Arial" w:eastAsiaTheme="majorEastAsia" w:hAnsi="Arial" w:cs="Arial"/>
          <w:b/>
          <w:bCs/>
          <w:color w:val="365F91" w:themeColor="accent1" w:themeShade="BF"/>
          <w:sz w:val="20"/>
          <w:szCs w:val="20"/>
          <w:lang w:val="en-US" w:eastAsia="zh-CN"/>
        </w:rPr>
      </w:pPr>
      <w:r w:rsidRPr="002B37B4">
        <w:rPr>
          <w:rFonts w:ascii="Arial" w:hAnsi="Arial" w:cs="Arial"/>
          <w:sz w:val="20"/>
          <w:szCs w:val="20"/>
          <w:lang w:val="en-US" w:eastAsia="zh-CN"/>
        </w:rPr>
        <w:br w:type="page"/>
      </w:r>
      <w:bookmarkStart w:id="12" w:name="_Toc372707272"/>
    </w:p>
    <w:p w14:paraId="73050B88" w14:textId="77777777" w:rsidR="00480568" w:rsidRPr="002B37B4" w:rsidRDefault="00147BDA" w:rsidP="00480568">
      <w:pPr>
        <w:pStyle w:val="Heading1"/>
        <w:numPr>
          <w:ilvl w:val="0"/>
          <w:numId w:val="1"/>
        </w:numPr>
        <w:rPr>
          <w:rFonts w:ascii="Arial" w:hAnsi="Arial" w:cs="Arial"/>
          <w:sz w:val="20"/>
          <w:szCs w:val="20"/>
          <w:lang w:val="en-US"/>
        </w:rPr>
      </w:pPr>
      <w:bookmarkStart w:id="13" w:name="_Toc372820018"/>
      <w:r>
        <w:rPr>
          <w:rFonts w:ascii="Arial" w:hAnsi="Arial" w:cs="Arial" w:hint="eastAsia"/>
          <w:sz w:val="20"/>
          <w:szCs w:val="20"/>
          <w:lang w:val="en-US" w:eastAsia="zh-CN"/>
        </w:rPr>
        <w:lastRenderedPageBreak/>
        <w:t>2014</w:t>
      </w:r>
      <w:r>
        <w:rPr>
          <w:rFonts w:ascii="Arial" w:hAnsi="Arial" w:cs="Arial" w:hint="eastAsia"/>
          <w:sz w:val="20"/>
          <w:szCs w:val="20"/>
          <w:lang w:val="en-US" w:eastAsia="zh-CN"/>
        </w:rPr>
        <w:t>年的尽责情况</w:t>
      </w:r>
      <w:bookmarkEnd w:id="12"/>
      <w:bookmarkEnd w:id="13"/>
      <w:r w:rsidR="00480568" w:rsidRPr="002B37B4">
        <w:rPr>
          <w:rFonts w:ascii="Arial" w:hAnsi="Arial" w:cs="Arial"/>
          <w:sz w:val="20"/>
          <w:szCs w:val="20"/>
          <w:lang w:val="en-US"/>
        </w:rPr>
        <w:t xml:space="preserve"> </w:t>
      </w:r>
    </w:p>
    <w:p w14:paraId="23984B08" w14:textId="77777777" w:rsidR="00480568" w:rsidRPr="002B37B4" w:rsidRDefault="00480568" w:rsidP="00480568">
      <w:pPr>
        <w:pStyle w:val="ListParagraph"/>
        <w:spacing w:after="120"/>
        <w:rPr>
          <w:rFonts w:ascii="Arial" w:hAnsi="Arial" w:cs="Arial"/>
          <w:sz w:val="20"/>
          <w:szCs w:val="20"/>
          <w:lang w:val="en-US"/>
        </w:rPr>
      </w:pPr>
    </w:p>
    <w:p w14:paraId="248337AB" w14:textId="77777777" w:rsidR="00480568" w:rsidRPr="002B37B4" w:rsidRDefault="00147BDA"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国家制定规则和政策来鼓励和要求人权尽责</w:t>
      </w:r>
      <w:r w:rsidR="00FF21F6">
        <w:rPr>
          <w:rFonts w:asciiTheme="minorEastAsia" w:eastAsiaTheme="minorEastAsia" w:hAnsiTheme="minorEastAsia" w:cs="Arial" w:hint="eastAsia"/>
          <w:sz w:val="20"/>
          <w:szCs w:val="20"/>
          <w:lang w:val="en-US" w:eastAsia="zh-CN"/>
        </w:rPr>
        <w:t>，其</w:t>
      </w:r>
      <w:r>
        <w:rPr>
          <w:rFonts w:asciiTheme="minorEastAsia" w:eastAsiaTheme="minorEastAsia" w:hAnsiTheme="minorEastAsia" w:cs="Arial" w:hint="eastAsia"/>
          <w:sz w:val="20"/>
          <w:szCs w:val="20"/>
          <w:lang w:val="en-US" w:eastAsia="zh-CN"/>
        </w:rPr>
        <w:t>方式取决于法律传统所起的作用，现有法律中对尽责的使用方式，受监管的商业活动的性质，以及涉及的特定人权背景状况。但根据最近的发展情况，</w:t>
      </w:r>
      <w:r w:rsidR="00FF21F6">
        <w:rPr>
          <w:rFonts w:asciiTheme="minorEastAsia" w:eastAsiaTheme="minorEastAsia" w:hAnsiTheme="minorEastAsia" w:cs="Arial" w:hint="eastAsia"/>
          <w:sz w:val="20"/>
          <w:szCs w:val="20"/>
          <w:lang w:val="en-US" w:eastAsia="zh-CN"/>
        </w:rPr>
        <w:t>可以为</w:t>
      </w:r>
      <w:r>
        <w:rPr>
          <w:rFonts w:asciiTheme="minorEastAsia" w:eastAsiaTheme="minorEastAsia" w:hAnsiTheme="minorEastAsia" w:cs="Arial" w:hint="eastAsia"/>
          <w:sz w:val="20"/>
          <w:szCs w:val="20"/>
          <w:lang w:val="en-US" w:eastAsia="zh-CN"/>
        </w:rPr>
        <w:t>2014年和以后</w:t>
      </w:r>
      <w:r w:rsidR="00FF21F6">
        <w:rPr>
          <w:rFonts w:asciiTheme="minorEastAsia" w:eastAsiaTheme="minorEastAsia" w:hAnsiTheme="minorEastAsia" w:cs="Arial" w:hint="eastAsia"/>
          <w:sz w:val="20"/>
          <w:szCs w:val="20"/>
          <w:lang w:val="en-US" w:eastAsia="zh-CN"/>
        </w:rPr>
        <w:t>的政策倡导和法律发展确定一些优先重点。</w:t>
      </w:r>
      <w:r w:rsidR="00480568" w:rsidRPr="002B37B4">
        <w:rPr>
          <w:rFonts w:ascii="Arial" w:hAnsi="Arial" w:cs="Arial"/>
          <w:sz w:val="20"/>
          <w:szCs w:val="20"/>
          <w:lang w:val="en-US"/>
        </w:rPr>
        <w:t xml:space="preserve">  </w:t>
      </w:r>
    </w:p>
    <w:p w14:paraId="58FB52B7" w14:textId="77777777" w:rsidR="00480568" w:rsidRPr="002B37B4" w:rsidRDefault="00091962" w:rsidP="00480568">
      <w:pPr>
        <w:pStyle w:val="Heading2"/>
        <w:numPr>
          <w:ilvl w:val="0"/>
          <w:numId w:val="5"/>
        </w:numPr>
        <w:rPr>
          <w:rFonts w:ascii="Arial" w:hAnsi="Arial" w:cs="Arial"/>
          <w:sz w:val="20"/>
          <w:szCs w:val="20"/>
          <w:lang w:val="en-US" w:eastAsia="zh-CN"/>
        </w:rPr>
      </w:pPr>
      <w:r>
        <w:rPr>
          <w:rFonts w:ascii="Arial" w:hAnsi="Arial" w:cs="Arial" w:hint="eastAsia"/>
          <w:sz w:val="20"/>
          <w:szCs w:val="20"/>
          <w:lang w:val="en-US" w:eastAsia="zh-CN"/>
        </w:rPr>
        <w:t>优先考虑国家对</w:t>
      </w:r>
      <w:bookmarkStart w:id="14" w:name="_Toc372820019"/>
      <w:r w:rsidR="00FF21F6">
        <w:rPr>
          <w:rFonts w:ascii="Arial" w:hAnsi="Arial" w:cs="Arial" w:hint="eastAsia"/>
          <w:sz w:val="20"/>
          <w:szCs w:val="20"/>
          <w:lang w:val="en-US" w:eastAsia="zh-CN"/>
        </w:rPr>
        <w:t>冲突地区</w:t>
      </w:r>
      <w:r>
        <w:rPr>
          <w:rFonts w:ascii="Arial" w:hAnsi="Arial" w:cs="Arial" w:hint="eastAsia"/>
          <w:sz w:val="20"/>
          <w:szCs w:val="20"/>
          <w:lang w:val="en-US" w:eastAsia="zh-CN"/>
        </w:rPr>
        <w:t>商务活动的应对</w:t>
      </w:r>
      <w:bookmarkEnd w:id="14"/>
      <w:r w:rsidR="00480568" w:rsidRPr="002B37B4">
        <w:rPr>
          <w:rFonts w:ascii="Arial" w:hAnsi="Arial" w:cs="Arial"/>
          <w:sz w:val="20"/>
          <w:szCs w:val="20"/>
          <w:lang w:val="en-US" w:eastAsia="zh-CN"/>
        </w:rPr>
        <w:t xml:space="preserve"> </w:t>
      </w:r>
    </w:p>
    <w:p w14:paraId="3CA12E24" w14:textId="77777777" w:rsidR="00480568" w:rsidRPr="00BF3FBF" w:rsidRDefault="00FF21F6"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首先是国外暴力冲突</w:t>
      </w:r>
      <w:r w:rsidR="00091962">
        <w:rPr>
          <w:rFonts w:asciiTheme="minorEastAsia" w:eastAsiaTheme="minorEastAsia" w:hAnsiTheme="minorEastAsia" w:cs="Arial" w:hint="eastAsia"/>
          <w:sz w:val="20"/>
          <w:szCs w:val="20"/>
          <w:lang w:val="en-US" w:eastAsia="zh-CN"/>
        </w:rPr>
        <w:t>领域。该领域的</w:t>
      </w:r>
      <w:r>
        <w:rPr>
          <w:rFonts w:asciiTheme="minorEastAsia" w:eastAsiaTheme="minorEastAsia" w:hAnsiTheme="minorEastAsia" w:cs="Arial" w:hint="eastAsia"/>
          <w:sz w:val="20"/>
          <w:szCs w:val="20"/>
          <w:lang w:val="en-US" w:eastAsia="zh-CN"/>
        </w:rPr>
        <w:t>侵犯人权行为最严重，国家对国外所发生伤害的不作为</w:t>
      </w:r>
      <w:r w:rsidR="00091962">
        <w:rPr>
          <w:rFonts w:asciiTheme="minorEastAsia" w:eastAsiaTheme="minorEastAsia" w:hAnsiTheme="minorEastAsia" w:cs="Arial" w:hint="eastAsia"/>
          <w:sz w:val="20"/>
          <w:szCs w:val="20"/>
          <w:lang w:val="en-US" w:eastAsia="zh-CN"/>
        </w:rPr>
        <w:t>也</w:t>
      </w:r>
      <w:r>
        <w:rPr>
          <w:rFonts w:asciiTheme="minorEastAsia" w:eastAsiaTheme="minorEastAsia" w:hAnsiTheme="minorEastAsia" w:cs="Arial" w:hint="eastAsia"/>
          <w:sz w:val="20"/>
          <w:szCs w:val="20"/>
          <w:lang w:val="en-US" w:eastAsia="zh-CN"/>
        </w:rPr>
        <w:t>更难以找到理由</w:t>
      </w:r>
      <w:r w:rsidRPr="00BF3FBF">
        <w:rPr>
          <w:rFonts w:asciiTheme="minorEastAsia" w:eastAsiaTheme="minorEastAsia" w:hAnsiTheme="minorEastAsia" w:cs="Arial" w:hint="eastAsia"/>
          <w:sz w:val="20"/>
          <w:szCs w:val="20"/>
          <w:lang w:val="en-US" w:eastAsia="zh-CN"/>
        </w:rPr>
        <w:t>。至少有5个行动领域应成为2014年和以后的优先重点：</w:t>
      </w:r>
      <w:r w:rsidR="00480568" w:rsidRPr="00BF3FBF">
        <w:rPr>
          <w:rFonts w:ascii="Arial" w:hAnsi="Arial" w:cs="Arial"/>
          <w:sz w:val="20"/>
          <w:szCs w:val="20"/>
          <w:lang w:val="en-US"/>
        </w:rPr>
        <w:t xml:space="preserve"> </w:t>
      </w:r>
    </w:p>
    <w:p w14:paraId="0E73F7FE" w14:textId="2F0A575C" w:rsidR="00480568" w:rsidRPr="00BF3FBF" w:rsidRDefault="00FF21F6" w:rsidP="00480568">
      <w:pPr>
        <w:pStyle w:val="NormalWeb"/>
        <w:numPr>
          <w:ilvl w:val="0"/>
          <w:numId w:val="6"/>
        </w:numPr>
        <w:spacing w:beforeAutospacing="0" w:after="120" w:afterAutospacing="0"/>
        <w:rPr>
          <w:rFonts w:ascii="Arial" w:hAnsi="Arial" w:cs="Arial"/>
          <w:sz w:val="20"/>
          <w:szCs w:val="20"/>
          <w:lang w:val="en-US"/>
        </w:rPr>
      </w:pPr>
      <w:r w:rsidRPr="00BF3FBF">
        <w:rPr>
          <w:rFonts w:asciiTheme="minorEastAsia" w:eastAsiaTheme="minorEastAsia" w:hAnsiTheme="minorEastAsia" w:cs="Arial" w:hint="eastAsia"/>
          <w:sz w:val="20"/>
          <w:szCs w:val="20"/>
          <w:lang w:val="en-US" w:eastAsia="zh-CN"/>
        </w:rPr>
        <w:t>应制定全球化和更广泛的规则，来</w:t>
      </w:r>
      <w:r w:rsidR="00E043E2" w:rsidRPr="00BF3FBF">
        <w:rPr>
          <w:rFonts w:asciiTheme="minorEastAsia" w:eastAsiaTheme="minorEastAsia" w:hAnsiTheme="minorEastAsia" w:cs="Arial" w:hint="eastAsia"/>
          <w:sz w:val="20"/>
          <w:szCs w:val="20"/>
          <w:lang w:val="en-US" w:eastAsia="zh-CN"/>
        </w:rPr>
        <w:t>监管</w:t>
      </w:r>
      <w:r w:rsidRPr="00BF3FBF">
        <w:rPr>
          <w:rFonts w:asciiTheme="minorEastAsia" w:eastAsiaTheme="minorEastAsia" w:hAnsiTheme="minorEastAsia" w:cs="Arial" w:hint="eastAsia"/>
          <w:sz w:val="20"/>
          <w:szCs w:val="20"/>
          <w:lang w:val="en-US" w:eastAsia="zh-CN"/>
        </w:rPr>
        <w:t>负责的供应链管理，特别是在冲突地区矿产方面。</w:t>
      </w:r>
      <w:r w:rsidR="007D6848" w:rsidRPr="00BF3FBF">
        <w:rPr>
          <w:rFonts w:asciiTheme="minorEastAsia" w:eastAsiaTheme="minorEastAsia" w:hAnsiTheme="minorEastAsia" w:cs="Arial" w:hint="eastAsia"/>
          <w:sz w:val="20"/>
          <w:szCs w:val="20"/>
          <w:lang w:val="en-US" w:eastAsia="zh-CN"/>
        </w:rPr>
        <w:t>跨国企业</w:t>
      </w:r>
      <w:r w:rsidRPr="00BF3FBF">
        <w:rPr>
          <w:rFonts w:asciiTheme="minorEastAsia" w:eastAsiaTheme="minorEastAsia" w:hAnsiTheme="minorEastAsia" w:cs="Arial" w:hint="eastAsia"/>
          <w:sz w:val="20"/>
          <w:szCs w:val="20"/>
          <w:lang w:val="en-US" w:eastAsia="zh-CN"/>
        </w:rPr>
        <w:t>受到美国证券交易委员会的规则（</w:t>
      </w:r>
      <w:r w:rsidRPr="00BF3FBF">
        <w:rPr>
          <w:rFonts w:asciiTheme="minorEastAsia" w:eastAsiaTheme="minorEastAsia" w:hAnsiTheme="minorEastAsia" w:cs="Arial" w:hint="eastAsia"/>
          <w:sz w:val="20"/>
          <w:szCs w:val="20"/>
          <w:lang w:eastAsia="zh-CN"/>
        </w:rPr>
        <w:t>《多德 - 弗兰克华尔街改革和消费者保护法案》第1502节</w:t>
      </w:r>
      <w:r w:rsidRPr="00BF3FBF">
        <w:rPr>
          <w:rFonts w:asciiTheme="minorEastAsia" w:eastAsiaTheme="minorEastAsia" w:hAnsiTheme="minorEastAsia" w:cs="Arial" w:hint="eastAsia"/>
          <w:sz w:val="20"/>
          <w:szCs w:val="20"/>
          <w:lang w:val="en-US" w:eastAsia="zh-CN"/>
        </w:rPr>
        <w:t>）的监管</w:t>
      </w:r>
      <w:r w:rsidR="00E043E2" w:rsidRPr="00BF3FBF">
        <w:rPr>
          <w:rFonts w:asciiTheme="minorEastAsia" w:eastAsiaTheme="minorEastAsia" w:hAnsiTheme="minorEastAsia" w:cs="Arial" w:hint="eastAsia"/>
          <w:sz w:val="20"/>
          <w:szCs w:val="20"/>
          <w:lang w:val="en-US" w:eastAsia="zh-CN"/>
        </w:rPr>
        <w:t>，欧盟也在考虑制定类似的规则。经合组织为非洲大湖地区制定的尽责做法的有效性</w:t>
      </w:r>
      <w:r w:rsidR="00AA1C34" w:rsidRPr="00BF3FBF">
        <w:rPr>
          <w:rFonts w:ascii="PMingLiU" w:eastAsia="SimSun" w:hAnsi="PMingLiU" w:cs="Arial" w:hint="eastAsia"/>
          <w:sz w:val="20"/>
          <w:szCs w:val="20"/>
          <w:lang w:val="en-US" w:eastAsia="zh-CN"/>
        </w:rPr>
        <w:t>应受到评估</w:t>
      </w:r>
      <w:r w:rsidR="00E043E2" w:rsidRPr="00BF3FBF">
        <w:rPr>
          <w:rFonts w:asciiTheme="minorEastAsia" w:eastAsiaTheme="minorEastAsia" w:hAnsiTheme="minorEastAsia" w:cs="Arial" w:hint="eastAsia"/>
          <w:sz w:val="20"/>
          <w:szCs w:val="20"/>
          <w:lang w:val="en-US" w:eastAsia="zh-CN"/>
        </w:rPr>
        <w:t>，</w:t>
      </w:r>
      <w:r w:rsidR="00BF3FBF" w:rsidRPr="00BF3FBF">
        <w:rPr>
          <w:rFonts w:asciiTheme="minorEastAsia" w:eastAsiaTheme="minorEastAsia" w:hAnsiTheme="minorEastAsia" w:cs="Arial" w:hint="eastAsia"/>
          <w:sz w:val="20"/>
          <w:szCs w:val="20"/>
          <w:lang w:val="en-US" w:eastAsia="zh-CN"/>
        </w:rPr>
        <w:t>容许</w:t>
      </w:r>
      <w:r w:rsidR="00E043E2" w:rsidRPr="00BF3FBF">
        <w:rPr>
          <w:rFonts w:asciiTheme="minorEastAsia" w:eastAsiaTheme="minorEastAsia" w:hAnsiTheme="minorEastAsia" w:cs="Arial" w:hint="eastAsia"/>
          <w:sz w:val="20"/>
          <w:szCs w:val="20"/>
          <w:lang w:val="en-US" w:eastAsia="zh-CN"/>
        </w:rPr>
        <w:t>助长武装冲突中侵犯人权行为的所有</w:t>
      </w:r>
      <w:r w:rsidR="00BF3FBF" w:rsidRPr="00BF3FBF">
        <w:rPr>
          <w:rFonts w:asciiTheme="minorEastAsia" w:eastAsiaTheme="minorEastAsia" w:hAnsiTheme="minorEastAsia" w:cs="Arial" w:hint="eastAsia"/>
          <w:sz w:val="20"/>
          <w:szCs w:val="20"/>
          <w:lang w:val="en-US" w:eastAsia="zh-CN"/>
        </w:rPr>
        <w:t>为监管</w:t>
      </w:r>
      <w:r w:rsidR="00E043E2" w:rsidRPr="00BF3FBF">
        <w:rPr>
          <w:rFonts w:asciiTheme="minorEastAsia" w:eastAsiaTheme="minorEastAsia" w:hAnsiTheme="minorEastAsia" w:cs="Arial" w:hint="eastAsia"/>
          <w:sz w:val="20"/>
          <w:szCs w:val="20"/>
          <w:lang w:val="en-US" w:eastAsia="zh-CN"/>
        </w:rPr>
        <w:t>商品</w:t>
      </w:r>
      <w:r w:rsidR="00BF3FBF" w:rsidRPr="00BF3FBF">
        <w:rPr>
          <w:rFonts w:asciiTheme="minorEastAsia" w:eastAsiaTheme="minorEastAsia" w:hAnsiTheme="minorEastAsia" w:cs="Arial" w:hint="eastAsia"/>
          <w:sz w:val="20"/>
          <w:szCs w:val="20"/>
          <w:lang w:val="en-US" w:eastAsia="zh-CN"/>
        </w:rPr>
        <w:t>而</w:t>
      </w:r>
      <w:r w:rsidR="00E043E2" w:rsidRPr="00BF3FBF">
        <w:rPr>
          <w:rFonts w:asciiTheme="minorEastAsia" w:eastAsiaTheme="minorEastAsia" w:hAnsiTheme="minorEastAsia" w:cs="Arial" w:hint="eastAsia"/>
          <w:sz w:val="20"/>
          <w:szCs w:val="20"/>
          <w:lang w:val="en-US" w:eastAsia="zh-CN"/>
        </w:rPr>
        <w:t>制定</w:t>
      </w:r>
      <w:r w:rsidR="00BF3FBF" w:rsidRPr="00BF3FBF">
        <w:rPr>
          <w:rFonts w:asciiTheme="minorEastAsia" w:eastAsiaTheme="minorEastAsia" w:hAnsiTheme="minorEastAsia" w:cs="Arial" w:hint="eastAsia"/>
          <w:sz w:val="20"/>
          <w:szCs w:val="20"/>
          <w:lang w:val="en-US" w:eastAsia="zh-CN"/>
        </w:rPr>
        <w:t>的</w:t>
      </w:r>
      <w:r w:rsidR="00E043E2" w:rsidRPr="00BF3FBF">
        <w:rPr>
          <w:rFonts w:asciiTheme="minorEastAsia" w:eastAsiaTheme="minorEastAsia" w:hAnsiTheme="minorEastAsia" w:cs="Arial" w:hint="eastAsia"/>
          <w:sz w:val="20"/>
          <w:szCs w:val="20"/>
          <w:lang w:val="en-US" w:eastAsia="zh-CN"/>
        </w:rPr>
        <w:t>政策和法律</w:t>
      </w:r>
      <w:r w:rsidR="00BF3FBF" w:rsidRPr="00BF3FBF">
        <w:rPr>
          <w:rFonts w:asciiTheme="minorEastAsia" w:eastAsiaTheme="minorEastAsia" w:hAnsiTheme="minorEastAsia" w:cs="Arial" w:hint="eastAsia"/>
          <w:sz w:val="20"/>
          <w:szCs w:val="20"/>
          <w:lang w:val="en-US" w:eastAsia="zh-CN"/>
        </w:rPr>
        <w:t>亦然</w:t>
      </w:r>
      <w:r w:rsidR="00E043E2" w:rsidRPr="00BF3FBF">
        <w:rPr>
          <w:rFonts w:asciiTheme="minorEastAsia" w:eastAsiaTheme="minorEastAsia" w:hAnsiTheme="minorEastAsia" w:cs="Arial" w:hint="eastAsia"/>
          <w:sz w:val="20"/>
          <w:szCs w:val="20"/>
          <w:lang w:val="en-US" w:eastAsia="zh-CN"/>
        </w:rPr>
        <w:t>。</w:t>
      </w:r>
      <w:r w:rsidR="00480568" w:rsidRPr="00BF3FBF">
        <w:rPr>
          <w:rFonts w:ascii="Arial" w:hAnsi="Arial" w:cs="Arial"/>
          <w:sz w:val="20"/>
          <w:szCs w:val="20"/>
          <w:lang w:val="en-US"/>
        </w:rPr>
        <w:t xml:space="preserve"> </w:t>
      </w:r>
    </w:p>
    <w:p w14:paraId="11FD87BE" w14:textId="77777777" w:rsidR="00480568" w:rsidRPr="001D3FEE" w:rsidRDefault="002F074F" w:rsidP="001D3FEE">
      <w:pPr>
        <w:pStyle w:val="NormalWeb"/>
        <w:numPr>
          <w:ilvl w:val="0"/>
          <w:numId w:val="6"/>
        </w:numPr>
        <w:spacing w:beforeAutospacing="0" w:after="12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将人权尽责</w:t>
      </w:r>
      <w:r w:rsidR="001D3FEE">
        <w:rPr>
          <w:rFonts w:asciiTheme="minorEastAsia" w:eastAsiaTheme="minorEastAsia" w:hAnsiTheme="minorEastAsia" w:cs="Arial" w:hint="eastAsia"/>
          <w:sz w:val="20"/>
          <w:szCs w:val="20"/>
          <w:lang w:val="en-US" w:eastAsia="zh-CN"/>
        </w:rPr>
        <w:t>要求融入出口许可证制度。《武器贸易条约》（2013）得到商定后，各国具有了</w:t>
      </w:r>
      <w:r w:rsidR="0001114D">
        <w:rPr>
          <w:rFonts w:asciiTheme="minorEastAsia" w:eastAsiaTheme="minorEastAsia" w:hAnsiTheme="minorEastAsia" w:cs="Arial" w:hint="eastAsia"/>
          <w:sz w:val="20"/>
          <w:szCs w:val="20"/>
          <w:lang w:val="en-US" w:eastAsia="zh-CN"/>
        </w:rPr>
        <w:t>坚实</w:t>
      </w:r>
      <w:r w:rsidR="001D3FEE">
        <w:rPr>
          <w:rFonts w:asciiTheme="minorEastAsia" w:eastAsiaTheme="minorEastAsia" w:hAnsiTheme="minorEastAsia" w:cs="Arial" w:hint="eastAsia"/>
          <w:sz w:val="20"/>
          <w:szCs w:val="20"/>
          <w:lang w:val="en-US" w:eastAsia="zh-CN"/>
        </w:rPr>
        <w:t>基础来在武器出口许可证制度方面协调政策。目前，一些出口许可证制度确实具有人权条款，但似乎都没有要求武器出口商显示他们设有有效的人权尽责系统。各国应在《武器贸易条约》生效前采取步骤，来确保</w:t>
      </w:r>
      <w:r w:rsidR="0001114D">
        <w:rPr>
          <w:rFonts w:asciiTheme="minorEastAsia" w:eastAsiaTheme="minorEastAsia" w:hAnsiTheme="minorEastAsia" w:cs="Arial" w:hint="eastAsia"/>
          <w:sz w:val="20"/>
          <w:szCs w:val="20"/>
          <w:lang w:val="en-US" w:eastAsia="zh-CN"/>
        </w:rPr>
        <w:t>武器出口许可证申请者的人权尽责工作成为申请程序中的必不可少部分。</w:t>
      </w:r>
    </w:p>
    <w:p w14:paraId="464D4DE7" w14:textId="5B53FF1D" w:rsidR="00480568" w:rsidRPr="002B37B4" w:rsidRDefault="007306AF" w:rsidP="00480568">
      <w:pPr>
        <w:pStyle w:val="NormalWeb"/>
        <w:numPr>
          <w:ilvl w:val="0"/>
          <w:numId w:val="6"/>
        </w:numPr>
        <w:spacing w:beforeAutospacing="0" w:after="12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向</w:t>
      </w:r>
      <w:r w:rsidR="007D6B0A">
        <w:rPr>
          <w:rFonts w:asciiTheme="minorEastAsia" w:eastAsiaTheme="minorEastAsia" w:hAnsiTheme="minorEastAsia" w:cs="Arial" w:hint="eastAsia"/>
          <w:sz w:val="20"/>
          <w:szCs w:val="20"/>
          <w:lang w:val="en-US" w:eastAsia="zh-CN"/>
        </w:rPr>
        <w:t>在</w:t>
      </w:r>
      <w:r>
        <w:rPr>
          <w:rFonts w:asciiTheme="minorEastAsia" w:eastAsiaTheme="minorEastAsia" w:hAnsiTheme="minorEastAsia" w:cs="Arial" w:hint="eastAsia"/>
          <w:sz w:val="20"/>
          <w:szCs w:val="20"/>
          <w:lang w:val="en-US" w:eastAsia="zh-CN"/>
        </w:rPr>
        <w:t>战争和独裁</w:t>
      </w:r>
      <w:r w:rsidR="007D6B0A">
        <w:rPr>
          <w:rFonts w:asciiTheme="minorEastAsia" w:eastAsiaTheme="minorEastAsia" w:hAnsiTheme="minorEastAsia" w:cs="Arial" w:hint="eastAsia"/>
          <w:sz w:val="20"/>
          <w:szCs w:val="20"/>
          <w:lang w:val="en-US" w:eastAsia="zh-CN"/>
        </w:rPr>
        <w:t>地区活动</w:t>
      </w:r>
      <w:r>
        <w:rPr>
          <w:rFonts w:asciiTheme="minorEastAsia" w:eastAsiaTheme="minorEastAsia" w:hAnsiTheme="minorEastAsia" w:cs="Arial" w:hint="eastAsia"/>
          <w:sz w:val="20"/>
          <w:szCs w:val="20"/>
          <w:lang w:val="en-US" w:eastAsia="zh-CN"/>
        </w:rPr>
        <w:t>的</w:t>
      </w:r>
      <w:r w:rsidR="00BF3FBF">
        <w:rPr>
          <w:rFonts w:asciiTheme="minorEastAsia" w:eastAsiaTheme="minorEastAsia" w:hAnsiTheme="minorEastAsia" w:cs="Arial" w:hint="eastAsia"/>
          <w:sz w:val="20"/>
          <w:szCs w:val="20"/>
          <w:lang w:val="en-US" w:eastAsia="zh-CN"/>
        </w:rPr>
        <w:t>企业</w:t>
      </w:r>
      <w:r>
        <w:rPr>
          <w:rFonts w:asciiTheme="minorEastAsia" w:eastAsiaTheme="minorEastAsia" w:hAnsiTheme="minorEastAsia" w:cs="Arial" w:hint="eastAsia"/>
          <w:sz w:val="20"/>
          <w:szCs w:val="20"/>
          <w:lang w:val="en-US" w:eastAsia="zh-CN"/>
        </w:rPr>
        <w:t>提供建议和支持。正如上面的《指导原则》</w:t>
      </w:r>
      <w:r w:rsidR="007D6B0A">
        <w:rPr>
          <w:rFonts w:asciiTheme="minorEastAsia" w:eastAsiaTheme="minorEastAsia" w:hAnsiTheme="minorEastAsia" w:cs="Arial" w:hint="eastAsia"/>
          <w:sz w:val="20"/>
          <w:szCs w:val="20"/>
          <w:lang w:val="en-US" w:eastAsia="zh-CN"/>
        </w:rPr>
        <w:t>（</w:t>
      </w:r>
      <w:r>
        <w:rPr>
          <w:rFonts w:asciiTheme="minorEastAsia" w:eastAsiaTheme="minorEastAsia" w:hAnsiTheme="minorEastAsia" w:cs="Arial" w:hint="eastAsia"/>
          <w:sz w:val="20"/>
          <w:szCs w:val="20"/>
          <w:lang w:val="en-US" w:eastAsia="zh-CN"/>
        </w:rPr>
        <w:t>第7条</w:t>
      </w:r>
      <w:r w:rsidR="007D6B0A">
        <w:rPr>
          <w:rFonts w:asciiTheme="minorEastAsia" w:eastAsiaTheme="minorEastAsia" w:hAnsiTheme="minorEastAsia" w:cs="Arial" w:hint="eastAsia"/>
          <w:sz w:val="20"/>
          <w:szCs w:val="20"/>
          <w:lang w:val="en-US" w:eastAsia="zh-CN"/>
        </w:rPr>
        <w:t>）</w:t>
      </w:r>
      <w:r>
        <w:rPr>
          <w:rFonts w:asciiTheme="minorEastAsia" w:eastAsiaTheme="minorEastAsia" w:hAnsiTheme="minorEastAsia" w:cs="Arial" w:hint="eastAsia"/>
          <w:sz w:val="20"/>
          <w:szCs w:val="20"/>
          <w:lang w:val="en-US" w:eastAsia="zh-CN"/>
        </w:rPr>
        <w:t>所述</w:t>
      </w:r>
      <w:r w:rsidR="007D6B0A">
        <w:rPr>
          <w:rFonts w:asciiTheme="minorEastAsia" w:eastAsiaTheme="minorEastAsia" w:hAnsiTheme="minorEastAsia" w:cs="Arial" w:hint="eastAsia"/>
          <w:sz w:val="20"/>
          <w:szCs w:val="20"/>
          <w:lang w:val="en-US" w:eastAsia="zh-CN"/>
        </w:rPr>
        <w:t>，其附载报告也阐明，国家对冲突地区商务活动可作出不同级别的回应</w:t>
      </w:r>
      <w:r>
        <w:rPr>
          <w:rFonts w:asciiTheme="minorEastAsia" w:eastAsiaTheme="minorEastAsia" w:hAnsiTheme="minorEastAsia" w:cs="Arial" w:hint="eastAsia"/>
          <w:sz w:val="20"/>
          <w:szCs w:val="20"/>
          <w:lang w:val="en-US" w:eastAsia="zh-CN"/>
        </w:rPr>
        <w:t>，</w:t>
      </w:r>
      <w:r w:rsidR="00624CAE">
        <w:rPr>
          <w:rFonts w:asciiTheme="minorEastAsia" w:eastAsiaTheme="minorEastAsia" w:hAnsiTheme="minorEastAsia" w:cs="Arial" w:hint="eastAsia"/>
          <w:sz w:val="20"/>
          <w:szCs w:val="20"/>
          <w:lang w:val="en-US" w:eastAsia="zh-CN"/>
        </w:rPr>
        <w:t>与</w:t>
      </w:r>
      <w:r w:rsidR="007D6B0A">
        <w:rPr>
          <w:rFonts w:asciiTheme="minorEastAsia" w:eastAsiaTheme="minorEastAsia" w:hAnsiTheme="minorEastAsia" w:cs="Arial" w:hint="eastAsia"/>
          <w:sz w:val="20"/>
          <w:szCs w:val="20"/>
          <w:lang w:val="en-US" w:eastAsia="zh-CN"/>
        </w:rPr>
        <w:t>那些</w:t>
      </w:r>
      <w:r w:rsidR="00624CAE">
        <w:rPr>
          <w:rFonts w:asciiTheme="minorEastAsia" w:eastAsiaTheme="minorEastAsia" w:hAnsiTheme="minorEastAsia" w:cs="Arial" w:hint="eastAsia"/>
          <w:sz w:val="20"/>
          <w:szCs w:val="20"/>
          <w:lang w:val="en-US" w:eastAsia="zh-CN"/>
        </w:rPr>
        <w:t>有意</w:t>
      </w:r>
      <w:r w:rsidR="007D6B0A">
        <w:rPr>
          <w:rFonts w:asciiTheme="minorEastAsia" w:eastAsiaTheme="minorEastAsia" w:hAnsiTheme="minorEastAsia" w:cs="Arial" w:hint="eastAsia"/>
          <w:sz w:val="20"/>
          <w:szCs w:val="20"/>
          <w:lang w:val="en-US" w:eastAsia="zh-CN"/>
        </w:rPr>
        <w:t>采取正确行动的公司</w:t>
      </w:r>
      <w:r w:rsidR="00624CAE">
        <w:rPr>
          <w:rFonts w:asciiTheme="minorEastAsia" w:eastAsiaTheme="minorEastAsia" w:hAnsiTheme="minorEastAsia" w:cs="Arial" w:hint="eastAsia"/>
          <w:sz w:val="20"/>
          <w:szCs w:val="20"/>
          <w:lang w:val="en-US" w:eastAsia="zh-CN"/>
        </w:rPr>
        <w:t>接触</w:t>
      </w:r>
      <w:r w:rsidR="007D6B0A">
        <w:rPr>
          <w:rFonts w:asciiTheme="minorEastAsia" w:eastAsiaTheme="minorEastAsia" w:hAnsiTheme="minorEastAsia" w:cs="Arial" w:hint="eastAsia"/>
          <w:sz w:val="20"/>
          <w:szCs w:val="20"/>
          <w:lang w:val="en-US" w:eastAsia="zh-CN"/>
        </w:rPr>
        <w:t>，</w:t>
      </w:r>
      <w:r w:rsidR="00AA1C34" w:rsidRPr="005B6D61">
        <w:rPr>
          <w:rFonts w:asciiTheme="minorEastAsia" w:eastAsia="SimSun" w:hAnsiTheme="minorEastAsia" w:cs="Arial" w:hint="eastAsia"/>
          <w:sz w:val="20"/>
          <w:szCs w:val="20"/>
          <w:lang w:val="en-US" w:eastAsia="zh-CN"/>
        </w:rPr>
        <w:t>并</w:t>
      </w:r>
      <w:r w:rsidR="00624CAE">
        <w:rPr>
          <w:rFonts w:asciiTheme="minorEastAsia" w:eastAsiaTheme="minorEastAsia" w:hAnsiTheme="minorEastAsia" w:cs="Arial" w:hint="eastAsia"/>
          <w:sz w:val="20"/>
          <w:szCs w:val="20"/>
          <w:lang w:val="en-US" w:eastAsia="zh-CN"/>
        </w:rPr>
        <w:t>断绝与</w:t>
      </w:r>
      <w:r w:rsidR="007D6B0A">
        <w:rPr>
          <w:rFonts w:asciiTheme="minorEastAsia" w:eastAsiaTheme="minorEastAsia" w:hAnsiTheme="minorEastAsia" w:cs="Arial" w:hint="eastAsia"/>
          <w:sz w:val="20"/>
          <w:szCs w:val="20"/>
          <w:lang w:val="en-US" w:eastAsia="zh-CN"/>
        </w:rPr>
        <w:t>那些不合作的公司</w:t>
      </w:r>
      <w:r w:rsidR="00624CAE">
        <w:rPr>
          <w:rFonts w:asciiTheme="minorEastAsia" w:eastAsiaTheme="minorEastAsia" w:hAnsiTheme="minorEastAsia" w:cs="Arial" w:hint="eastAsia"/>
          <w:sz w:val="20"/>
          <w:szCs w:val="20"/>
          <w:lang w:val="en-US" w:eastAsia="zh-CN"/>
        </w:rPr>
        <w:t>的接触。国家应</w:t>
      </w:r>
      <w:r w:rsidR="00AD5B06">
        <w:rPr>
          <w:rFonts w:asciiTheme="minorEastAsia" w:eastAsiaTheme="minorEastAsia" w:hAnsiTheme="minorEastAsia" w:cs="Arial" w:hint="eastAsia"/>
          <w:sz w:val="20"/>
          <w:szCs w:val="20"/>
          <w:lang w:val="en-US" w:eastAsia="zh-CN"/>
        </w:rPr>
        <w:t>采取步骤来确保其政策和做法符合这一方式。</w:t>
      </w:r>
      <w:r w:rsidR="00480568" w:rsidRPr="002B37B4">
        <w:rPr>
          <w:rFonts w:ascii="Arial" w:hAnsi="Arial" w:cs="Arial"/>
          <w:sz w:val="20"/>
          <w:szCs w:val="20"/>
          <w:lang w:val="en-US"/>
        </w:rPr>
        <w:t xml:space="preserve"> </w:t>
      </w:r>
    </w:p>
    <w:p w14:paraId="1EB27481" w14:textId="1C62A66E" w:rsidR="00480568" w:rsidRPr="002B37B4" w:rsidRDefault="00D76AF3" w:rsidP="00480568">
      <w:pPr>
        <w:pStyle w:val="NormalWeb"/>
        <w:numPr>
          <w:ilvl w:val="0"/>
          <w:numId w:val="6"/>
        </w:numPr>
        <w:spacing w:beforeAutospacing="0" w:after="12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确保具有司法补救手段，来起诉那些犯下或助长严重侵犯人权行为的企业。例如，</w:t>
      </w:r>
      <w:r w:rsidR="00D77E8C">
        <w:rPr>
          <w:rFonts w:asciiTheme="minorEastAsia" w:eastAsiaTheme="minorEastAsia" w:hAnsiTheme="minorEastAsia" w:cs="Arial" w:hint="eastAsia"/>
          <w:sz w:val="20"/>
          <w:szCs w:val="20"/>
          <w:lang w:val="en-US" w:eastAsia="zh-CN"/>
        </w:rPr>
        <w:t>瑞士联邦检察官</w:t>
      </w:r>
      <w:r>
        <w:rPr>
          <w:rFonts w:asciiTheme="minorEastAsia" w:eastAsiaTheme="minorEastAsia" w:hAnsiTheme="minorEastAsia" w:cs="Arial" w:hint="eastAsia"/>
          <w:sz w:val="20"/>
          <w:szCs w:val="20"/>
          <w:lang w:val="en-US" w:eastAsia="zh-CN"/>
        </w:rPr>
        <w:t>在2013年11月</w:t>
      </w:r>
      <w:r w:rsidR="00D77E8C">
        <w:rPr>
          <w:rFonts w:asciiTheme="minorEastAsia" w:eastAsiaTheme="minorEastAsia" w:hAnsiTheme="minorEastAsia" w:cs="Arial" w:hint="eastAsia"/>
          <w:sz w:val="20"/>
          <w:szCs w:val="20"/>
          <w:lang w:val="en-US" w:eastAsia="zh-CN"/>
        </w:rPr>
        <w:t>证实</w:t>
      </w:r>
      <w:r>
        <w:rPr>
          <w:rFonts w:asciiTheme="minorEastAsia" w:eastAsiaTheme="minorEastAsia" w:hAnsiTheme="minorEastAsia" w:cs="Arial" w:hint="eastAsia"/>
          <w:sz w:val="20"/>
          <w:szCs w:val="20"/>
          <w:lang w:val="en-US" w:eastAsia="zh-CN"/>
        </w:rPr>
        <w:t>，</w:t>
      </w:r>
      <w:r w:rsidR="00D77E8C">
        <w:rPr>
          <w:rFonts w:asciiTheme="minorEastAsia" w:eastAsiaTheme="minorEastAsia" w:hAnsiTheme="minorEastAsia" w:cs="Arial" w:hint="eastAsia"/>
          <w:sz w:val="20"/>
          <w:szCs w:val="20"/>
          <w:lang w:val="en-US" w:eastAsia="zh-CN"/>
        </w:rPr>
        <w:t>他们已对</w:t>
      </w:r>
      <w:r w:rsidR="000C5AE2">
        <w:rPr>
          <w:rFonts w:asciiTheme="minorEastAsia" w:eastAsiaTheme="minorEastAsia" w:hAnsiTheme="minorEastAsia" w:cs="Arial" w:hint="eastAsia"/>
          <w:sz w:val="20"/>
          <w:szCs w:val="20"/>
          <w:lang w:val="en-US" w:eastAsia="zh-CN"/>
        </w:rPr>
        <w:t>亚格贺利氏公司（</w:t>
      </w:r>
      <w:proofErr w:type="spellStart"/>
      <w:r w:rsidR="00480568" w:rsidRPr="002B37B4">
        <w:rPr>
          <w:rFonts w:ascii="Arial" w:hAnsi="Arial" w:cs="Arial"/>
          <w:sz w:val="20"/>
          <w:szCs w:val="20"/>
          <w:lang w:val="en-US"/>
        </w:rPr>
        <w:t>Argor-Heraeus</w:t>
      </w:r>
      <w:proofErr w:type="spellEnd"/>
      <w:r w:rsidR="00480568" w:rsidRPr="002B37B4">
        <w:rPr>
          <w:rFonts w:ascii="Arial" w:hAnsi="Arial" w:cs="Arial"/>
          <w:sz w:val="20"/>
          <w:szCs w:val="20"/>
          <w:lang w:val="en-US"/>
        </w:rPr>
        <w:t xml:space="preserve"> SA</w:t>
      </w:r>
      <w:r w:rsidR="000C5AE2">
        <w:rPr>
          <w:rFonts w:asciiTheme="minorEastAsia" w:eastAsiaTheme="minorEastAsia" w:hAnsiTheme="minorEastAsia" w:cs="Arial" w:hint="eastAsia"/>
          <w:sz w:val="20"/>
          <w:szCs w:val="20"/>
          <w:lang w:val="en-US" w:eastAsia="zh-CN"/>
        </w:rPr>
        <w:t>）</w:t>
      </w:r>
      <w:r w:rsidR="00D77E8C">
        <w:rPr>
          <w:rFonts w:asciiTheme="minorEastAsia" w:eastAsiaTheme="minorEastAsia" w:hAnsiTheme="minorEastAsia" w:cs="Arial" w:hint="eastAsia"/>
          <w:sz w:val="20"/>
          <w:szCs w:val="20"/>
          <w:lang w:val="en-US" w:eastAsia="zh-CN"/>
        </w:rPr>
        <w:t>展开调查，以回应非政府组织</w:t>
      </w:r>
      <w:r w:rsidR="00480568" w:rsidRPr="002B37B4">
        <w:rPr>
          <w:rFonts w:ascii="Arial" w:hAnsi="Arial" w:cs="Arial"/>
          <w:sz w:val="20"/>
          <w:szCs w:val="20"/>
          <w:lang w:val="en-US"/>
        </w:rPr>
        <w:t>TRIAL</w:t>
      </w:r>
      <w:r w:rsidR="00D77E8C">
        <w:rPr>
          <w:rFonts w:asciiTheme="minorEastAsia" w:eastAsiaTheme="minorEastAsia" w:hAnsiTheme="minorEastAsia" w:cs="Arial" w:hint="eastAsia"/>
          <w:sz w:val="20"/>
          <w:szCs w:val="20"/>
          <w:lang w:val="en-US" w:eastAsia="zh-CN"/>
        </w:rPr>
        <w:t>的刑事投诉。投诉称，该</w:t>
      </w:r>
      <w:r w:rsidR="00BF3FBF">
        <w:rPr>
          <w:rFonts w:asciiTheme="minorEastAsia" w:eastAsiaTheme="minorEastAsia" w:hAnsiTheme="minorEastAsia" w:cs="Arial" w:hint="eastAsia"/>
          <w:sz w:val="20"/>
          <w:szCs w:val="20"/>
          <w:lang w:val="en-US" w:eastAsia="zh-CN"/>
        </w:rPr>
        <w:t>企业</w:t>
      </w:r>
      <w:r w:rsidR="00D77E8C">
        <w:rPr>
          <w:rFonts w:asciiTheme="minorEastAsia" w:eastAsiaTheme="minorEastAsia" w:hAnsiTheme="minorEastAsia" w:cs="Arial" w:hint="eastAsia"/>
          <w:sz w:val="20"/>
          <w:szCs w:val="20"/>
          <w:lang w:val="en-US" w:eastAsia="zh-CN"/>
        </w:rPr>
        <w:t>知道其在2004年和2005年经手的黄金，是从刚果民主共和国的一场武装冲突中掠夺而来。该</w:t>
      </w:r>
      <w:r w:rsidR="00BF3FBF">
        <w:rPr>
          <w:rFonts w:asciiTheme="minorEastAsia" w:eastAsiaTheme="minorEastAsia" w:hAnsiTheme="minorEastAsia" w:cs="Arial" w:hint="eastAsia"/>
          <w:sz w:val="20"/>
          <w:szCs w:val="20"/>
          <w:lang w:val="en-US" w:eastAsia="zh-CN"/>
        </w:rPr>
        <w:t>企业</w:t>
      </w:r>
      <w:r w:rsidR="00D77E8C">
        <w:rPr>
          <w:rFonts w:asciiTheme="minorEastAsia" w:eastAsiaTheme="minorEastAsia" w:hAnsiTheme="minorEastAsia" w:cs="Arial" w:hint="eastAsia"/>
          <w:sz w:val="20"/>
          <w:szCs w:val="20"/>
          <w:lang w:val="en-US" w:eastAsia="zh-CN"/>
        </w:rPr>
        <w:t>坚决否认这些指称。</w:t>
      </w:r>
      <w:r w:rsidR="00480568" w:rsidRPr="002B37B4">
        <w:rPr>
          <w:rFonts w:ascii="Arial" w:hAnsi="Arial" w:cs="Arial"/>
          <w:sz w:val="20"/>
          <w:szCs w:val="20"/>
          <w:lang w:val="en-US"/>
        </w:rPr>
        <w:t xml:space="preserve"> </w:t>
      </w:r>
    </w:p>
    <w:p w14:paraId="3F2C4DAF" w14:textId="0F978469" w:rsidR="00480568" w:rsidRPr="002B37B4" w:rsidRDefault="000C5AE2" w:rsidP="00480568">
      <w:pPr>
        <w:pStyle w:val="NormalWeb"/>
        <w:numPr>
          <w:ilvl w:val="0"/>
          <w:numId w:val="6"/>
        </w:numPr>
        <w:spacing w:beforeAutospacing="0" w:after="120" w:afterAutospacing="0"/>
        <w:rPr>
          <w:rFonts w:ascii="Arial" w:hAnsi="Arial" w:cs="Arial"/>
          <w:sz w:val="20"/>
          <w:szCs w:val="20"/>
          <w:lang w:val="en-US"/>
        </w:rPr>
      </w:pPr>
      <w:r>
        <w:rPr>
          <w:rFonts w:asciiTheme="minorEastAsia" w:eastAsiaTheme="minorEastAsia" w:hAnsiTheme="minorEastAsia" w:cs="Arial" w:hint="eastAsia"/>
          <w:sz w:val="20"/>
          <w:szCs w:val="20"/>
          <w:lang w:val="en-US" w:eastAsia="zh-CN"/>
        </w:rPr>
        <w:t>通过国际政策协调来</w:t>
      </w:r>
      <w:r w:rsidR="00D77E8C">
        <w:rPr>
          <w:rFonts w:asciiTheme="minorEastAsia" w:eastAsiaTheme="minorEastAsia" w:hAnsiTheme="minorEastAsia" w:cs="Arial" w:hint="eastAsia"/>
          <w:sz w:val="20"/>
          <w:szCs w:val="20"/>
          <w:lang w:val="en-US" w:eastAsia="zh-CN"/>
        </w:rPr>
        <w:t>确保</w:t>
      </w:r>
      <w:r w:rsidR="008374D9">
        <w:rPr>
          <w:rFonts w:asciiTheme="minorEastAsia" w:eastAsiaTheme="minorEastAsia" w:hAnsiTheme="minorEastAsia" w:cs="Arial" w:hint="eastAsia"/>
          <w:sz w:val="20"/>
          <w:szCs w:val="20"/>
          <w:lang w:val="en-US" w:eastAsia="zh-CN"/>
        </w:rPr>
        <w:t>各国的做法一致</w:t>
      </w:r>
      <w:r>
        <w:rPr>
          <w:rFonts w:asciiTheme="minorEastAsia" w:eastAsiaTheme="minorEastAsia" w:hAnsiTheme="minorEastAsia" w:cs="Arial" w:hint="eastAsia"/>
          <w:sz w:val="20"/>
          <w:szCs w:val="20"/>
          <w:lang w:val="en-US" w:eastAsia="zh-CN"/>
        </w:rPr>
        <w:t>。联合国秘书长特别代表</w:t>
      </w:r>
      <w:r w:rsidRPr="000C5AE2">
        <w:rPr>
          <w:rFonts w:asciiTheme="minorEastAsia" w:eastAsiaTheme="minorEastAsia" w:hAnsiTheme="minorEastAsia" w:cs="Arial" w:hint="eastAsia"/>
          <w:sz w:val="20"/>
          <w:szCs w:val="20"/>
          <w:lang w:val="en-US" w:eastAsia="zh-CN"/>
        </w:rPr>
        <w:t>约翰·鲁杰</w:t>
      </w:r>
      <w:r>
        <w:rPr>
          <w:rFonts w:asciiTheme="minorEastAsia" w:eastAsiaTheme="minorEastAsia" w:hAnsiTheme="minorEastAsia" w:cs="Arial" w:hint="eastAsia"/>
          <w:sz w:val="20"/>
          <w:szCs w:val="20"/>
          <w:lang w:val="en-US" w:eastAsia="zh-CN"/>
        </w:rPr>
        <w:t>教授在其《关于授权</w:t>
      </w:r>
      <w:r w:rsidR="008374D9">
        <w:rPr>
          <w:rFonts w:asciiTheme="minorEastAsia" w:eastAsiaTheme="minorEastAsia" w:hAnsiTheme="minorEastAsia" w:cs="Arial" w:hint="eastAsia"/>
          <w:sz w:val="20"/>
          <w:szCs w:val="20"/>
          <w:lang w:val="en-US" w:eastAsia="zh-CN"/>
        </w:rPr>
        <w:t>之后</w:t>
      </w:r>
      <w:r>
        <w:rPr>
          <w:rFonts w:asciiTheme="minorEastAsia" w:eastAsiaTheme="minorEastAsia" w:hAnsiTheme="minorEastAsia" w:cs="Arial" w:hint="eastAsia"/>
          <w:sz w:val="20"/>
          <w:szCs w:val="20"/>
          <w:lang w:val="en-US" w:eastAsia="zh-CN"/>
        </w:rPr>
        <w:t>行动的建议》中认为：“国际准则禁止可能构成国际犯罪的严重侵犯人权行为，对于这些准则是否适用于企业，各国家司法管辖区的解释有所不同。”他还</w:t>
      </w:r>
      <w:r w:rsidR="008374D9">
        <w:rPr>
          <w:rFonts w:asciiTheme="minorEastAsia" w:eastAsiaTheme="minorEastAsia" w:hAnsiTheme="minorEastAsia" w:cs="Arial" w:hint="eastAsia"/>
          <w:sz w:val="20"/>
          <w:szCs w:val="20"/>
          <w:lang w:val="en-US" w:eastAsia="zh-CN"/>
        </w:rPr>
        <w:t>表示可能需要以一项国际文书的方式进行澄清。国家则应开始进行多边会谈，以减少人权</w:t>
      </w:r>
      <w:r w:rsidR="00A634B8">
        <w:rPr>
          <w:rFonts w:asciiTheme="minorEastAsia" w:eastAsiaTheme="minorEastAsia" w:hAnsiTheme="minorEastAsia" w:cs="Arial" w:hint="eastAsia"/>
          <w:sz w:val="20"/>
          <w:szCs w:val="20"/>
          <w:lang w:val="en-US" w:eastAsia="zh-CN"/>
        </w:rPr>
        <w:t>受严重侵犯的</w:t>
      </w:r>
      <w:r w:rsidR="008374D9">
        <w:rPr>
          <w:rFonts w:asciiTheme="minorEastAsia" w:eastAsiaTheme="minorEastAsia" w:hAnsiTheme="minorEastAsia" w:cs="Arial" w:hint="eastAsia"/>
          <w:sz w:val="20"/>
          <w:szCs w:val="20"/>
          <w:lang w:val="en-US" w:eastAsia="zh-CN"/>
        </w:rPr>
        <w:t>受害者在获取正义时面临的障碍。</w:t>
      </w:r>
    </w:p>
    <w:p w14:paraId="21ACFDBB" w14:textId="77777777" w:rsidR="00480568" w:rsidRPr="002B37B4" w:rsidRDefault="00480568" w:rsidP="00480568">
      <w:pPr>
        <w:pStyle w:val="NormalWeb"/>
        <w:spacing w:beforeAutospacing="0" w:after="120" w:afterAutospacing="0"/>
        <w:ind w:left="360"/>
        <w:rPr>
          <w:rStyle w:val="Strong"/>
          <w:rFonts w:ascii="Arial" w:hAnsi="Arial" w:cs="Arial"/>
          <w:b w:val="0"/>
          <w:bCs w:val="0"/>
          <w:sz w:val="20"/>
          <w:szCs w:val="20"/>
        </w:rPr>
      </w:pPr>
    </w:p>
    <w:p w14:paraId="048EA988" w14:textId="77777777" w:rsidR="00480568" w:rsidRPr="002B37B4" w:rsidRDefault="008374D9" w:rsidP="00480568">
      <w:pPr>
        <w:pStyle w:val="Heading2"/>
        <w:numPr>
          <w:ilvl w:val="0"/>
          <w:numId w:val="5"/>
        </w:numPr>
        <w:rPr>
          <w:rStyle w:val="Strong"/>
          <w:rFonts w:ascii="Arial" w:hAnsi="Arial" w:cs="Arial"/>
          <w:b/>
          <w:sz w:val="20"/>
          <w:szCs w:val="20"/>
          <w:lang w:val="en-US" w:eastAsia="zh-CN"/>
        </w:rPr>
      </w:pPr>
      <w:r>
        <w:rPr>
          <w:rStyle w:val="Strong"/>
          <w:rFonts w:ascii="Arial" w:hAnsi="Arial" w:cs="Arial" w:hint="eastAsia"/>
          <w:sz w:val="20"/>
          <w:szCs w:val="20"/>
          <w:lang w:val="en-US" w:eastAsia="zh-CN"/>
        </w:rPr>
        <w:t>在</w:t>
      </w:r>
      <w:bookmarkStart w:id="15" w:name="_Toc372820020"/>
      <w:r>
        <w:rPr>
          <w:rStyle w:val="Strong"/>
          <w:rFonts w:ascii="Arial" w:hAnsi="Arial" w:cs="Arial" w:hint="eastAsia"/>
          <w:sz w:val="20"/>
          <w:szCs w:val="20"/>
          <w:lang w:val="en-US" w:eastAsia="zh-CN"/>
        </w:rPr>
        <w:t>国家与企业的关系中加入尽责因素</w:t>
      </w:r>
      <w:bookmarkEnd w:id="15"/>
    </w:p>
    <w:p w14:paraId="700A7B87" w14:textId="71EE679F" w:rsidR="00480568" w:rsidRPr="002B37B4" w:rsidRDefault="008151E4" w:rsidP="00480568">
      <w:pPr>
        <w:pStyle w:val="NormalWeb"/>
        <w:rPr>
          <w:rStyle w:val="Strong"/>
          <w:rFonts w:ascii="Arial" w:hAnsi="Arial" w:cs="Arial"/>
          <w:b w:val="0"/>
          <w:sz w:val="20"/>
          <w:szCs w:val="20"/>
          <w:lang w:val="en-US"/>
        </w:rPr>
      </w:pPr>
      <w:r>
        <w:rPr>
          <w:rStyle w:val="Strong"/>
          <w:rFonts w:asciiTheme="minorEastAsia" w:eastAsiaTheme="minorEastAsia" w:hAnsiTheme="minorEastAsia" w:cs="Arial" w:hint="eastAsia"/>
          <w:sz w:val="20"/>
          <w:szCs w:val="20"/>
          <w:lang w:val="en-US" w:eastAsia="zh-CN"/>
        </w:rPr>
        <w:t>国家可以采取行动的</w:t>
      </w:r>
      <w:r w:rsidR="008374D9">
        <w:rPr>
          <w:rStyle w:val="Strong"/>
          <w:rFonts w:asciiTheme="minorEastAsia" w:eastAsiaTheme="minorEastAsia" w:hAnsiTheme="minorEastAsia" w:cs="Arial" w:hint="eastAsia"/>
          <w:sz w:val="20"/>
          <w:szCs w:val="20"/>
          <w:lang w:val="en-US" w:eastAsia="zh-CN"/>
        </w:rPr>
        <w:t>第二个</w:t>
      </w:r>
      <w:r>
        <w:rPr>
          <w:rStyle w:val="Strong"/>
          <w:rFonts w:asciiTheme="minorEastAsia" w:eastAsiaTheme="minorEastAsia" w:hAnsiTheme="minorEastAsia" w:cs="Arial" w:hint="eastAsia"/>
          <w:sz w:val="20"/>
          <w:szCs w:val="20"/>
          <w:lang w:val="en-US" w:eastAsia="zh-CN"/>
        </w:rPr>
        <w:t>明显</w:t>
      </w:r>
      <w:r w:rsidR="008374D9">
        <w:rPr>
          <w:rStyle w:val="Strong"/>
          <w:rFonts w:asciiTheme="minorEastAsia" w:eastAsiaTheme="minorEastAsia" w:hAnsiTheme="minorEastAsia" w:cs="Arial" w:hint="eastAsia"/>
          <w:sz w:val="20"/>
          <w:szCs w:val="20"/>
          <w:lang w:val="en-US" w:eastAsia="zh-CN"/>
        </w:rPr>
        <w:t>领域</w:t>
      </w:r>
      <w:r>
        <w:rPr>
          <w:rStyle w:val="Strong"/>
          <w:rFonts w:asciiTheme="minorEastAsia" w:eastAsiaTheme="minorEastAsia" w:hAnsiTheme="minorEastAsia" w:cs="Arial" w:hint="eastAsia"/>
          <w:sz w:val="20"/>
          <w:szCs w:val="20"/>
          <w:lang w:val="en-US" w:eastAsia="zh-CN"/>
        </w:rPr>
        <w:t>，</w:t>
      </w:r>
      <w:r w:rsidRPr="008C40CC">
        <w:rPr>
          <w:rStyle w:val="Strong"/>
          <w:rFonts w:asciiTheme="minorEastAsia" w:eastAsiaTheme="minorEastAsia" w:hAnsiTheme="minorEastAsia" w:cs="Arial" w:hint="eastAsia"/>
          <w:sz w:val="20"/>
          <w:szCs w:val="20"/>
          <w:lang w:val="en-US" w:eastAsia="zh-CN"/>
        </w:rPr>
        <w:t>是那些国家</w:t>
      </w:r>
      <w:r w:rsidR="008C40CC" w:rsidRPr="008C40CC">
        <w:rPr>
          <w:rStyle w:val="Strong"/>
          <w:rFonts w:asciiTheme="minorEastAsia" w:eastAsiaTheme="minorEastAsia" w:hAnsiTheme="minorEastAsia" w:cs="Arial" w:hint="eastAsia"/>
          <w:sz w:val="20"/>
          <w:szCs w:val="20"/>
          <w:lang w:val="en-US" w:eastAsia="zh-CN"/>
        </w:rPr>
        <w:t>扮演着</w:t>
      </w:r>
      <w:r w:rsidRPr="008C40CC">
        <w:rPr>
          <w:rStyle w:val="Strong"/>
          <w:rFonts w:asciiTheme="minorEastAsia" w:eastAsiaTheme="minorEastAsia" w:hAnsiTheme="minorEastAsia" w:cs="Arial" w:hint="eastAsia"/>
          <w:sz w:val="20"/>
          <w:szCs w:val="20"/>
          <w:lang w:val="en-US" w:eastAsia="zh-CN"/>
        </w:rPr>
        <w:t>关键</w:t>
      </w:r>
      <w:r w:rsidR="008C40CC" w:rsidRPr="008C40CC">
        <w:rPr>
          <w:rStyle w:val="Strong"/>
          <w:rFonts w:asciiTheme="minorEastAsia" w:eastAsiaTheme="minorEastAsia" w:hAnsiTheme="minorEastAsia" w:cs="Arial" w:hint="eastAsia"/>
          <w:sz w:val="20"/>
          <w:szCs w:val="20"/>
          <w:lang w:val="en-US" w:eastAsia="zh-CN"/>
        </w:rPr>
        <w:t>经济主导角色</w:t>
      </w:r>
      <w:r w:rsidRPr="008C40CC">
        <w:rPr>
          <w:rStyle w:val="Strong"/>
          <w:rFonts w:asciiTheme="minorEastAsia" w:eastAsiaTheme="minorEastAsia" w:hAnsiTheme="minorEastAsia" w:cs="Arial" w:hint="eastAsia"/>
          <w:sz w:val="20"/>
          <w:szCs w:val="20"/>
          <w:lang w:val="en-US" w:eastAsia="zh-CN"/>
        </w:rPr>
        <w:t>的商业关系</w:t>
      </w:r>
      <w:r w:rsidR="008C40CC" w:rsidRPr="008C40CC">
        <w:rPr>
          <w:rStyle w:val="Strong"/>
          <w:rFonts w:asciiTheme="minorEastAsia" w:eastAsiaTheme="minorEastAsia" w:hAnsiTheme="minorEastAsia" w:cs="Arial" w:hint="eastAsia"/>
          <w:sz w:val="20"/>
          <w:szCs w:val="20"/>
          <w:lang w:val="en-US" w:eastAsia="zh-CN"/>
        </w:rPr>
        <w:t>当中</w:t>
      </w:r>
      <w:r w:rsidRPr="008C40CC">
        <w:rPr>
          <w:rStyle w:val="Strong"/>
          <w:rFonts w:asciiTheme="minorEastAsia" w:eastAsiaTheme="minorEastAsia" w:hAnsiTheme="minorEastAsia" w:cs="Arial" w:hint="eastAsia"/>
          <w:sz w:val="20"/>
          <w:szCs w:val="20"/>
          <w:lang w:val="en-US" w:eastAsia="zh-CN"/>
        </w:rPr>
        <w:t>。</w:t>
      </w:r>
      <w:r>
        <w:rPr>
          <w:rStyle w:val="Strong"/>
          <w:rFonts w:asciiTheme="minorEastAsia" w:eastAsiaTheme="minorEastAsia" w:hAnsiTheme="minorEastAsia" w:cs="Arial" w:hint="eastAsia"/>
          <w:sz w:val="20"/>
          <w:szCs w:val="20"/>
          <w:lang w:val="en-US" w:eastAsia="zh-CN"/>
        </w:rPr>
        <w:t>企业要与国家进行商业活动</w:t>
      </w:r>
      <w:r w:rsidR="00480568" w:rsidRPr="002B37B4">
        <w:rPr>
          <w:rStyle w:val="Strong"/>
          <w:rFonts w:ascii="Arial" w:hAnsi="Arial" w:cs="Arial"/>
          <w:sz w:val="20"/>
          <w:szCs w:val="20"/>
          <w:lang w:val="en-US"/>
        </w:rPr>
        <w:t xml:space="preserve"> </w:t>
      </w:r>
      <w:r>
        <w:rPr>
          <w:rStyle w:val="Strong"/>
          <w:rFonts w:asciiTheme="minorEastAsia" w:eastAsiaTheme="minorEastAsia" w:hAnsiTheme="minorEastAsia" w:cs="Arial" w:hint="eastAsia"/>
          <w:sz w:val="20"/>
          <w:szCs w:val="20"/>
          <w:lang w:val="en-US" w:eastAsia="zh-CN"/>
        </w:rPr>
        <w:t>，其要达到的最低要求就是尽责，这向市场传达了一个强有力的信息，并有助于提供企业社会责任的标准。</w:t>
      </w:r>
      <w:r w:rsidR="00F93367">
        <w:rPr>
          <w:rStyle w:val="Strong"/>
          <w:rFonts w:asciiTheme="minorEastAsia" w:eastAsiaTheme="minorEastAsia" w:hAnsiTheme="minorEastAsia" w:cs="Arial" w:hint="eastAsia"/>
          <w:sz w:val="20"/>
          <w:szCs w:val="20"/>
          <w:lang w:val="en-US" w:eastAsia="zh-CN"/>
        </w:rPr>
        <w:t>根据国际人权条约，</w:t>
      </w:r>
      <w:r>
        <w:rPr>
          <w:rStyle w:val="Strong"/>
          <w:rFonts w:asciiTheme="minorEastAsia" w:eastAsiaTheme="minorEastAsia" w:hAnsiTheme="minorEastAsia" w:cs="Arial" w:hint="eastAsia"/>
          <w:sz w:val="20"/>
          <w:szCs w:val="20"/>
          <w:lang w:val="en-US" w:eastAsia="zh-CN"/>
        </w:rPr>
        <w:t>国家</w:t>
      </w:r>
      <w:r w:rsidR="00F93367">
        <w:rPr>
          <w:rStyle w:val="Strong"/>
          <w:rFonts w:asciiTheme="minorEastAsia" w:eastAsiaTheme="minorEastAsia" w:hAnsiTheme="minorEastAsia" w:cs="Arial" w:hint="eastAsia"/>
          <w:sz w:val="20"/>
          <w:szCs w:val="20"/>
          <w:lang w:val="en-US" w:eastAsia="zh-CN"/>
        </w:rPr>
        <w:t>也有义务这样做。国家应要求企业，将人权尽责工作作为他们与国家机构的商业关系中的一部分。这适用于国有企业、投资基金（</w:t>
      </w:r>
      <w:r w:rsidR="00A634B8">
        <w:rPr>
          <w:rStyle w:val="Strong"/>
          <w:rFonts w:asciiTheme="minorEastAsia" w:eastAsiaTheme="minorEastAsia" w:hAnsiTheme="minorEastAsia" w:cs="Arial" w:hint="eastAsia"/>
          <w:sz w:val="20"/>
          <w:szCs w:val="20"/>
          <w:lang w:val="en-US" w:eastAsia="zh-CN"/>
        </w:rPr>
        <w:t>退休金</w:t>
      </w:r>
      <w:r w:rsidR="00F93367">
        <w:rPr>
          <w:rStyle w:val="Strong"/>
          <w:rFonts w:asciiTheme="minorEastAsia" w:eastAsiaTheme="minorEastAsia" w:hAnsiTheme="minorEastAsia" w:cs="Arial" w:hint="eastAsia"/>
          <w:sz w:val="20"/>
          <w:szCs w:val="20"/>
          <w:lang w:val="en-US" w:eastAsia="zh-CN"/>
        </w:rPr>
        <w:t>）、海外发展援助的支出、出口信贷</w:t>
      </w:r>
      <w:r w:rsidR="00F93367" w:rsidRPr="00F93367">
        <w:rPr>
          <w:rStyle w:val="Strong"/>
          <w:rFonts w:asciiTheme="minorEastAsia" w:eastAsiaTheme="minorEastAsia" w:hAnsiTheme="minorEastAsia" w:cs="Arial" w:hint="eastAsia"/>
          <w:sz w:val="20"/>
          <w:szCs w:val="20"/>
          <w:lang w:val="en-US" w:eastAsia="zh-CN"/>
        </w:rPr>
        <w:t>/</w:t>
      </w:r>
      <w:r w:rsidR="00F93367">
        <w:rPr>
          <w:rStyle w:val="Strong"/>
          <w:rFonts w:asciiTheme="minorEastAsia" w:eastAsiaTheme="minorEastAsia" w:hAnsiTheme="minorEastAsia" w:cs="Arial" w:hint="eastAsia"/>
          <w:sz w:val="20"/>
          <w:szCs w:val="20"/>
          <w:lang w:val="en-US" w:eastAsia="zh-CN"/>
        </w:rPr>
        <w:t>保险和公共</w:t>
      </w:r>
      <w:r w:rsidR="00F93367" w:rsidRPr="00F93367">
        <w:rPr>
          <w:rStyle w:val="Strong"/>
          <w:rFonts w:asciiTheme="minorEastAsia" w:eastAsiaTheme="minorEastAsia" w:hAnsiTheme="minorEastAsia" w:cs="Arial" w:hint="eastAsia"/>
          <w:sz w:val="20"/>
          <w:szCs w:val="20"/>
          <w:lang w:val="en-US" w:eastAsia="zh-CN"/>
        </w:rPr>
        <w:t>采购</w:t>
      </w:r>
      <w:r w:rsidR="00F93367">
        <w:rPr>
          <w:rStyle w:val="Strong"/>
          <w:rFonts w:asciiTheme="minorEastAsia" w:eastAsiaTheme="minorEastAsia" w:hAnsiTheme="minorEastAsia" w:cs="Arial" w:hint="eastAsia"/>
          <w:sz w:val="20"/>
          <w:szCs w:val="20"/>
          <w:lang w:val="en-US" w:eastAsia="zh-CN"/>
        </w:rPr>
        <w:t>。</w:t>
      </w:r>
      <w:r w:rsidR="00480568" w:rsidRPr="002B37B4">
        <w:rPr>
          <w:rStyle w:val="Strong"/>
          <w:rFonts w:ascii="Arial" w:hAnsi="Arial" w:cs="Arial"/>
          <w:sz w:val="20"/>
          <w:szCs w:val="20"/>
          <w:lang w:val="en-US"/>
        </w:rPr>
        <w:t xml:space="preserve"> </w:t>
      </w:r>
    </w:p>
    <w:p w14:paraId="5D31E1ED" w14:textId="588482A9" w:rsidR="00480568" w:rsidRPr="002B37B4" w:rsidRDefault="00480568" w:rsidP="00480568">
      <w:pPr>
        <w:pStyle w:val="Heading2"/>
        <w:numPr>
          <w:ilvl w:val="0"/>
          <w:numId w:val="5"/>
        </w:numPr>
        <w:rPr>
          <w:rStyle w:val="Strong"/>
          <w:rFonts w:ascii="Arial" w:hAnsi="Arial" w:cs="Arial"/>
          <w:b/>
          <w:bCs/>
          <w:sz w:val="20"/>
          <w:szCs w:val="20"/>
        </w:rPr>
      </w:pPr>
      <w:r w:rsidRPr="002B37B4">
        <w:rPr>
          <w:rStyle w:val="Strong"/>
          <w:rFonts w:ascii="Arial" w:hAnsi="Arial" w:cs="Arial"/>
          <w:sz w:val="20"/>
          <w:szCs w:val="20"/>
          <w:lang w:val="en-US" w:eastAsia="zh-CN"/>
        </w:rPr>
        <w:t xml:space="preserve"> </w:t>
      </w:r>
      <w:bookmarkStart w:id="16" w:name="_Toc372820021"/>
      <w:r w:rsidR="008C40CC">
        <w:rPr>
          <w:rStyle w:val="Strong"/>
          <w:rFonts w:ascii="Arial" w:hAnsi="Arial" w:cs="Arial" w:hint="eastAsia"/>
          <w:sz w:val="20"/>
          <w:szCs w:val="20"/>
          <w:lang w:val="en-US" w:eastAsia="zh-CN"/>
        </w:rPr>
        <w:t>巩固</w:t>
      </w:r>
      <w:r w:rsidR="002652DF">
        <w:rPr>
          <w:rStyle w:val="Strong"/>
          <w:rFonts w:ascii="Arial" w:hAnsi="Arial" w:cs="Arial" w:hint="eastAsia"/>
          <w:sz w:val="20"/>
          <w:szCs w:val="20"/>
          <w:lang w:val="en-US" w:eastAsia="zh-CN"/>
        </w:rPr>
        <w:t>尽责的范围</w:t>
      </w:r>
      <w:bookmarkEnd w:id="16"/>
    </w:p>
    <w:p w14:paraId="5DB532EA" w14:textId="6E957CA9" w:rsidR="00480568" w:rsidRPr="002B37B4" w:rsidRDefault="00F93367"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t>国家在鼓励或要求企业尽责时，应确保不会损害已经建立的关于尽责范围的</w:t>
      </w:r>
      <w:r w:rsidR="00425266">
        <w:rPr>
          <w:rFonts w:asciiTheme="minorEastAsia" w:eastAsiaTheme="minorEastAsia" w:hAnsiTheme="minorEastAsia" w:cs="Arial" w:hint="eastAsia"/>
          <w:sz w:val="20"/>
          <w:szCs w:val="20"/>
          <w:lang w:val="en-US" w:eastAsia="zh-CN"/>
        </w:rPr>
        <w:t>常規</w:t>
      </w:r>
      <w:r>
        <w:rPr>
          <w:rFonts w:asciiTheme="minorEastAsia" w:eastAsiaTheme="minorEastAsia" w:hAnsiTheme="minorEastAsia" w:cs="Arial" w:hint="eastAsia"/>
          <w:sz w:val="20"/>
          <w:szCs w:val="20"/>
          <w:lang w:val="en-US" w:eastAsia="zh-CN"/>
        </w:rPr>
        <w:t>。《指导原则》的内容和精神，以及以《指导原则》为根据的</w:t>
      </w:r>
      <w:r w:rsidR="002652DF">
        <w:rPr>
          <w:rFonts w:asciiTheme="minorEastAsia" w:eastAsiaTheme="minorEastAsia" w:hAnsiTheme="minorEastAsia" w:cs="Arial" w:hint="eastAsia"/>
          <w:sz w:val="20"/>
          <w:szCs w:val="20"/>
          <w:lang w:val="en-US" w:eastAsia="zh-CN"/>
        </w:rPr>
        <w:t>国家和国际文书，是旨在</w:t>
      </w:r>
      <w:r w:rsidR="00D51698">
        <w:rPr>
          <w:rFonts w:asciiTheme="minorEastAsia" w:eastAsiaTheme="minorEastAsia" w:hAnsiTheme="minorEastAsia" w:cs="Arial" w:hint="eastAsia"/>
          <w:sz w:val="20"/>
          <w:szCs w:val="20"/>
          <w:lang w:val="en-US" w:eastAsia="zh-CN"/>
        </w:rPr>
        <w:t>防止企业通过其商业关系将可能有害的行为外包出去，从而逃避责任。</w:t>
      </w:r>
      <w:r w:rsidR="00480568" w:rsidRPr="002B37B4">
        <w:rPr>
          <w:rFonts w:ascii="Arial" w:hAnsi="Arial" w:cs="Arial"/>
          <w:sz w:val="20"/>
          <w:szCs w:val="20"/>
          <w:lang w:val="en-US"/>
        </w:rPr>
        <w:t xml:space="preserve"> </w:t>
      </w:r>
    </w:p>
    <w:p w14:paraId="0B6F117B" w14:textId="77DC557A" w:rsidR="00480568" w:rsidRPr="002B37B4" w:rsidRDefault="00D51698" w:rsidP="00480568">
      <w:pPr>
        <w:pStyle w:val="NormalWeb"/>
        <w:rPr>
          <w:rFonts w:ascii="Arial" w:hAnsi="Arial" w:cs="Arial"/>
          <w:sz w:val="20"/>
          <w:szCs w:val="20"/>
          <w:lang w:val="en-US"/>
        </w:rPr>
      </w:pPr>
      <w:r>
        <w:rPr>
          <w:rFonts w:asciiTheme="minorEastAsia" w:eastAsiaTheme="minorEastAsia" w:hAnsiTheme="minorEastAsia" w:cs="Arial" w:hint="eastAsia"/>
          <w:sz w:val="20"/>
          <w:szCs w:val="20"/>
          <w:lang w:val="en-US" w:eastAsia="zh-CN"/>
        </w:rPr>
        <w:lastRenderedPageBreak/>
        <w:t>公司社会责任议程面对的一个核心问题是</w:t>
      </w:r>
      <w:r w:rsidR="00C57683">
        <w:rPr>
          <w:rFonts w:asciiTheme="minorEastAsia" w:eastAsiaTheme="minorEastAsia" w:hAnsiTheme="minorEastAsia" w:cs="Arial" w:hint="eastAsia"/>
          <w:sz w:val="20"/>
          <w:szCs w:val="20"/>
          <w:lang w:val="en-US" w:eastAsia="zh-CN"/>
        </w:rPr>
        <w:t>损害问责性</w:t>
      </w:r>
      <w:r w:rsidR="00C57683" w:rsidRPr="00C57683">
        <w:rPr>
          <w:rFonts w:asciiTheme="minorEastAsia" w:eastAsiaTheme="minorEastAsia" w:hAnsiTheme="minorEastAsia" w:cs="Arial" w:hint="eastAsia"/>
          <w:sz w:val="20"/>
          <w:szCs w:val="20"/>
          <w:lang w:val="en-US" w:eastAsia="zh-CN"/>
        </w:rPr>
        <w:t>及对法律准则的尊重，例如环保或劳工权利方面的准则</w:t>
      </w:r>
      <w:r w:rsidR="00C57683" w:rsidRPr="005B6D61">
        <w:rPr>
          <w:rFonts w:ascii="PMingLiU" w:eastAsia="SimSun" w:hAnsi="PMingLiU" w:cs="Arial" w:hint="eastAsia"/>
          <w:sz w:val="20"/>
          <w:szCs w:val="20"/>
          <w:lang w:val="en-US" w:eastAsia="zh-CN"/>
        </w:rPr>
        <w:t>。这种损害通常透过</w:t>
      </w:r>
      <w:r>
        <w:rPr>
          <w:rFonts w:asciiTheme="minorEastAsia" w:eastAsiaTheme="minorEastAsia" w:hAnsiTheme="minorEastAsia" w:cs="Arial" w:hint="eastAsia"/>
          <w:sz w:val="20"/>
          <w:szCs w:val="20"/>
          <w:lang w:val="en-US" w:eastAsia="zh-CN"/>
        </w:rPr>
        <w:t>商业关系的变通使用</w:t>
      </w:r>
      <w:r w:rsidR="00C57683" w:rsidRPr="005B6D61">
        <w:rPr>
          <w:rFonts w:ascii="PMingLiU" w:eastAsia="SimSun" w:hAnsi="PMingLiU" w:cs="Arial" w:hint="eastAsia"/>
          <w:sz w:val="20"/>
          <w:szCs w:val="20"/>
          <w:lang w:val="en-US" w:eastAsia="zh-CN"/>
        </w:rPr>
        <w:t>、</w:t>
      </w:r>
      <w:r>
        <w:rPr>
          <w:rFonts w:asciiTheme="minorEastAsia" w:eastAsiaTheme="minorEastAsia" w:hAnsiTheme="minorEastAsia" w:cs="Arial" w:hint="eastAsia"/>
          <w:sz w:val="20"/>
          <w:szCs w:val="20"/>
          <w:lang w:val="en-US" w:eastAsia="zh-CN"/>
        </w:rPr>
        <w:t>各种形式的商业实体</w:t>
      </w:r>
      <w:r w:rsidR="00C57683" w:rsidRPr="005B6D61">
        <w:rPr>
          <w:rFonts w:ascii="PMingLiU" w:eastAsia="SimSun" w:hAnsi="PMingLiU" w:cs="Arial" w:hint="eastAsia"/>
          <w:sz w:val="20"/>
          <w:szCs w:val="20"/>
          <w:lang w:val="en-US" w:eastAsia="zh-CN"/>
        </w:rPr>
        <w:t>、</w:t>
      </w:r>
      <w:r>
        <w:rPr>
          <w:rFonts w:asciiTheme="minorEastAsia" w:eastAsiaTheme="minorEastAsia" w:hAnsiTheme="minorEastAsia" w:cs="Arial" w:hint="eastAsia"/>
          <w:sz w:val="20"/>
          <w:szCs w:val="20"/>
          <w:lang w:val="en-US" w:eastAsia="zh-CN"/>
        </w:rPr>
        <w:t>以及跨越多个司法管辖区的公司集团组织和结构</w:t>
      </w:r>
      <w:r w:rsidR="00C57683" w:rsidRPr="005B6D61">
        <w:rPr>
          <w:rFonts w:ascii="PMingLiU" w:eastAsia="SimSun" w:hAnsi="PMingLiU" w:cs="Arial" w:hint="eastAsia"/>
          <w:sz w:val="20"/>
          <w:szCs w:val="20"/>
          <w:lang w:val="en-US" w:eastAsia="zh-CN"/>
        </w:rPr>
        <w:t>而造成</w:t>
      </w:r>
      <w:r>
        <w:rPr>
          <w:rFonts w:asciiTheme="minorEastAsia" w:eastAsiaTheme="minorEastAsia" w:hAnsiTheme="minorEastAsia" w:cs="Arial" w:hint="eastAsia"/>
          <w:sz w:val="20"/>
          <w:szCs w:val="20"/>
          <w:lang w:val="en-US" w:eastAsia="zh-CN"/>
        </w:rPr>
        <w:t>。</w:t>
      </w:r>
      <w:r w:rsidR="00CF25EE">
        <w:rPr>
          <w:rFonts w:asciiTheme="minorEastAsia" w:eastAsiaTheme="minorEastAsia" w:hAnsiTheme="minorEastAsia" w:cs="Arial" w:hint="eastAsia"/>
          <w:sz w:val="20"/>
          <w:szCs w:val="20"/>
          <w:lang w:val="en-US" w:eastAsia="zh-CN"/>
        </w:rPr>
        <w:t>《指导原则》和相关文书的做法是，</w:t>
      </w:r>
      <w:r w:rsidR="001D1F49" w:rsidRPr="001D1F49">
        <w:rPr>
          <w:rFonts w:ascii="PMingLiU" w:eastAsia="SimSun" w:hAnsi="PMingLiU" w:cs="Arial" w:hint="eastAsia"/>
          <w:sz w:val="20"/>
          <w:szCs w:val="20"/>
          <w:lang w:val="en-US" w:eastAsia="zh-CN"/>
        </w:rPr>
        <w:t>要界定</w:t>
      </w:r>
      <w:r w:rsidR="001D1F49">
        <w:rPr>
          <w:rFonts w:asciiTheme="minorEastAsia" w:eastAsiaTheme="minorEastAsia" w:hAnsiTheme="minorEastAsia" w:cs="Arial" w:hint="eastAsia"/>
          <w:sz w:val="20"/>
          <w:szCs w:val="20"/>
          <w:lang w:val="en-US" w:eastAsia="zh-CN"/>
        </w:rPr>
        <w:t>企业责任</w:t>
      </w:r>
      <w:r w:rsidR="001D1F49" w:rsidRPr="001D1F49">
        <w:rPr>
          <w:rFonts w:ascii="PMingLiU" w:eastAsia="SimSun" w:hAnsi="PMingLiU" w:cs="Arial" w:hint="eastAsia"/>
          <w:sz w:val="20"/>
          <w:szCs w:val="20"/>
          <w:lang w:val="en-US" w:eastAsia="zh-CN"/>
        </w:rPr>
        <w:t>，而</w:t>
      </w:r>
      <w:r w:rsidR="001D1F49">
        <w:rPr>
          <w:rFonts w:asciiTheme="minorEastAsia" w:eastAsiaTheme="minorEastAsia" w:hAnsiTheme="minorEastAsia" w:cs="Arial" w:hint="eastAsia"/>
          <w:sz w:val="20"/>
          <w:szCs w:val="20"/>
          <w:lang w:val="en-US" w:eastAsia="zh-CN"/>
        </w:rPr>
        <w:t>界定</w:t>
      </w:r>
      <w:r w:rsidR="001D1F49" w:rsidRPr="001D1F49">
        <w:rPr>
          <w:rFonts w:ascii="PMingLiU" w:eastAsia="SimSun" w:hAnsi="PMingLiU" w:cs="Arial" w:hint="eastAsia"/>
          <w:sz w:val="20"/>
          <w:szCs w:val="20"/>
          <w:lang w:val="en-US" w:eastAsia="zh-CN"/>
        </w:rPr>
        <w:t>的</w:t>
      </w:r>
      <w:r w:rsidR="001D1F49">
        <w:rPr>
          <w:rFonts w:asciiTheme="minorEastAsia" w:eastAsiaTheme="minorEastAsia" w:hAnsiTheme="minorEastAsia" w:cs="Arial" w:hint="eastAsia"/>
          <w:sz w:val="20"/>
          <w:szCs w:val="20"/>
          <w:lang w:val="en-US" w:eastAsia="zh-CN"/>
        </w:rPr>
        <w:t>方式</w:t>
      </w:r>
      <w:r w:rsidR="001D1F49" w:rsidRPr="005B6D61">
        <w:rPr>
          <w:rFonts w:ascii="PMingLiU" w:eastAsia="SimSun" w:hAnsi="PMingLiU" w:cs="Arial" w:hint="eastAsia"/>
          <w:sz w:val="20"/>
          <w:szCs w:val="20"/>
          <w:lang w:val="en-US" w:eastAsia="zh-CN"/>
        </w:rPr>
        <w:t>是</w:t>
      </w:r>
      <w:r w:rsidR="001D1F49">
        <w:rPr>
          <w:rFonts w:asciiTheme="minorEastAsia" w:eastAsiaTheme="minorEastAsia" w:hAnsiTheme="minorEastAsia" w:cs="Arial" w:hint="eastAsia"/>
          <w:sz w:val="20"/>
          <w:szCs w:val="20"/>
          <w:lang w:val="en-US" w:eastAsia="zh-CN"/>
        </w:rPr>
        <w:t>承认</w:t>
      </w:r>
      <w:r w:rsidR="001D1F49" w:rsidRPr="005B6D61">
        <w:rPr>
          <w:rFonts w:ascii="PMingLiU" w:eastAsia="SimSun" w:hAnsi="PMingLiU" w:cs="Arial" w:hint="eastAsia"/>
          <w:sz w:val="20"/>
          <w:szCs w:val="20"/>
          <w:lang w:val="en-US" w:eastAsia="zh-CN"/>
        </w:rPr>
        <w:t>在</w:t>
      </w:r>
      <w:r w:rsidR="001D1F49">
        <w:rPr>
          <w:rFonts w:asciiTheme="minorEastAsia" w:eastAsiaTheme="minorEastAsia" w:hAnsiTheme="minorEastAsia" w:cs="Arial" w:hint="eastAsia"/>
          <w:sz w:val="20"/>
          <w:szCs w:val="20"/>
          <w:lang w:val="en-US" w:eastAsia="zh-CN"/>
        </w:rPr>
        <w:t>大多数司法管辖区</w:t>
      </w:r>
      <w:r w:rsidR="001D1F49" w:rsidRPr="005B6D61">
        <w:rPr>
          <w:rFonts w:ascii="PMingLiU" w:eastAsia="SimSun" w:hAnsi="PMingLiU" w:cs="Arial" w:hint="eastAsia"/>
          <w:sz w:val="20"/>
          <w:szCs w:val="20"/>
          <w:lang w:val="en-US" w:eastAsia="zh-CN"/>
        </w:rPr>
        <w:t>中，</w:t>
      </w:r>
      <w:r w:rsidR="001D1F49">
        <w:rPr>
          <w:rFonts w:asciiTheme="minorEastAsia" w:eastAsiaTheme="minorEastAsia" w:hAnsiTheme="minorEastAsia" w:cs="Arial" w:hint="eastAsia"/>
          <w:sz w:val="20"/>
          <w:szCs w:val="20"/>
          <w:lang w:val="en-US" w:eastAsia="zh-CN"/>
        </w:rPr>
        <w:t>公司法中确定的</w:t>
      </w:r>
      <w:r w:rsidR="00C7608D">
        <w:rPr>
          <w:rFonts w:asciiTheme="minorEastAsia" w:eastAsiaTheme="minorEastAsia" w:hAnsiTheme="minorEastAsia" w:cs="Arial" w:hint="eastAsia"/>
          <w:sz w:val="20"/>
          <w:szCs w:val="20"/>
          <w:lang w:val="en-US" w:eastAsia="zh-CN"/>
        </w:rPr>
        <w:t>法律实体的正式界限，同时防止组织形式阻碍处理该实体及其合伙方商业行为中产生的损害或侵权行为。</w:t>
      </w:r>
    </w:p>
    <w:p w14:paraId="3EFE4053" w14:textId="77777777" w:rsidR="00480568" w:rsidRPr="0014534E" w:rsidRDefault="00DE25B4" w:rsidP="00480568">
      <w:pPr>
        <w:pStyle w:val="NormalWeb"/>
        <w:rPr>
          <w:rFonts w:ascii="SimSun" w:eastAsia="SimSun" w:hAnsi="SimSun" w:cs="SimSun"/>
          <w:sz w:val="20"/>
          <w:szCs w:val="20"/>
          <w:lang w:val="en-US" w:eastAsia="zh-CN"/>
        </w:rPr>
      </w:pPr>
      <w:r>
        <w:rPr>
          <w:rFonts w:ascii="SimSun" w:eastAsia="SimSun" w:hAnsi="SimSun" w:cs="SimSun" w:hint="eastAsia"/>
          <w:sz w:val="20"/>
          <w:szCs w:val="20"/>
          <w:lang w:val="en-US"/>
        </w:rPr>
        <w:t>《人权尽责报告》（</w:t>
      </w:r>
      <w:r>
        <w:rPr>
          <w:rFonts w:ascii="Arial" w:hAnsi="Arial" w:cs="Arial"/>
          <w:sz w:val="20"/>
          <w:szCs w:val="20"/>
          <w:lang w:val="en-US"/>
        </w:rPr>
        <w:t>2012</w:t>
      </w:r>
      <w:r>
        <w:rPr>
          <w:rFonts w:ascii="SimSun" w:eastAsia="SimSun" w:hAnsi="SimSun" w:cs="SimSun" w:hint="eastAsia"/>
          <w:sz w:val="20"/>
          <w:szCs w:val="20"/>
          <w:lang w:val="en-US"/>
        </w:rPr>
        <w:t>）</w:t>
      </w:r>
      <w:r w:rsidR="00C7608D">
        <w:rPr>
          <w:rFonts w:ascii="SimSun" w:eastAsia="SimSun" w:hAnsi="SimSun" w:cs="SimSun" w:hint="eastAsia"/>
          <w:sz w:val="20"/>
          <w:szCs w:val="20"/>
          <w:lang w:val="en-US" w:eastAsia="zh-CN"/>
        </w:rPr>
        <w:t>中的分析显示，不同的法律体系以类似的方式</w:t>
      </w:r>
      <w:r w:rsidR="0014534E">
        <w:rPr>
          <w:rFonts w:ascii="SimSun" w:eastAsia="SimSun" w:hAnsi="SimSun" w:cs="SimSun" w:hint="eastAsia"/>
          <w:sz w:val="20"/>
          <w:szCs w:val="20"/>
          <w:lang w:val="en-US" w:eastAsia="zh-CN"/>
        </w:rPr>
        <w:t>规定</w:t>
      </w:r>
      <w:r w:rsidR="00C7608D">
        <w:rPr>
          <w:rFonts w:ascii="SimSun" w:eastAsia="SimSun" w:hAnsi="SimSun" w:cs="SimSun" w:hint="eastAsia"/>
          <w:sz w:val="20"/>
          <w:szCs w:val="20"/>
          <w:lang w:val="en-US" w:eastAsia="zh-CN"/>
        </w:rPr>
        <w:t>尽责。国家司法管辖区</w:t>
      </w:r>
      <w:r w:rsidR="0014534E">
        <w:rPr>
          <w:rFonts w:ascii="SimSun" w:eastAsia="SimSun" w:hAnsi="SimSun" w:cs="SimSun" w:hint="eastAsia"/>
          <w:sz w:val="20"/>
          <w:szCs w:val="20"/>
          <w:lang w:val="en-US" w:eastAsia="zh-CN"/>
        </w:rPr>
        <w:t>中的尽责要求，被用来克服</w:t>
      </w:r>
      <w:r w:rsidR="00C7608D">
        <w:rPr>
          <w:rFonts w:ascii="SimSun" w:eastAsia="SimSun" w:hAnsi="SimSun" w:cs="SimSun" w:hint="eastAsia"/>
          <w:sz w:val="20"/>
          <w:szCs w:val="20"/>
          <w:lang w:val="en-US" w:eastAsia="zh-CN"/>
        </w:rPr>
        <w:t>复杂的公司结构</w:t>
      </w:r>
      <w:r w:rsidR="0014534E">
        <w:rPr>
          <w:rFonts w:ascii="SimSun" w:eastAsia="SimSun" w:hAnsi="SimSun" w:cs="SimSun" w:hint="eastAsia"/>
          <w:sz w:val="20"/>
          <w:szCs w:val="20"/>
          <w:lang w:val="en-US" w:eastAsia="zh-CN"/>
        </w:rPr>
        <w:t>或跨司法管辖区行为对有效监管构成的障碍。在国家法律系统中，企业的尽责责任不仅限于该公司的法律界限内。尽责要求延伸到公司集团，在有些情况下延伸到全球的所有商业关系。关于反腐（英国）、工作场所安全（中国）、冲突地区矿产（美国）、禁止歧视残疾人（美国）和关于民事诉讼（欧盟《布鲁塞尔规则</w:t>
      </w:r>
      <w:r w:rsidR="0014534E" w:rsidRPr="002B37B4">
        <w:rPr>
          <w:rFonts w:ascii="Arial" w:hAnsi="Arial" w:cs="Arial"/>
          <w:sz w:val="20"/>
          <w:szCs w:val="20"/>
          <w:lang w:val="en-US"/>
        </w:rPr>
        <w:t>I</w:t>
      </w:r>
      <w:r w:rsidR="0014534E">
        <w:rPr>
          <w:rFonts w:ascii="SimSun" w:eastAsia="SimSun" w:hAnsi="SimSun" w:cs="SimSun" w:hint="eastAsia"/>
          <w:sz w:val="20"/>
          <w:szCs w:val="20"/>
          <w:lang w:val="en-US" w:eastAsia="zh-CN"/>
        </w:rPr>
        <w:t>》）的国家和国际法都有这样的规定。</w:t>
      </w:r>
      <w:r w:rsidR="00480568" w:rsidRPr="002B37B4">
        <w:rPr>
          <w:rFonts w:ascii="Arial" w:hAnsi="Arial" w:cs="Arial"/>
          <w:sz w:val="20"/>
          <w:szCs w:val="20"/>
          <w:lang w:val="en-US"/>
        </w:rPr>
        <w:t xml:space="preserve">  </w:t>
      </w:r>
    </w:p>
    <w:p w14:paraId="3AF6832C" w14:textId="25948D19" w:rsidR="00480568" w:rsidRPr="002B37B4" w:rsidRDefault="008779E3" w:rsidP="00480568">
      <w:pPr>
        <w:pStyle w:val="NormalWeb"/>
        <w:rPr>
          <w:rStyle w:val="Strong"/>
          <w:rFonts w:ascii="Arial" w:hAnsi="Arial" w:cs="Arial"/>
          <w:b w:val="0"/>
          <w:bCs w:val="0"/>
          <w:sz w:val="20"/>
          <w:szCs w:val="20"/>
        </w:rPr>
      </w:pPr>
      <w:r>
        <w:rPr>
          <w:rFonts w:asciiTheme="minorEastAsia" w:eastAsiaTheme="minorEastAsia" w:hAnsiTheme="minorEastAsia" w:cs="Arial" w:hint="eastAsia"/>
          <w:sz w:val="20"/>
          <w:szCs w:val="20"/>
          <w:lang w:val="en-US" w:eastAsia="zh-CN"/>
        </w:rPr>
        <w:t>尽责概念的目的是要求企业确认、防止或缓解一项伤害或侵权行为</w:t>
      </w:r>
      <w:r w:rsidR="00D71873">
        <w:rPr>
          <w:rFonts w:asciiTheme="minorEastAsia" w:eastAsiaTheme="minorEastAsia" w:hAnsiTheme="minorEastAsia" w:cs="Arial" w:hint="eastAsia"/>
          <w:sz w:val="20"/>
          <w:szCs w:val="20"/>
          <w:lang w:val="en-US" w:eastAsia="zh-CN"/>
        </w:rPr>
        <w:t>，并对该行为负责。一</w:t>
      </w:r>
      <w:r w:rsidR="008C40CC">
        <w:rPr>
          <w:rFonts w:asciiTheme="minorEastAsia" w:eastAsiaTheme="minorEastAsia" w:hAnsiTheme="minorEastAsia" w:cs="Arial" w:hint="eastAsia"/>
          <w:sz w:val="20"/>
          <w:szCs w:val="20"/>
          <w:lang w:val="en-US" w:eastAsia="zh-CN"/>
        </w:rPr>
        <w:t>家企业</w:t>
      </w:r>
      <w:r w:rsidR="00D71873">
        <w:rPr>
          <w:rFonts w:asciiTheme="minorEastAsia" w:eastAsiaTheme="minorEastAsia" w:hAnsiTheme="minorEastAsia" w:cs="Arial" w:hint="eastAsia"/>
          <w:sz w:val="20"/>
          <w:szCs w:val="20"/>
          <w:lang w:val="en-US" w:eastAsia="zh-CN"/>
        </w:rPr>
        <w:t>在其全球商业关系中都应这样做，尽责的范围是旨在跨越其他法律界限，例如不同的法律实体或不同的司法管辖区造成的界限。因此尽责范围经常首先是由要避免伤害的性质所决定。</w:t>
      </w:r>
    </w:p>
    <w:p w14:paraId="1E1312B7" w14:textId="77777777" w:rsidR="00480568" w:rsidRPr="002B37B4" w:rsidRDefault="00480568" w:rsidP="00480568">
      <w:pPr>
        <w:pStyle w:val="Heading2"/>
        <w:numPr>
          <w:ilvl w:val="0"/>
          <w:numId w:val="5"/>
        </w:numPr>
        <w:rPr>
          <w:rStyle w:val="Strong"/>
          <w:rFonts w:ascii="Arial" w:hAnsi="Arial" w:cs="Arial"/>
          <w:b/>
          <w:bCs/>
          <w:sz w:val="20"/>
          <w:szCs w:val="20"/>
        </w:rPr>
      </w:pPr>
      <w:r w:rsidRPr="002B37B4">
        <w:rPr>
          <w:rStyle w:val="Strong"/>
          <w:rFonts w:ascii="Arial" w:hAnsi="Arial" w:cs="Arial"/>
          <w:sz w:val="20"/>
          <w:szCs w:val="20"/>
          <w:lang w:val="en-US" w:eastAsia="zh-CN"/>
        </w:rPr>
        <w:t xml:space="preserve"> </w:t>
      </w:r>
      <w:bookmarkStart w:id="17" w:name="_Toc372820022"/>
      <w:r w:rsidR="00ED7824">
        <w:rPr>
          <w:rStyle w:val="Strong"/>
          <w:rFonts w:ascii="Arial" w:hAnsi="Arial" w:cs="Arial" w:hint="eastAsia"/>
          <w:sz w:val="20"/>
          <w:szCs w:val="20"/>
          <w:lang w:val="en-US" w:eastAsia="zh-CN"/>
        </w:rPr>
        <w:t>对尽责的披露</w:t>
      </w:r>
      <w:bookmarkEnd w:id="17"/>
    </w:p>
    <w:p w14:paraId="5CC1C740" w14:textId="719E7DB5" w:rsidR="00480568" w:rsidRPr="00BD37F3" w:rsidRDefault="00ED7824" w:rsidP="00480568">
      <w:pPr>
        <w:pStyle w:val="NormalWeb"/>
        <w:rPr>
          <w:rStyle w:val="Strong"/>
          <w:rFonts w:ascii="Arial" w:hAnsi="Arial" w:cs="Arial"/>
          <w:b w:val="0"/>
          <w:sz w:val="20"/>
          <w:szCs w:val="20"/>
          <w:lang w:val="en-US"/>
        </w:rPr>
      </w:pPr>
      <w:r>
        <w:rPr>
          <w:rStyle w:val="Strong"/>
          <w:rFonts w:asciiTheme="minorEastAsia" w:eastAsiaTheme="minorEastAsia" w:hAnsiTheme="minorEastAsia" w:cs="Arial" w:hint="eastAsia"/>
          <w:b w:val="0"/>
          <w:sz w:val="20"/>
          <w:szCs w:val="20"/>
          <w:lang w:val="en-US" w:eastAsia="zh-CN"/>
        </w:rPr>
        <w:t>需要找到公共政策解决方案的最后第四项领域，是对企业尽责的披露。尽责的性质是寻找企业应避免的风险，</w:t>
      </w:r>
      <w:r w:rsidR="003E51B1">
        <w:rPr>
          <w:rStyle w:val="Strong"/>
          <w:rFonts w:asciiTheme="minorEastAsia" w:eastAsiaTheme="minorEastAsia" w:hAnsiTheme="minorEastAsia" w:cs="Arial" w:hint="eastAsia"/>
          <w:b w:val="0"/>
          <w:sz w:val="20"/>
          <w:szCs w:val="20"/>
          <w:lang w:val="en-US" w:eastAsia="zh-CN"/>
        </w:rPr>
        <w:t>而</w:t>
      </w:r>
      <w:r>
        <w:rPr>
          <w:rStyle w:val="Strong"/>
          <w:rFonts w:asciiTheme="minorEastAsia" w:eastAsiaTheme="minorEastAsia" w:hAnsiTheme="minorEastAsia" w:cs="Arial" w:hint="eastAsia"/>
          <w:b w:val="0"/>
          <w:sz w:val="20"/>
          <w:szCs w:val="20"/>
          <w:lang w:val="en-US" w:eastAsia="zh-CN"/>
        </w:rPr>
        <w:t>人权尽责是寻找人们受到伤害的风险。</w:t>
      </w:r>
      <w:r w:rsidR="00B70664" w:rsidRPr="005B6D61">
        <w:rPr>
          <w:rStyle w:val="Strong"/>
          <w:rFonts w:ascii="PMingLiU" w:eastAsia="SimSun" w:hAnsi="PMingLiU" w:cs="Arial" w:hint="eastAsia"/>
          <w:b w:val="0"/>
          <w:sz w:val="20"/>
          <w:szCs w:val="20"/>
          <w:lang w:val="en-US" w:eastAsia="zh-CN"/>
        </w:rPr>
        <w:t>目前，</w:t>
      </w:r>
      <w:r>
        <w:rPr>
          <w:rStyle w:val="Strong"/>
          <w:rFonts w:asciiTheme="minorEastAsia" w:eastAsiaTheme="minorEastAsia" w:hAnsiTheme="minorEastAsia" w:cs="Arial" w:hint="eastAsia"/>
          <w:b w:val="0"/>
          <w:sz w:val="20"/>
          <w:szCs w:val="20"/>
          <w:lang w:val="en-US" w:eastAsia="zh-CN"/>
        </w:rPr>
        <w:t>几乎没有</w:t>
      </w:r>
      <w:r w:rsidR="005626DD">
        <w:rPr>
          <w:rStyle w:val="Strong"/>
          <w:rFonts w:asciiTheme="minorEastAsia" w:eastAsiaTheme="minorEastAsia" w:hAnsiTheme="minorEastAsia" w:cs="Arial" w:hint="eastAsia"/>
          <w:b w:val="0"/>
          <w:sz w:val="20"/>
          <w:szCs w:val="20"/>
          <w:lang w:val="en-US" w:eastAsia="zh-CN"/>
        </w:rPr>
        <w:t>任何</w:t>
      </w:r>
      <w:r>
        <w:rPr>
          <w:rStyle w:val="Strong"/>
          <w:rFonts w:asciiTheme="minorEastAsia" w:eastAsiaTheme="minorEastAsia" w:hAnsiTheme="minorEastAsia" w:cs="Arial" w:hint="eastAsia"/>
          <w:b w:val="0"/>
          <w:sz w:val="20"/>
          <w:szCs w:val="20"/>
          <w:lang w:val="en-US" w:eastAsia="zh-CN"/>
        </w:rPr>
        <w:t>企业自愿披露或公布</w:t>
      </w:r>
      <w:r w:rsidR="005626DD">
        <w:rPr>
          <w:rStyle w:val="Strong"/>
          <w:rFonts w:asciiTheme="minorEastAsia" w:eastAsiaTheme="minorEastAsia" w:hAnsiTheme="minorEastAsia" w:cs="Arial" w:hint="eastAsia"/>
          <w:b w:val="0"/>
          <w:sz w:val="20"/>
          <w:szCs w:val="20"/>
          <w:lang w:val="en-US" w:eastAsia="zh-CN"/>
        </w:rPr>
        <w:t>可</w:t>
      </w:r>
      <w:r>
        <w:rPr>
          <w:rStyle w:val="Strong"/>
          <w:rFonts w:asciiTheme="minorEastAsia" w:eastAsiaTheme="minorEastAsia" w:hAnsiTheme="minorEastAsia" w:cs="Arial" w:hint="eastAsia"/>
          <w:b w:val="0"/>
          <w:sz w:val="20"/>
          <w:szCs w:val="20"/>
          <w:lang w:val="en-US" w:eastAsia="zh-CN"/>
        </w:rPr>
        <w:t>确认此类风险的信息。</w:t>
      </w:r>
      <w:r w:rsidR="00480568" w:rsidRPr="00BD37F3">
        <w:rPr>
          <w:rStyle w:val="Strong"/>
          <w:rFonts w:ascii="Arial" w:hAnsi="Arial" w:cs="Arial"/>
          <w:b w:val="0"/>
          <w:sz w:val="20"/>
          <w:szCs w:val="20"/>
          <w:lang w:val="en-US"/>
        </w:rPr>
        <w:t xml:space="preserve"> </w:t>
      </w:r>
    </w:p>
    <w:p w14:paraId="1105DB1D" w14:textId="00D99A1D" w:rsidR="00480568" w:rsidRPr="00BD37F3" w:rsidRDefault="005626DD" w:rsidP="001D4539">
      <w:pPr>
        <w:pStyle w:val="NormalWeb"/>
        <w:rPr>
          <w:rFonts w:ascii="Arial" w:hAnsi="Arial" w:cs="Arial"/>
          <w:sz w:val="20"/>
          <w:szCs w:val="20"/>
          <w:lang w:val="en-US"/>
        </w:rPr>
      </w:pPr>
      <w:r>
        <w:rPr>
          <w:rStyle w:val="Strong"/>
          <w:rFonts w:asciiTheme="minorEastAsia" w:eastAsiaTheme="minorEastAsia" w:hAnsiTheme="minorEastAsia" w:cs="Arial" w:hint="eastAsia"/>
          <w:b w:val="0"/>
          <w:sz w:val="20"/>
          <w:szCs w:val="20"/>
          <w:lang w:val="en-US" w:eastAsia="zh-CN"/>
        </w:rPr>
        <w:t>公共政策和法律需要创造一种环境，</w:t>
      </w:r>
      <w:r w:rsidR="00B70664" w:rsidRPr="005B6D61">
        <w:rPr>
          <w:rStyle w:val="Strong"/>
          <w:rFonts w:ascii="PMingLiU" w:eastAsia="SimSun" w:hAnsi="PMingLiU" w:cs="Arial" w:hint="eastAsia"/>
          <w:b w:val="0"/>
          <w:sz w:val="20"/>
          <w:szCs w:val="20"/>
          <w:lang w:val="en-US" w:eastAsia="zh-CN"/>
        </w:rPr>
        <w:t>就是能够公布</w:t>
      </w:r>
      <w:r>
        <w:rPr>
          <w:rStyle w:val="Strong"/>
          <w:rFonts w:asciiTheme="minorEastAsia" w:eastAsiaTheme="minorEastAsia" w:hAnsiTheme="minorEastAsia" w:cs="Arial" w:hint="eastAsia"/>
          <w:b w:val="0"/>
          <w:sz w:val="20"/>
          <w:szCs w:val="20"/>
          <w:lang w:val="en-US" w:eastAsia="zh-CN"/>
        </w:rPr>
        <w:t>尽责信息</w:t>
      </w:r>
      <w:r w:rsidR="00B70664" w:rsidRPr="005B6D61">
        <w:rPr>
          <w:rStyle w:val="Strong"/>
          <w:rFonts w:asciiTheme="minorEastAsia" w:eastAsia="SimSun" w:hAnsiTheme="minorEastAsia" w:cs="Arial" w:hint="eastAsia"/>
          <w:b w:val="0"/>
          <w:sz w:val="20"/>
          <w:szCs w:val="20"/>
          <w:lang w:val="en-US" w:eastAsia="zh-CN"/>
        </w:rPr>
        <w:t>，</w:t>
      </w:r>
      <w:r w:rsidR="00B70664" w:rsidRPr="005B6D61">
        <w:rPr>
          <w:rStyle w:val="Strong"/>
          <w:rFonts w:ascii="PMingLiU" w:eastAsia="SimSun" w:hAnsi="PMingLiU" w:cs="Arial" w:hint="eastAsia"/>
          <w:b w:val="0"/>
          <w:sz w:val="20"/>
          <w:szCs w:val="20"/>
          <w:lang w:val="en-US" w:eastAsia="zh-CN"/>
        </w:rPr>
        <w:t>即</w:t>
      </w:r>
      <w:r>
        <w:rPr>
          <w:rStyle w:val="Strong"/>
          <w:rFonts w:asciiTheme="minorEastAsia" w:eastAsiaTheme="minorEastAsia" w:hAnsiTheme="minorEastAsia" w:cs="Arial" w:hint="eastAsia"/>
          <w:b w:val="0"/>
          <w:sz w:val="20"/>
          <w:szCs w:val="20"/>
          <w:lang w:val="en-US" w:eastAsia="zh-CN"/>
        </w:rPr>
        <w:t>关于风险和针对风险所采取的行动的信息。</w:t>
      </w:r>
      <w:r w:rsidR="00B961F5">
        <w:rPr>
          <w:rStyle w:val="Strong"/>
          <w:rFonts w:asciiTheme="minorEastAsia" w:eastAsiaTheme="minorEastAsia" w:hAnsiTheme="minorEastAsia" w:cs="Arial" w:hint="eastAsia"/>
          <w:b w:val="0"/>
          <w:sz w:val="20"/>
          <w:szCs w:val="20"/>
          <w:lang w:val="en-US" w:eastAsia="zh-CN"/>
        </w:rPr>
        <w:t>关于</w:t>
      </w:r>
      <w:r w:rsidR="008C40CC">
        <w:rPr>
          <w:rStyle w:val="Strong"/>
          <w:rFonts w:asciiTheme="minorEastAsia" w:eastAsiaTheme="minorEastAsia" w:hAnsiTheme="minorEastAsia" w:cs="Arial" w:hint="eastAsia"/>
          <w:b w:val="0"/>
          <w:sz w:val="20"/>
          <w:szCs w:val="20"/>
          <w:lang w:val="en-US" w:eastAsia="zh-CN"/>
        </w:rPr>
        <w:t>企业</w:t>
      </w:r>
      <w:r w:rsidR="00B961F5">
        <w:rPr>
          <w:rStyle w:val="Strong"/>
          <w:rFonts w:asciiTheme="minorEastAsia" w:eastAsiaTheme="minorEastAsia" w:hAnsiTheme="minorEastAsia" w:cs="Arial" w:hint="eastAsia"/>
          <w:b w:val="0"/>
          <w:sz w:val="20"/>
          <w:szCs w:val="20"/>
          <w:lang w:val="en-US" w:eastAsia="zh-CN"/>
        </w:rPr>
        <w:t>社会责任报告的一般法律是解决方案的一部分，但这些法律尚未要求进行足够的披露。多个利益攸关者程序可能有所帮助，但其促进尽责透明性的能力，部分取决于适用于某一行业或保护某些权利的法律框架的性质。报告和披露要求的一些组合，例如强制要求执行</w:t>
      </w:r>
      <w:r w:rsidR="00295409">
        <w:rPr>
          <w:rStyle w:val="Strong"/>
          <w:rFonts w:asciiTheme="minorEastAsia" w:eastAsiaTheme="minorEastAsia" w:hAnsiTheme="minorEastAsia" w:cs="Arial" w:hint="eastAsia"/>
          <w:b w:val="0"/>
          <w:sz w:val="20"/>
          <w:szCs w:val="20"/>
          <w:lang w:val="en-US" w:eastAsia="zh-CN"/>
        </w:rPr>
        <w:t>关于</w:t>
      </w:r>
      <w:r w:rsidR="00B961F5">
        <w:rPr>
          <w:rStyle w:val="Strong"/>
          <w:rFonts w:asciiTheme="minorEastAsia" w:eastAsiaTheme="minorEastAsia" w:hAnsiTheme="minorEastAsia" w:cs="Arial" w:hint="eastAsia"/>
          <w:b w:val="0"/>
          <w:sz w:val="20"/>
          <w:szCs w:val="20"/>
          <w:lang w:val="en-US" w:eastAsia="zh-CN"/>
        </w:rPr>
        <w:t>冲突地区矿产的报告标准，将是必要的。</w:t>
      </w:r>
      <w:r w:rsidR="00480568" w:rsidRPr="00BD37F3">
        <w:rPr>
          <w:rStyle w:val="Strong"/>
          <w:rFonts w:ascii="Arial" w:hAnsi="Arial" w:cs="Arial"/>
          <w:b w:val="0"/>
          <w:sz w:val="20"/>
          <w:szCs w:val="20"/>
          <w:lang w:val="en-US"/>
        </w:rPr>
        <w:t xml:space="preserve"> </w:t>
      </w:r>
    </w:p>
    <w:p w14:paraId="28B39A7D" w14:textId="77777777" w:rsidR="001343DE" w:rsidRPr="00BD37F3" w:rsidRDefault="001343DE" w:rsidP="00480568">
      <w:pPr>
        <w:tabs>
          <w:tab w:val="left" w:pos="1843"/>
        </w:tabs>
        <w:rPr>
          <w:rFonts w:ascii="Arial" w:hAnsi="Arial" w:cs="Arial"/>
          <w:sz w:val="20"/>
          <w:szCs w:val="20"/>
          <w:lang w:val="en-US" w:eastAsia="zh-CN"/>
        </w:rPr>
      </w:pPr>
    </w:p>
    <w:sectPr w:rsidR="001343DE" w:rsidRPr="00BD37F3" w:rsidSect="00B02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6E9FE" w14:textId="77777777" w:rsidR="003D37A8" w:rsidRDefault="003D37A8" w:rsidP="00480568">
      <w:pPr>
        <w:spacing w:after="0"/>
      </w:pPr>
      <w:r>
        <w:separator/>
      </w:r>
    </w:p>
  </w:endnote>
  <w:endnote w:type="continuationSeparator" w:id="0">
    <w:p w14:paraId="0054F0AB" w14:textId="77777777" w:rsidR="003D37A8" w:rsidRDefault="003D37A8" w:rsidP="00480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ù???t??"/>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5723" w14:textId="77777777" w:rsidR="003D37A8" w:rsidRDefault="003D37A8" w:rsidP="00480568">
      <w:pPr>
        <w:spacing w:after="0"/>
      </w:pPr>
      <w:r>
        <w:separator/>
      </w:r>
    </w:p>
  </w:footnote>
  <w:footnote w:type="continuationSeparator" w:id="0">
    <w:p w14:paraId="2E30EB92" w14:textId="77777777" w:rsidR="003D37A8" w:rsidRDefault="003D37A8" w:rsidP="004805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377"/>
    <w:multiLevelType w:val="hybridMultilevel"/>
    <w:tmpl w:val="E4FC1E9C"/>
    <w:lvl w:ilvl="0" w:tplc="59D6F5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AF598D"/>
    <w:multiLevelType w:val="hybridMultilevel"/>
    <w:tmpl w:val="E8767A16"/>
    <w:lvl w:ilvl="0" w:tplc="A498E2F8">
      <w:start w:val="2"/>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C9572D5"/>
    <w:multiLevelType w:val="hybridMultilevel"/>
    <w:tmpl w:val="92A68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1B1365"/>
    <w:multiLevelType w:val="hybridMultilevel"/>
    <w:tmpl w:val="7E642676"/>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61FC54BF"/>
    <w:multiLevelType w:val="hybridMultilevel"/>
    <w:tmpl w:val="C0843CFE"/>
    <w:lvl w:ilvl="0" w:tplc="0409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6A1B62FA"/>
    <w:multiLevelType w:val="hybridMultilevel"/>
    <w:tmpl w:val="DCDEBCB2"/>
    <w:lvl w:ilvl="0" w:tplc="25EAD1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68"/>
    <w:rsid w:val="0000036F"/>
    <w:rsid w:val="000108F1"/>
    <w:rsid w:val="0001114D"/>
    <w:rsid w:val="00011AEB"/>
    <w:rsid w:val="00023628"/>
    <w:rsid w:val="000441F7"/>
    <w:rsid w:val="00076A09"/>
    <w:rsid w:val="0007770F"/>
    <w:rsid w:val="00085C10"/>
    <w:rsid w:val="00091962"/>
    <w:rsid w:val="000A0B4F"/>
    <w:rsid w:val="000C1350"/>
    <w:rsid w:val="000C5AE2"/>
    <w:rsid w:val="000E08EF"/>
    <w:rsid w:val="000F4F9F"/>
    <w:rsid w:val="00103704"/>
    <w:rsid w:val="001108B9"/>
    <w:rsid w:val="00113DBB"/>
    <w:rsid w:val="0012670C"/>
    <w:rsid w:val="001343DE"/>
    <w:rsid w:val="00135555"/>
    <w:rsid w:val="00142934"/>
    <w:rsid w:val="0014534E"/>
    <w:rsid w:val="00147BDA"/>
    <w:rsid w:val="00150791"/>
    <w:rsid w:val="00152C18"/>
    <w:rsid w:val="0015461F"/>
    <w:rsid w:val="001B7957"/>
    <w:rsid w:val="001C1F57"/>
    <w:rsid w:val="001C7BD4"/>
    <w:rsid w:val="001D1F49"/>
    <w:rsid w:val="001D3FEE"/>
    <w:rsid w:val="001D4539"/>
    <w:rsid w:val="00264492"/>
    <w:rsid w:val="002652DF"/>
    <w:rsid w:val="00266443"/>
    <w:rsid w:val="00295409"/>
    <w:rsid w:val="00296DDE"/>
    <w:rsid w:val="002A7AA9"/>
    <w:rsid w:val="002B37B4"/>
    <w:rsid w:val="002C5D30"/>
    <w:rsid w:val="002D07E3"/>
    <w:rsid w:val="002E7397"/>
    <w:rsid w:val="002F074F"/>
    <w:rsid w:val="0030255F"/>
    <w:rsid w:val="003059DB"/>
    <w:rsid w:val="003239A1"/>
    <w:rsid w:val="003616B0"/>
    <w:rsid w:val="003A1004"/>
    <w:rsid w:val="003D37A8"/>
    <w:rsid w:val="003D516D"/>
    <w:rsid w:val="003E51B1"/>
    <w:rsid w:val="00403F0A"/>
    <w:rsid w:val="00406C5C"/>
    <w:rsid w:val="0042490A"/>
    <w:rsid w:val="00425266"/>
    <w:rsid w:val="004410AA"/>
    <w:rsid w:val="004460E8"/>
    <w:rsid w:val="004527EB"/>
    <w:rsid w:val="0045648C"/>
    <w:rsid w:val="00473346"/>
    <w:rsid w:val="00476514"/>
    <w:rsid w:val="00480568"/>
    <w:rsid w:val="00484260"/>
    <w:rsid w:val="0048667E"/>
    <w:rsid w:val="00494509"/>
    <w:rsid w:val="00495125"/>
    <w:rsid w:val="00500864"/>
    <w:rsid w:val="00516B47"/>
    <w:rsid w:val="00526819"/>
    <w:rsid w:val="0052735F"/>
    <w:rsid w:val="00537A4C"/>
    <w:rsid w:val="00554C21"/>
    <w:rsid w:val="00556476"/>
    <w:rsid w:val="00560816"/>
    <w:rsid w:val="005626DD"/>
    <w:rsid w:val="005A4658"/>
    <w:rsid w:val="005B6D61"/>
    <w:rsid w:val="005C220F"/>
    <w:rsid w:val="005C2861"/>
    <w:rsid w:val="005E3662"/>
    <w:rsid w:val="005E44C1"/>
    <w:rsid w:val="005F1DA0"/>
    <w:rsid w:val="005F50EB"/>
    <w:rsid w:val="005F6345"/>
    <w:rsid w:val="00615A7C"/>
    <w:rsid w:val="00624CAE"/>
    <w:rsid w:val="00641A1E"/>
    <w:rsid w:val="00651633"/>
    <w:rsid w:val="00660156"/>
    <w:rsid w:val="006B143E"/>
    <w:rsid w:val="0071049B"/>
    <w:rsid w:val="00711791"/>
    <w:rsid w:val="007224D6"/>
    <w:rsid w:val="007240A6"/>
    <w:rsid w:val="007306AF"/>
    <w:rsid w:val="00765B72"/>
    <w:rsid w:val="007B5725"/>
    <w:rsid w:val="007C1F2B"/>
    <w:rsid w:val="007D2CC0"/>
    <w:rsid w:val="007D5DD1"/>
    <w:rsid w:val="007D6848"/>
    <w:rsid w:val="007D6B0A"/>
    <w:rsid w:val="007E54FB"/>
    <w:rsid w:val="007F65E3"/>
    <w:rsid w:val="007F7DB4"/>
    <w:rsid w:val="008130CC"/>
    <w:rsid w:val="008151E4"/>
    <w:rsid w:val="00830B06"/>
    <w:rsid w:val="008374D9"/>
    <w:rsid w:val="0084467E"/>
    <w:rsid w:val="00857981"/>
    <w:rsid w:val="008600AE"/>
    <w:rsid w:val="00860658"/>
    <w:rsid w:val="008606EB"/>
    <w:rsid w:val="00866F51"/>
    <w:rsid w:val="008675CC"/>
    <w:rsid w:val="008702FF"/>
    <w:rsid w:val="008779E3"/>
    <w:rsid w:val="00877CFB"/>
    <w:rsid w:val="008838BC"/>
    <w:rsid w:val="008906E5"/>
    <w:rsid w:val="00891EC6"/>
    <w:rsid w:val="008B6EC2"/>
    <w:rsid w:val="008C40CC"/>
    <w:rsid w:val="008C49B0"/>
    <w:rsid w:val="008F2EAE"/>
    <w:rsid w:val="008F3B5D"/>
    <w:rsid w:val="00914506"/>
    <w:rsid w:val="009252F1"/>
    <w:rsid w:val="0093696D"/>
    <w:rsid w:val="009369D0"/>
    <w:rsid w:val="00944A86"/>
    <w:rsid w:val="0094540E"/>
    <w:rsid w:val="00954972"/>
    <w:rsid w:val="009674F1"/>
    <w:rsid w:val="00990332"/>
    <w:rsid w:val="009961B1"/>
    <w:rsid w:val="009A781A"/>
    <w:rsid w:val="009B5D5D"/>
    <w:rsid w:val="009B645F"/>
    <w:rsid w:val="009D03A9"/>
    <w:rsid w:val="009E7AD0"/>
    <w:rsid w:val="009F1274"/>
    <w:rsid w:val="009F2A68"/>
    <w:rsid w:val="00A030C9"/>
    <w:rsid w:val="00A13782"/>
    <w:rsid w:val="00A2215A"/>
    <w:rsid w:val="00A345F7"/>
    <w:rsid w:val="00A52EF2"/>
    <w:rsid w:val="00A5430F"/>
    <w:rsid w:val="00A634B8"/>
    <w:rsid w:val="00A96249"/>
    <w:rsid w:val="00AA1C34"/>
    <w:rsid w:val="00AB3BD1"/>
    <w:rsid w:val="00AD5B06"/>
    <w:rsid w:val="00AF20B7"/>
    <w:rsid w:val="00B020D4"/>
    <w:rsid w:val="00B1405B"/>
    <w:rsid w:val="00B14225"/>
    <w:rsid w:val="00B15EB7"/>
    <w:rsid w:val="00B160E7"/>
    <w:rsid w:val="00B242F9"/>
    <w:rsid w:val="00B70664"/>
    <w:rsid w:val="00B836A1"/>
    <w:rsid w:val="00B961F5"/>
    <w:rsid w:val="00BA4489"/>
    <w:rsid w:val="00BB3012"/>
    <w:rsid w:val="00BD37F3"/>
    <w:rsid w:val="00BF1450"/>
    <w:rsid w:val="00BF3FBF"/>
    <w:rsid w:val="00BF54BB"/>
    <w:rsid w:val="00C12E33"/>
    <w:rsid w:val="00C22755"/>
    <w:rsid w:val="00C261DD"/>
    <w:rsid w:val="00C30E86"/>
    <w:rsid w:val="00C57683"/>
    <w:rsid w:val="00C7608D"/>
    <w:rsid w:val="00C86F49"/>
    <w:rsid w:val="00C975F0"/>
    <w:rsid w:val="00CA78C7"/>
    <w:rsid w:val="00CC26B6"/>
    <w:rsid w:val="00CC5975"/>
    <w:rsid w:val="00CF25EE"/>
    <w:rsid w:val="00D14F19"/>
    <w:rsid w:val="00D51698"/>
    <w:rsid w:val="00D55CE7"/>
    <w:rsid w:val="00D71873"/>
    <w:rsid w:val="00D76AF3"/>
    <w:rsid w:val="00D77E8C"/>
    <w:rsid w:val="00D82257"/>
    <w:rsid w:val="00DA23F0"/>
    <w:rsid w:val="00DB3E4E"/>
    <w:rsid w:val="00DC6D71"/>
    <w:rsid w:val="00DD5265"/>
    <w:rsid w:val="00DE25B4"/>
    <w:rsid w:val="00DE7081"/>
    <w:rsid w:val="00E043E2"/>
    <w:rsid w:val="00E154A3"/>
    <w:rsid w:val="00E15B3F"/>
    <w:rsid w:val="00E312EF"/>
    <w:rsid w:val="00E331E8"/>
    <w:rsid w:val="00E408AB"/>
    <w:rsid w:val="00E51A84"/>
    <w:rsid w:val="00E52AF8"/>
    <w:rsid w:val="00E57763"/>
    <w:rsid w:val="00E63E72"/>
    <w:rsid w:val="00E9053F"/>
    <w:rsid w:val="00EB107C"/>
    <w:rsid w:val="00EC3C1A"/>
    <w:rsid w:val="00ED7824"/>
    <w:rsid w:val="00EF27DC"/>
    <w:rsid w:val="00EF2C79"/>
    <w:rsid w:val="00F26A42"/>
    <w:rsid w:val="00F43B90"/>
    <w:rsid w:val="00F45105"/>
    <w:rsid w:val="00F55356"/>
    <w:rsid w:val="00F60351"/>
    <w:rsid w:val="00F62295"/>
    <w:rsid w:val="00F93367"/>
    <w:rsid w:val="00FB242A"/>
    <w:rsid w:val="00FC5130"/>
    <w:rsid w:val="00FE2D2D"/>
    <w:rsid w:val="00FF21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8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68"/>
    <w:pPr>
      <w:spacing w:line="240" w:lineRule="auto"/>
    </w:pPr>
    <w:rPr>
      <w:sz w:val="24"/>
      <w:lang w:val="en-CA"/>
    </w:rPr>
  </w:style>
  <w:style w:type="paragraph" w:styleId="Heading1">
    <w:name w:val="heading 1"/>
    <w:basedOn w:val="Normal"/>
    <w:next w:val="Normal"/>
    <w:link w:val="Heading1Char"/>
    <w:uiPriority w:val="9"/>
    <w:qFormat/>
    <w:rsid w:val="0048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68"/>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semiHidden/>
    <w:rsid w:val="0048056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480568"/>
    <w:rPr>
      <w:rFonts w:asciiTheme="majorHAnsi" w:eastAsiaTheme="majorEastAsia" w:hAnsiTheme="majorHAnsi" w:cstheme="majorBidi"/>
      <w:b/>
      <w:bCs/>
      <w:color w:val="4F81BD" w:themeColor="accent1"/>
      <w:sz w:val="24"/>
      <w:lang w:val="en-CA"/>
    </w:rPr>
  </w:style>
  <w:style w:type="character" w:styleId="Hyperlink">
    <w:name w:val="Hyperlink"/>
    <w:basedOn w:val="DefaultParagraphFont"/>
    <w:uiPriority w:val="99"/>
    <w:unhideWhenUsed/>
    <w:rsid w:val="00480568"/>
    <w:rPr>
      <w:color w:val="0000FF" w:themeColor="hyperlink"/>
      <w:u w:val="single"/>
    </w:rPr>
  </w:style>
  <w:style w:type="paragraph" w:styleId="NormalWeb">
    <w:name w:val="Normal (Web)"/>
    <w:basedOn w:val="Normal"/>
    <w:uiPriority w:val="99"/>
    <w:unhideWhenUsed/>
    <w:rsid w:val="00480568"/>
    <w:pPr>
      <w:spacing w:before="100" w:beforeAutospacing="1" w:after="100" w:afterAutospacing="1"/>
    </w:pPr>
    <w:rPr>
      <w:rFonts w:ascii="Times New Roman" w:eastAsia="Times New Roman" w:hAnsi="Times New Roman" w:cs="Times New Roman"/>
      <w:szCs w:val="24"/>
      <w:lang w:val="nb-NO" w:eastAsia="nb-NO"/>
    </w:rPr>
  </w:style>
  <w:style w:type="paragraph" w:styleId="EndnoteText">
    <w:name w:val="endnote text"/>
    <w:basedOn w:val="Normal"/>
    <w:link w:val="EndnoteTextChar"/>
    <w:uiPriority w:val="99"/>
    <w:semiHidden/>
    <w:unhideWhenUsed/>
    <w:rsid w:val="00480568"/>
    <w:pPr>
      <w:spacing w:after="0"/>
    </w:pPr>
    <w:rPr>
      <w:sz w:val="20"/>
      <w:szCs w:val="20"/>
    </w:rPr>
  </w:style>
  <w:style w:type="character" w:customStyle="1" w:styleId="EndnoteTextChar">
    <w:name w:val="Endnote Text Char"/>
    <w:basedOn w:val="DefaultParagraphFont"/>
    <w:link w:val="EndnoteText"/>
    <w:uiPriority w:val="99"/>
    <w:semiHidden/>
    <w:rsid w:val="00480568"/>
    <w:rPr>
      <w:sz w:val="20"/>
      <w:szCs w:val="20"/>
      <w:lang w:val="en-CA"/>
    </w:rPr>
  </w:style>
  <w:style w:type="paragraph" w:styleId="ListParagraph">
    <w:name w:val="List Paragraph"/>
    <w:basedOn w:val="Normal"/>
    <w:uiPriority w:val="34"/>
    <w:qFormat/>
    <w:rsid w:val="00480568"/>
    <w:pPr>
      <w:ind w:left="720"/>
      <w:contextualSpacing/>
    </w:pPr>
    <w:rPr>
      <w:rFonts w:ascii="Calibri" w:eastAsia="Calibri" w:hAnsi="Calibri" w:cs="Times New Roman"/>
      <w:lang w:val="nb-NO"/>
    </w:rPr>
  </w:style>
  <w:style w:type="paragraph" w:customStyle="1" w:styleId="Default">
    <w:name w:val="Default"/>
    <w:uiPriority w:val="99"/>
    <w:rsid w:val="00480568"/>
    <w:pPr>
      <w:autoSpaceDE w:val="0"/>
      <w:autoSpaceDN w:val="0"/>
      <w:adjustRightInd w:val="0"/>
      <w:spacing w:after="0" w:line="240" w:lineRule="auto"/>
    </w:pPr>
    <w:rPr>
      <w:rFonts w:ascii="Times New Roman" w:eastAsia="Calibri" w:hAnsi="Times New Roman" w:cs="Times New Roman"/>
      <w:color w:val="000000"/>
      <w:sz w:val="24"/>
      <w:szCs w:val="24"/>
      <w:lang w:val="nb-NO"/>
    </w:rPr>
  </w:style>
  <w:style w:type="paragraph" w:customStyle="1" w:styleId="Standard">
    <w:name w:val="Standard"/>
    <w:uiPriority w:val="99"/>
    <w:rsid w:val="00480568"/>
    <w:rPr>
      <w:rFonts w:ascii="Calibri" w:eastAsia="MS Mincho" w:hAnsi="Calibri" w:cs="Times New Roman"/>
      <w:sz w:val="24"/>
      <w:szCs w:val="24"/>
      <w:lang w:val="en-US" w:eastAsia="fr-FR"/>
    </w:rPr>
  </w:style>
  <w:style w:type="character" w:styleId="EndnoteReference">
    <w:name w:val="endnote reference"/>
    <w:uiPriority w:val="99"/>
    <w:semiHidden/>
    <w:unhideWhenUsed/>
    <w:rsid w:val="00480568"/>
    <w:rPr>
      <w:vertAlign w:val="superscript"/>
    </w:rPr>
  </w:style>
  <w:style w:type="character" w:customStyle="1" w:styleId="BodyText1">
    <w:name w:val="Body Text1"/>
    <w:basedOn w:val="DefaultParagraphFont"/>
    <w:rsid w:val="00480568"/>
    <w:rPr>
      <w:rFonts w:ascii="Calibri" w:eastAsia="Calibri" w:hAnsi="Calibri" w:cs="Calibri" w:hint="default"/>
      <w:b w:val="0"/>
      <w:bCs w:val="0"/>
      <w:i w:val="0"/>
      <w:iCs w:val="0"/>
      <w:smallCaps w:val="0"/>
      <w:strike w:val="0"/>
      <w:dstrike w:val="0"/>
      <w:color w:val="000000"/>
      <w:spacing w:val="4"/>
      <w:w w:val="100"/>
      <w:position w:val="0"/>
      <w:sz w:val="23"/>
      <w:szCs w:val="23"/>
      <w:u w:val="none"/>
      <w:effect w:val="none"/>
      <w:lang w:val="en-US"/>
    </w:rPr>
  </w:style>
  <w:style w:type="character" w:customStyle="1" w:styleId="Bodytext6">
    <w:name w:val="Body text (6)"/>
    <w:basedOn w:val="DefaultParagraphFont"/>
    <w:rsid w:val="00480568"/>
    <w:rPr>
      <w:rFonts w:ascii="Calibri" w:eastAsia="Calibri" w:hAnsi="Calibri" w:cs="Calibri" w:hint="default"/>
      <w:b w:val="0"/>
      <w:bCs w:val="0"/>
      <w:i/>
      <w:iCs/>
      <w:smallCaps w:val="0"/>
      <w:strike w:val="0"/>
      <w:dstrike w:val="0"/>
      <w:color w:val="000000"/>
      <w:spacing w:val="2"/>
      <w:w w:val="100"/>
      <w:position w:val="0"/>
      <w:sz w:val="23"/>
      <w:szCs w:val="23"/>
      <w:u w:val="none"/>
      <w:effect w:val="none"/>
      <w:lang w:val="en-US"/>
    </w:rPr>
  </w:style>
  <w:style w:type="character" w:customStyle="1" w:styleId="hps">
    <w:name w:val="hps"/>
    <w:basedOn w:val="DefaultParagraphFont"/>
    <w:rsid w:val="00480568"/>
  </w:style>
  <w:style w:type="character" w:customStyle="1" w:styleId="SmallCaps">
    <w:name w:val="Small Caps"/>
    <w:basedOn w:val="DefaultParagraphFont"/>
    <w:qFormat/>
    <w:rsid w:val="00480568"/>
    <w:rPr>
      <w:caps w:val="0"/>
      <w:smallCaps/>
      <w:strike w:val="0"/>
      <w:dstrike w:val="0"/>
      <w:vanish w:val="0"/>
      <w:webHidden w:val="0"/>
      <w:color w:val="auto"/>
      <w:sz w:val="20"/>
      <w:szCs w:val="20"/>
      <w:u w:val="none"/>
      <w:effect w:val="none"/>
      <w:vertAlign w:val="baseline"/>
      <w:specVanish w:val="0"/>
    </w:rPr>
  </w:style>
  <w:style w:type="character" w:styleId="Strong">
    <w:name w:val="Strong"/>
    <w:basedOn w:val="DefaultParagraphFont"/>
    <w:uiPriority w:val="22"/>
    <w:qFormat/>
    <w:rsid w:val="00480568"/>
    <w:rPr>
      <w:b/>
      <w:bCs/>
    </w:rPr>
  </w:style>
  <w:style w:type="character" w:styleId="Emphasis">
    <w:name w:val="Emphasis"/>
    <w:basedOn w:val="DefaultParagraphFont"/>
    <w:uiPriority w:val="20"/>
    <w:qFormat/>
    <w:rsid w:val="00480568"/>
    <w:rPr>
      <w:i/>
      <w:iCs/>
    </w:rPr>
  </w:style>
  <w:style w:type="paragraph" w:styleId="Header">
    <w:name w:val="header"/>
    <w:basedOn w:val="Normal"/>
    <w:link w:val="HeaderChar"/>
    <w:uiPriority w:val="99"/>
    <w:unhideWhenUsed/>
    <w:rsid w:val="00615A7C"/>
    <w:pPr>
      <w:tabs>
        <w:tab w:val="center" w:pos="4513"/>
        <w:tab w:val="right" w:pos="9026"/>
      </w:tabs>
      <w:spacing w:after="0"/>
    </w:pPr>
  </w:style>
  <w:style w:type="character" w:customStyle="1" w:styleId="HeaderChar">
    <w:name w:val="Header Char"/>
    <w:basedOn w:val="DefaultParagraphFont"/>
    <w:link w:val="Header"/>
    <w:uiPriority w:val="99"/>
    <w:rsid w:val="00615A7C"/>
    <w:rPr>
      <w:sz w:val="24"/>
      <w:lang w:val="en-CA"/>
    </w:rPr>
  </w:style>
  <w:style w:type="paragraph" w:styleId="Footer">
    <w:name w:val="footer"/>
    <w:basedOn w:val="Normal"/>
    <w:link w:val="FooterChar"/>
    <w:uiPriority w:val="99"/>
    <w:unhideWhenUsed/>
    <w:rsid w:val="00615A7C"/>
    <w:pPr>
      <w:tabs>
        <w:tab w:val="center" w:pos="4513"/>
        <w:tab w:val="right" w:pos="9026"/>
      </w:tabs>
      <w:spacing w:after="0"/>
    </w:pPr>
  </w:style>
  <w:style w:type="character" w:customStyle="1" w:styleId="FooterChar">
    <w:name w:val="Footer Char"/>
    <w:basedOn w:val="DefaultParagraphFont"/>
    <w:link w:val="Footer"/>
    <w:uiPriority w:val="99"/>
    <w:rsid w:val="00615A7C"/>
    <w:rPr>
      <w:sz w:val="24"/>
      <w:lang w:val="en-CA"/>
    </w:rPr>
  </w:style>
  <w:style w:type="paragraph" w:styleId="BalloonText">
    <w:name w:val="Balloon Text"/>
    <w:basedOn w:val="Normal"/>
    <w:link w:val="BalloonTextChar"/>
    <w:uiPriority w:val="99"/>
    <w:semiHidden/>
    <w:unhideWhenUsed/>
    <w:rsid w:val="00BF1450"/>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1450"/>
    <w:rPr>
      <w:rFonts w:asciiTheme="majorHAnsi" w:eastAsiaTheme="majorEastAsia" w:hAnsiTheme="majorHAnsi" w:cstheme="majorBidi"/>
      <w:sz w:val="18"/>
      <w:szCs w:val="18"/>
      <w:lang w:val="en-CA"/>
    </w:rPr>
  </w:style>
  <w:style w:type="character" w:styleId="CommentReference">
    <w:name w:val="annotation reference"/>
    <w:basedOn w:val="DefaultParagraphFont"/>
    <w:uiPriority w:val="99"/>
    <w:semiHidden/>
    <w:unhideWhenUsed/>
    <w:rsid w:val="002D07E3"/>
    <w:rPr>
      <w:sz w:val="18"/>
      <w:szCs w:val="18"/>
    </w:rPr>
  </w:style>
  <w:style w:type="paragraph" w:styleId="CommentText">
    <w:name w:val="annotation text"/>
    <w:basedOn w:val="Normal"/>
    <w:link w:val="CommentTextChar"/>
    <w:uiPriority w:val="99"/>
    <w:semiHidden/>
    <w:unhideWhenUsed/>
    <w:rsid w:val="002D07E3"/>
  </w:style>
  <w:style w:type="character" w:customStyle="1" w:styleId="CommentTextChar">
    <w:name w:val="Comment Text Char"/>
    <w:basedOn w:val="DefaultParagraphFont"/>
    <w:link w:val="CommentText"/>
    <w:uiPriority w:val="99"/>
    <w:semiHidden/>
    <w:rsid w:val="002D07E3"/>
    <w:rPr>
      <w:sz w:val="24"/>
      <w:lang w:val="en-CA"/>
    </w:rPr>
  </w:style>
  <w:style w:type="paragraph" w:styleId="CommentSubject">
    <w:name w:val="annotation subject"/>
    <w:basedOn w:val="CommentText"/>
    <w:next w:val="CommentText"/>
    <w:link w:val="CommentSubjectChar"/>
    <w:uiPriority w:val="99"/>
    <w:semiHidden/>
    <w:unhideWhenUsed/>
    <w:rsid w:val="002D07E3"/>
    <w:rPr>
      <w:b/>
      <w:bCs/>
    </w:rPr>
  </w:style>
  <w:style w:type="character" w:customStyle="1" w:styleId="CommentSubjectChar">
    <w:name w:val="Comment Subject Char"/>
    <w:basedOn w:val="CommentTextChar"/>
    <w:link w:val="CommentSubject"/>
    <w:uiPriority w:val="99"/>
    <w:semiHidden/>
    <w:rsid w:val="002D07E3"/>
    <w:rPr>
      <w:b/>
      <w:bCs/>
      <w:sz w:val="24"/>
      <w:lang w:val="en-CA"/>
    </w:rPr>
  </w:style>
  <w:style w:type="character" w:customStyle="1" w:styleId="st">
    <w:name w:val="st"/>
    <w:basedOn w:val="DefaultParagraphFont"/>
    <w:rsid w:val="00860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68"/>
    <w:pPr>
      <w:spacing w:line="240" w:lineRule="auto"/>
    </w:pPr>
    <w:rPr>
      <w:sz w:val="24"/>
      <w:lang w:val="en-CA"/>
    </w:rPr>
  </w:style>
  <w:style w:type="paragraph" w:styleId="Heading1">
    <w:name w:val="heading 1"/>
    <w:basedOn w:val="Normal"/>
    <w:next w:val="Normal"/>
    <w:link w:val="Heading1Char"/>
    <w:uiPriority w:val="9"/>
    <w:qFormat/>
    <w:rsid w:val="00480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68"/>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semiHidden/>
    <w:rsid w:val="0048056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480568"/>
    <w:rPr>
      <w:rFonts w:asciiTheme="majorHAnsi" w:eastAsiaTheme="majorEastAsia" w:hAnsiTheme="majorHAnsi" w:cstheme="majorBidi"/>
      <w:b/>
      <w:bCs/>
      <w:color w:val="4F81BD" w:themeColor="accent1"/>
      <w:sz w:val="24"/>
      <w:lang w:val="en-CA"/>
    </w:rPr>
  </w:style>
  <w:style w:type="character" w:styleId="Hyperlink">
    <w:name w:val="Hyperlink"/>
    <w:basedOn w:val="DefaultParagraphFont"/>
    <w:uiPriority w:val="99"/>
    <w:unhideWhenUsed/>
    <w:rsid w:val="00480568"/>
    <w:rPr>
      <w:color w:val="0000FF" w:themeColor="hyperlink"/>
      <w:u w:val="single"/>
    </w:rPr>
  </w:style>
  <w:style w:type="paragraph" w:styleId="NormalWeb">
    <w:name w:val="Normal (Web)"/>
    <w:basedOn w:val="Normal"/>
    <w:uiPriority w:val="99"/>
    <w:unhideWhenUsed/>
    <w:rsid w:val="00480568"/>
    <w:pPr>
      <w:spacing w:before="100" w:beforeAutospacing="1" w:after="100" w:afterAutospacing="1"/>
    </w:pPr>
    <w:rPr>
      <w:rFonts w:ascii="Times New Roman" w:eastAsia="Times New Roman" w:hAnsi="Times New Roman" w:cs="Times New Roman"/>
      <w:szCs w:val="24"/>
      <w:lang w:val="nb-NO" w:eastAsia="nb-NO"/>
    </w:rPr>
  </w:style>
  <w:style w:type="paragraph" w:styleId="EndnoteText">
    <w:name w:val="endnote text"/>
    <w:basedOn w:val="Normal"/>
    <w:link w:val="EndnoteTextChar"/>
    <w:uiPriority w:val="99"/>
    <w:semiHidden/>
    <w:unhideWhenUsed/>
    <w:rsid w:val="00480568"/>
    <w:pPr>
      <w:spacing w:after="0"/>
    </w:pPr>
    <w:rPr>
      <w:sz w:val="20"/>
      <w:szCs w:val="20"/>
    </w:rPr>
  </w:style>
  <w:style w:type="character" w:customStyle="1" w:styleId="EndnoteTextChar">
    <w:name w:val="Endnote Text Char"/>
    <w:basedOn w:val="DefaultParagraphFont"/>
    <w:link w:val="EndnoteText"/>
    <w:uiPriority w:val="99"/>
    <w:semiHidden/>
    <w:rsid w:val="00480568"/>
    <w:rPr>
      <w:sz w:val="20"/>
      <w:szCs w:val="20"/>
      <w:lang w:val="en-CA"/>
    </w:rPr>
  </w:style>
  <w:style w:type="paragraph" w:styleId="ListParagraph">
    <w:name w:val="List Paragraph"/>
    <w:basedOn w:val="Normal"/>
    <w:uiPriority w:val="34"/>
    <w:qFormat/>
    <w:rsid w:val="00480568"/>
    <w:pPr>
      <w:ind w:left="720"/>
      <w:contextualSpacing/>
    </w:pPr>
    <w:rPr>
      <w:rFonts w:ascii="Calibri" w:eastAsia="Calibri" w:hAnsi="Calibri" w:cs="Times New Roman"/>
      <w:lang w:val="nb-NO"/>
    </w:rPr>
  </w:style>
  <w:style w:type="paragraph" w:customStyle="1" w:styleId="Default">
    <w:name w:val="Default"/>
    <w:uiPriority w:val="99"/>
    <w:rsid w:val="00480568"/>
    <w:pPr>
      <w:autoSpaceDE w:val="0"/>
      <w:autoSpaceDN w:val="0"/>
      <w:adjustRightInd w:val="0"/>
      <w:spacing w:after="0" w:line="240" w:lineRule="auto"/>
    </w:pPr>
    <w:rPr>
      <w:rFonts w:ascii="Times New Roman" w:eastAsia="Calibri" w:hAnsi="Times New Roman" w:cs="Times New Roman"/>
      <w:color w:val="000000"/>
      <w:sz w:val="24"/>
      <w:szCs w:val="24"/>
      <w:lang w:val="nb-NO"/>
    </w:rPr>
  </w:style>
  <w:style w:type="paragraph" w:customStyle="1" w:styleId="Standard">
    <w:name w:val="Standard"/>
    <w:uiPriority w:val="99"/>
    <w:rsid w:val="00480568"/>
    <w:rPr>
      <w:rFonts w:ascii="Calibri" w:eastAsia="MS Mincho" w:hAnsi="Calibri" w:cs="Times New Roman"/>
      <w:sz w:val="24"/>
      <w:szCs w:val="24"/>
      <w:lang w:val="en-US" w:eastAsia="fr-FR"/>
    </w:rPr>
  </w:style>
  <w:style w:type="character" w:styleId="EndnoteReference">
    <w:name w:val="endnote reference"/>
    <w:uiPriority w:val="99"/>
    <w:semiHidden/>
    <w:unhideWhenUsed/>
    <w:rsid w:val="00480568"/>
    <w:rPr>
      <w:vertAlign w:val="superscript"/>
    </w:rPr>
  </w:style>
  <w:style w:type="character" w:customStyle="1" w:styleId="BodyText1">
    <w:name w:val="Body Text1"/>
    <w:basedOn w:val="DefaultParagraphFont"/>
    <w:rsid w:val="00480568"/>
    <w:rPr>
      <w:rFonts w:ascii="Calibri" w:eastAsia="Calibri" w:hAnsi="Calibri" w:cs="Calibri" w:hint="default"/>
      <w:b w:val="0"/>
      <w:bCs w:val="0"/>
      <w:i w:val="0"/>
      <w:iCs w:val="0"/>
      <w:smallCaps w:val="0"/>
      <w:strike w:val="0"/>
      <w:dstrike w:val="0"/>
      <w:color w:val="000000"/>
      <w:spacing w:val="4"/>
      <w:w w:val="100"/>
      <w:position w:val="0"/>
      <w:sz w:val="23"/>
      <w:szCs w:val="23"/>
      <w:u w:val="none"/>
      <w:effect w:val="none"/>
      <w:lang w:val="en-US"/>
    </w:rPr>
  </w:style>
  <w:style w:type="character" w:customStyle="1" w:styleId="Bodytext6">
    <w:name w:val="Body text (6)"/>
    <w:basedOn w:val="DefaultParagraphFont"/>
    <w:rsid w:val="00480568"/>
    <w:rPr>
      <w:rFonts w:ascii="Calibri" w:eastAsia="Calibri" w:hAnsi="Calibri" w:cs="Calibri" w:hint="default"/>
      <w:b w:val="0"/>
      <w:bCs w:val="0"/>
      <w:i/>
      <w:iCs/>
      <w:smallCaps w:val="0"/>
      <w:strike w:val="0"/>
      <w:dstrike w:val="0"/>
      <w:color w:val="000000"/>
      <w:spacing w:val="2"/>
      <w:w w:val="100"/>
      <w:position w:val="0"/>
      <w:sz w:val="23"/>
      <w:szCs w:val="23"/>
      <w:u w:val="none"/>
      <w:effect w:val="none"/>
      <w:lang w:val="en-US"/>
    </w:rPr>
  </w:style>
  <w:style w:type="character" w:customStyle="1" w:styleId="hps">
    <w:name w:val="hps"/>
    <w:basedOn w:val="DefaultParagraphFont"/>
    <w:rsid w:val="00480568"/>
  </w:style>
  <w:style w:type="character" w:customStyle="1" w:styleId="SmallCaps">
    <w:name w:val="Small Caps"/>
    <w:basedOn w:val="DefaultParagraphFont"/>
    <w:qFormat/>
    <w:rsid w:val="00480568"/>
    <w:rPr>
      <w:caps w:val="0"/>
      <w:smallCaps/>
      <w:strike w:val="0"/>
      <w:dstrike w:val="0"/>
      <w:vanish w:val="0"/>
      <w:webHidden w:val="0"/>
      <w:color w:val="auto"/>
      <w:sz w:val="20"/>
      <w:szCs w:val="20"/>
      <w:u w:val="none"/>
      <w:effect w:val="none"/>
      <w:vertAlign w:val="baseline"/>
      <w:specVanish w:val="0"/>
    </w:rPr>
  </w:style>
  <w:style w:type="character" w:styleId="Strong">
    <w:name w:val="Strong"/>
    <w:basedOn w:val="DefaultParagraphFont"/>
    <w:uiPriority w:val="22"/>
    <w:qFormat/>
    <w:rsid w:val="00480568"/>
    <w:rPr>
      <w:b/>
      <w:bCs/>
    </w:rPr>
  </w:style>
  <w:style w:type="character" w:styleId="Emphasis">
    <w:name w:val="Emphasis"/>
    <w:basedOn w:val="DefaultParagraphFont"/>
    <w:uiPriority w:val="20"/>
    <w:qFormat/>
    <w:rsid w:val="00480568"/>
    <w:rPr>
      <w:i/>
      <w:iCs/>
    </w:rPr>
  </w:style>
  <w:style w:type="paragraph" w:styleId="Header">
    <w:name w:val="header"/>
    <w:basedOn w:val="Normal"/>
    <w:link w:val="HeaderChar"/>
    <w:uiPriority w:val="99"/>
    <w:unhideWhenUsed/>
    <w:rsid w:val="00615A7C"/>
    <w:pPr>
      <w:tabs>
        <w:tab w:val="center" w:pos="4513"/>
        <w:tab w:val="right" w:pos="9026"/>
      </w:tabs>
      <w:spacing w:after="0"/>
    </w:pPr>
  </w:style>
  <w:style w:type="character" w:customStyle="1" w:styleId="HeaderChar">
    <w:name w:val="Header Char"/>
    <w:basedOn w:val="DefaultParagraphFont"/>
    <w:link w:val="Header"/>
    <w:uiPriority w:val="99"/>
    <w:rsid w:val="00615A7C"/>
    <w:rPr>
      <w:sz w:val="24"/>
      <w:lang w:val="en-CA"/>
    </w:rPr>
  </w:style>
  <w:style w:type="paragraph" w:styleId="Footer">
    <w:name w:val="footer"/>
    <w:basedOn w:val="Normal"/>
    <w:link w:val="FooterChar"/>
    <w:uiPriority w:val="99"/>
    <w:unhideWhenUsed/>
    <w:rsid w:val="00615A7C"/>
    <w:pPr>
      <w:tabs>
        <w:tab w:val="center" w:pos="4513"/>
        <w:tab w:val="right" w:pos="9026"/>
      </w:tabs>
      <w:spacing w:after="0"/>
    </w:pPr>
  </w:style>
  <w:style w:type="character" w:customStyle="1" w:styleId="FooterChar">
    <w:name w:val="Footer Char"/>
    <w:basedOn w:val="DefaultParagraphFont"/>
    <w:link w:val="Footer"/>
    <w:uiPriority w:val="99"/>
    <w:rsid w:val="00615A7C"/>
    <w:rPr>
      <w:sz w:val="24"/>
      <w:lang w:val="en-CA"/>
    </w:rPr>
  </w:style>
  <w:style w:type="paragraph" w:styleId="BalloonText">
    <w:name w:val="Balloon Text"/>
    <w:basedOn w:val="Normal"/>
    <w:link w:val="BalloonTextChar"/>
    <w:uiPriority w:val="99"/>
    <w:semiHidden/>
    <w:unhideWhenUsed/>
    <w:rsid w:val="00BF1450"/>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1450"/>
    <w:rPr>
      <w:rFonts w:asciiTheme="majorHAnsi" w:eastAsiaTheme="majorEastAsia" w:hAnsiTheme="majorHAnsi" w:cstheme="majorBidi"/>
      <w:sz w:val="18"/>
      <w:szCs w:val="18"/>
      <w:lang w:val="en-CA"/>
    </w:rPr>
  </w:style>
  <w:style w:type="character" w:styleId="CommentReference">
    <w:name w:val="annotation reference"/>
    <w:basedOn w:val="DefaultParagraphFont"/>
    <w:uiPriority w:val="99"/>
    <w:semiHidden/>
    <w:unhideWhenUsed/>
    <w:rsid w:val="002D07E3"/>
    <w:rPr>
      <w:sz w:val="18"/>
      <w:szCs w:val="18"/>
    </w:rPr>
  </w:style>
  <w:style w:type="paragraph" w:styleId="CommentText">
    <w:name w:val="annotation text"/>
    <w:basedOn w:val="Normal"/>
    <w:link w:val="CommentTextChar"/>
    <w:uiPriority w:val="99"/>
    <w:semiHidden/>
    <w:unhideWhenUsed/>
    <w:rsid w:val="002D07E3"/>
  </w:style>
  <w:style w:type="character" w:customStyle="1" w:styleId="CommentTextChar">
    <w:name w:val="Comment Text Char"/>
    <w:basedOn w:val="DefaultParagraphFont"/>
    <w:link w:val="CommentText"/>
    <w:uiPriority w:val="99"/>
    <w:semiHidden/>
    <w:rsid w:val="002D07E3"/>
    <w:rPr>
      <w:sz w:val="24"/>
      <w:lang w:val="en-CA"/>
    </w:rPr>
  </w:style>
  <w:style w:type="paragraph" w:styleId="CommentSubject">
    <w:name w:val="annotation subject"/>
    <w:basedOn w:val="CommentText"/>
    <w:next w:val="CommentText"/>
    <w:link w:val="CommentSubjectChar"/>
    <w:uiPriority w:val="99"/>
    <w:semiHidden/>
    <w:unhideWhenUsed/>
    <w:rsid w:val="002D07E3"/>
    <w:rPr>
      <w:b/>
      <w:bCs/>
    </w:rPr>
  </w:style>
  <w:style w:type="character" w:customStyle="1" w:styleId="CommentSubjectChar">
    <w:name w:val="Comment Subject Char"/>
    <w:basedOn w:val="CommentTextChar"/>
    <w:link w:val="CommentSubject"/>
    <w:uiPriority w:val="99"/>
    <w:semiHidden/>
    <w:rsid w:val="002D07E3"/>
    <w:rPr>
      <w:b/>
      <w:bCs/>
      <w:sz w:val="24"/>
      <w:lang w:val="en-CA"/>
    </w:rPr>
  </w:style>
  <w:style w:type="character" w:customStyle="1" w:styleId="st">
    <w:name w:val="st"/>
    <w:basedOn w:val="DefaultParagraphFont"/>
    <w:rsid w:val="0086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20437">
      <w:bodyDiv w:val="1"/>
      <w:marLeft w:val="0"/>
      <w:marRight w:val="0"/>
      <w:marTop w:val="0"/>
      <w:marBottom w:val="0"/>
      <w:divBdr>
        <w:top w:val="none" w:sz="0" w:space="0" w:color="auto"/>
        <w:left w:val="none" w:sz="0" w:space="0" w:color="auto"/>
        <w:bottom w:val="none" w:sz="0" w:space="0" w:color="auto"/>
        <w:right w:val="none" w:sz="0" w:space="0" w:color="auto"/>
      </w:divBdr>
    </w:div>
    <w:div w:id="1117217803">
      <w:bodyDiv w:val="1"/>
      <w:marLeft w:val="0"/>
      <w:marRight w:val="0"/>
      <w:marTop w:val="0"/>
      <w:marBottom w:val="0"/>
      <w:divBdr>
        <w:top w:val="none" w:sz="0" w:space="0" w:color="auto"/>
        <w:left w:val="none" w:sz="0" w:space="0" w:color="auto"/>
        <w:bottom w:val="none" w:sz="0" w:space="0" w:color="auto"/>
        <w:right w:val="none" w:sz="0" w:space="0" w:color="auto"/>
      </w:divBdr>
    </w:div>
    <w:div w:id="13884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countabilityroundtable.org/wp-content/uploads/2013/11/ICAR-Human-Rights-Due-Diligence-2013-Update-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ADB8-641C-4372-A667-31E184AB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Business &amp; Human Rights Resource Centre</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Lowell Chow</cp:lastModifiedBy>
  <cp:revision>3</cp:revision>
  <dcterms:created xsi:type="dcterms:W3CDTF">2015-02-24T09:50:00Z</dcterms:created>
  <dcterms:modified xsi:type="dcterms:W3CDTF">2015-02-24T17:30:00Z</dcterms:modified>
</cp:coreProperties>
</file>