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6F" w:rsidRDefault="0010790B" w:rsidP="00285A6F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0"/>
          <w:szCs w:val="20"/>
          <w:lang w:val="en-ZW"/>
        </w:rPr>
      </w:pPr>
      <w:proofErr w:type="gramStart"/>
      <w:r>
        <w:rPr>
          <w:rFonts w:ascii="Verdana-Bold" w:eastAsiaTheme="minorHAnsi" w:hAnsi="Verdana-Bold" w:cs="Verdana-Bold"/>
          <w:b/>
          <w:bCs/>
          <w:sz w:val="20"/>
          <w:szCs w:val="20"/>
          <w:lang w:val="en-ZW"/>
        </w:rPr>
        <w:t>1.Monitoring</w:t>
      </w:r>
      <w:proofErr w:type="gramEnd"/>
      <w:r>
        <w:rPr>
          <w:rFonts w:ascii="Verdana-Bold" w:eastAsiaTheme="minorHAnsi" w:hAnsi="Verdana-Bold" w:cs="Verdana-Bold"/>
          <w:b/>
          <w:bCs/>
          <w:sz w:val="20"/>
          <w:szCs w:val="20"/>
          <w:lang w:val="en-ZW"/>
        </w:rPr>
        <w:t xml:space="preserve"> </w:t>
      </w:r>
      <w:r w:rsidR="005B22FB">
        <w:rPr>
          <w:rFonts w:ascii="Verdana-Bold" w:eastAsiaTheme="minorHAnsi" w:hAnsi="Verdana-Bold" w:cs="Verdana-Bold"/>
          <w:b/>
          <w:bCs/>
          <w:sz w:val="20"/>
          <w:szCs w:val="20"/>
          <w:lang w:val="en-ZW"/>
        </w:rPr>
        <w:t>Environmental, Socio-Economic and</w:t>
      </w:r>
      <w:bookmarkStart w:id="0" w:name="_GoBack"/>
      <w:bookmarkEnd w:id="0"/>
      <w:r w:rsidR="005B22FB">
        <w:rPr>
          <w:rFonts w:ascii="Verdana-Bold" w:eastAsiaTheme="minorHAnsi" w:hAnsi="Verdana-Bold" w:cs="Verdana-Bold"/>
          <w:b/>
          <w:bCs/>
          <w:sz w:val="20"/>
          <w:szCs w:val="20"/>
          <w:lang w:val="en-ZW"/>
        </w:rPr>
        <w:t xml:space="preserve"> Cultural Rights</w:t>
      </w:r>
      <w:r>
        <w:rPr>
          <w:rStyle w:val="FootnoteReference"/>
          <w:rFonts w:ascii="Verdana-Bold" w:eastAsiaTheme="minorHAnsi" w:hAnsi="Verdana-Bold" w:cs="Verdana-Bold"/>
          <w:b/>
          <w:bCs/>
          <w:sz w:val="20"/>
          <w:szCs w:val="20"/>
          <w:lang w:val="en-ZW"/>
        </w:rPr>
        <w:footnoteReference w:id="1"/>
      </w:r>
    </w:p>
    <w:p w:rsidR="00285A6F" w:rsidRDefault="00285A6F" w:rsidP="00285A6F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0"/>
          <w:szCs w:val="20"/>
          <w:lang w:val="en-ZW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1890"/>
        <w:gridCol w:w="4950"/>
      </w:tblGrid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  <w:t>Environmental Economic and Social Cultural Rights</w:t>
            </w: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  <w:t>Location of Right in the Constitution</w:t>
            </w:r>
          </w:p>
        </w:tc>
        <w:tc>
          <w:tcPr>
            <w:tcW w:w="495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  <w:t>Examples of Issues to monitor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10790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hAnsiTheme="minorHAnsi"/>
                <w:sz w:val="20"/>
                <w:szCs w:val="20"/>
              </w:rPr>
              <w:t xml:space="preserve">Right to a clean and safe </w:t>
            </w:r>
            <w:r w:rsidR="0010790B">
              <w:rPr>
                <w:rFonts w:asciiTheme="minorHAnsi" w:hAnsiTheme="minorHAnsi"/>
                <w:sz w:val="20"/>
                <w:szCs w:val="20"/>
              </w:rPr>
              <w:t>e</w:t>
            </w:r>
            <w:r w:rsidRPr="0010790B">
              <w:rPr>
                <w:rFonts w:asciiTheme="minorHAnsi" w:hAnsiTheme="minorHAnsi"/>
                <w:sz w:val="20"/>
                <w:szCs w:val="20"/>
              </w:rPr>
              <w:t xml:space="preserve">nvironment </w:t>
            </w: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  <w:t>Section 73</w:t>
            </w:r>
          </w:p>
        </w:tc>
        <w:tc>
          <w:tcPr>
            <w:tcW w:w="4950" w:type="dxa"/>
          </w:tcPr>
          <w:p w:rsidR="00F51053" w:rsidRPr="0010790B" w:rsidRDefault="00F51053" w:rsidP="00F51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  <w:t>Land degradation (open pits)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  <w:t xml:space="preserve">Dust pollution 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  <w:t xml:space="preserve">Water pollution 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-Bold"/>
                <w:bCs/>
                <w:sz w:val="20"/>
                <w:szCs w:val="20"/>
                <w:lang w:val="en-ZW"/>
              </w:rPr>
              <w:t xml:space="preserve">Waste disposal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language and culture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63</w:t>
            </w:r>
          </w:p>
        </w:tc>
        <w:tc>
          <w:tcPr>
            <w:tcW w:w="4950" w:type="dxa"/>
          </w:tcPr>
          <w:p w:rsidR="00F51053" w:rsidRPr="0010790B" w:rsidRDefault="00F51053" w:rsidP="00F510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Cultural heritage sites 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Graves and Shrines 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Rituals 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Authority of traditional leaders </w:t>
            </w:r>
          </w:p>
        </w:tc>
      </w:tr>
      <w:tr w:rsidR="00F51053" w:rsidRPr="0010790B" w:rsidTr="0010790B">
        <w:trPr>
          <w:trHeight w:val="665"/>
        </w:trPr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freedom of profession,</w:t>
            </w:r>
            <w:r w:rsid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 </w:t>
            </w: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trade and occupation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64</w:t>
            </w:r>
          </w:p>
        </w:tc>
        <w:tc>
          <w:tcPr>
            <w:tcW w:w="4950" w:type="dxa"/>
          </w:tcPr>
          <w:p w:rsidR="00F51053" w:rsidRPr="0010790B" w:rsidRDefault="0010790B" w:rsidP="001079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Ability to choose profession trade and occupation in the mining sector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Freedom from arbitrary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eviction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74</w:t>
            </w:r>
          </w:p>
        </w:tc>
        <w:tc>
          <w:tcPr>
            <w:tcW w:w="4950" w:type="dxa"/>
          </w:tcPr>
          <w:p w:rsidR="00F51053" w:rsidRPr="0010790B" w:rsidRDefault="00F51053" w:rsidP="00F5105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Relocations (is there free, informed and prior consent)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Fair and adequate compensation (attention also to women and child headed families)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shelter</w:t>
            </w: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81 (1) (f)</w:t>
            </w:r>
          </w:p>
        </w:tc>
        <w:tc>
          <w:tcPr>
            <w:tcW w:w="4950" w:type="dxa"/>
          </w:tcPr>
          <w:p w:rsidR="00F51053" w:rsidRPr="0010790B" w:rsidRDefault="00F51053" w:rsidP="00F510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Adequate Housing for relocated communities </w:t>
            </w:r>
          </w:p>
          <w:p w:rsidR="00F51053" w:rsidRPr="0010790B" w:rsidRDefault="00F51053" w:rsidP="00F510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Compulsory acquisition of land by the state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basic and further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education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75 (1) (a)</w:t>
            </w:r>
          </w:p>
        </w:tc>
        <w:tc>
          <w:tcPr>
            <w:tcW w:w="4950" w:type="dxa"/>
          </w:tcPr>
          <w:p w:rsidR="00F51053" w:rsidRPr="0010790B" w:rsidRDefault="0079598F" w:rsidP="00F51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Number of schools</w:t>
            </w:r>
          </w:p>
          <w:p w:rsidR="0079598F" w:rsidRPr="0010790B" w:rsidRDefault="0079598F" w:rsidP="00F51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Teacher student ratio </w:t>
            </w:r>
          </w:p>
          <w:p w:rsidR="0079598F" w:rsidRPr="0010790B" w:rsidRDefault="0079598F" w:rsidP="00F51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Pass rates </w:t>
            </w:r>
          </w:p>
          <w:p w:rsidR="0079598F" w:rsidRPr="0010790B" w:rsidRDefault="0079598F" w:rsidP="00F51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Children accessing further education </w:t>
            </w:r>
          </w:p>
          <w:p w:rsidR="0079598F" w:rsidRPr="0010790B" w:rsidRDefault="0079598F" w:rsidP="00F51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Support offered to promote further education 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access basic health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care services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76 (1)</w:t>
            </w:r>
          </w:p>
        </w:tc>
        <w:tc>
          <w:tcPr>
            <w:tcW w:w="4950" w:type="dxa"/>
          </w:tcPr>
          <w:p w:rsidR="00F51053" w:rsidRPr="0010790B" w:rsidRDefault="0079598F" w:rsidP="007959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Number of health care centres </w:t>
            </w:r>
          </w:p>
          <w:p w:rsidR="0079598F" w:rsidRPr="0010790B" w:rsidRDefault="0079598F" w:rsidP="007959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Number of qualified medical personnel</w:t>
            </w:r>
          </w:p>
          <w:p w:rsidR="0079598F" w:rsidRPr="0010790B" w:rsidRDefault="0079598F" w:rsidP="007959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Availability to medicines </w:t>
            </w:r>
          </w:p>
          <w:p w:rsidR="0079598F" w:rsidRPr="0010790B" w:rsidRDefault="0079598F" w:rsidP="007959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Referral systems 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receive emergency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medical treatment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-Bold"/>
                <w:b/>
                <w:bCs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76 (3)</w:t>
            </w:r>
          </w:p>
        </w:tc>
        <w:tc>
          <w:tcPr>
            <w:tcW w:w="4950" w:type="dxa"/>
          </w:tcPr>
          <w:p w:rsidR="00F51053" w:rsidRPr="0010790B" w:rsidRDefault="0079598F" w:rsidP="007959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Access to an ambulance </w:t>
            </w:r>
          </w:p>
          <w:p w:rsidR="0079598F" w:rsidRPr="0010790B" w:rsidRDefault="0079598F" w:rsidP="007959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Availability of doctors on standby for emergencies </w:t>
            </w:r>
          </w:p>
          <w:p w:rsidR="0079598F" w:rsidRPr="0010790B" w:rsidRDefault="0079598F" w:rsidP="007959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Access to emergency treatment and medicines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sufficient food</w:t>
            </w: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77 (b)</w:t>
            </w:r>
          </w:p>
        </w:tc>
        <w:tc>
          <w:tcPr>
            <w:tcW w:w="4950" w:type="dxa"/>
          </w:tcPr>
          <w:p w:rsidR="00F51053" w:rsidRPr="0010790B" w:rsidRDefault="0079598F" w:rsidP="007959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Access to farming land </w:t>
            </w:r>
          </w:p>
          <w:p w:rsidR="0079598F" w:rsidRPr="0010790B" w:rsidRDefault="0079598F" w:rsidP="007959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Ability to rear Livestock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safe, clean and potable</w:t>
            </w:r>
            <w:r w:rsid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 </w:t>
            </w: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water</w:t>
            </w:r>
          </w:p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Section 77 (a)</w:t>
            </w:r>
          </w:p>
        </w:tc>
        <w:tc>
          <w:tcPr>
            <w:tcW w:w="4950" w:type="dxa"/>
          </w:tcPr>
          <w:p w:rsidR="00F51053" w:rsidRPr="0010790B" w:rsidRDefault="0079598F" w:rsidP="00795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Water pollution </w:t>
            </w:r>
          </w:p>
          <w:p w:rsidR="0079598F" w:rsidRPr="0010790B" w:rsidRDefault="0079598F" w:rsidP="00795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Boreholes providing clean water </w:t>
            </w:r>
          </w:p>
          <w:p w:rsidR="0079598F" w:rsidRPr="0010790B" w:rsidRDefault="007910A1" w:rsidP="0079598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Water borne diseases </w:t>
            </w:r>
          </w:p>
        </w:tc>
      </w:tr>
      <w:tr w:rsidR="00F51053" w:rsidRPr="0010790B" w:rsidTr="0010790B">
        <w:tc>
          <w:tcPr>
            <w:tcW w:w="2808" w:type="dxa"/>
          </w:tcPr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receive State funded</w:t>
            </w:r>
          </w:p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financial support by way</w:t>
            </w:r>
          </w:p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of social security and welfare</w:t>
            </w:r>
          </w:p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85A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Section 82 </w:t>
            </w:r>
            <w:r w:rsid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©</w:t>
            </w:r>
          </w:p>
        </w:tc>
        <w:tc>
          <w:tcPr>
            <w:tcW w:w="4950" w:type="dxa"/>
          </w:tcPr>
          <w:p w:rsidR="00F51053" w:rsidRDefault="0010790B" w:rsidP="001079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Access to National Social Security Authority offices</w:t>
            </w:r>
          </w:p>
          <w:p w:rsidR="0010790B" w:rsidRDefault="0010790B" w:rsidP="001079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Time taken to access NSSA grants</w:t>
            </w:r>
          </w:p>
          <w:p w:rsidR="0010790B" w:rsidRPr="0010790B" w:rsidRDefault="0010790B" w:rsidP="0010790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Consistency of NSSA payments</w:t>
            </w:r>
          </w:p>
        </w:tc>
      </w:tr>
      <w:tr w:rsidR="00F51053" w:rsidRPr="0010790B" w:rsidTr="0010790B">
        <w:trPr>
          <w:trHeight w:val="70"/>
        </w:trPr>
        <w:tc>
          <w:tcPr>
            <w:tcW w:w="2808" w:type="dxa"/>
          </w:tcPr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Right to fair and safe labour</w:t>
            </w:r>
          </w:p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practices and standards and</w:t>
            </w:r>
            <w:r w:rsid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 </w:t>
            </w: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to be paid a fair and reasonable</w:t>
            </w:r>
            <w:r w:rsid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 </w:t>
            </w: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>wage</w:t>
            </w:r>
          </w:p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</w:p>
        </w:tc>
        <w:tc>
          <w:tcPr>
            <w:tcW w:w="1890" w:type="dxa"/>
          </w:tcPr>
          <w:p w:rsidR="00F51053" w:rsidRPr="0010790B" w:rsidRDefault="00F51053" w:rsidP="002464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Section 65 (1) </w:t>
            </w:r>
          </w:p>
        </w:tc>
        <w:tc>
          <w:tcPr>
            <w:tcW w:w="4950" w:type="dxa"/>
          </w:tcPr>
          <w:p w:rsidR="00F51053" w:rsidRPr="0010790B" w:rsidRDefault="007910A1" w:rsidP="007910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Dismissals </w:t>
            </w:r>
          </w:p>
          <w:p w:rsidR="007910A1" w:rsidRPr="0010790B" w:rsidRDefault="007910A1" w:rsidP="007910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Hiring policies </w:t>
            </w:r>
          </w:p>
          <w:p w:rsidR="007910A1" w:rsidRPr="0010790B" w:rsidRDefault="007910A1" w:rsidP="007910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Grievance redress mechanisms </w:t>
            </w:r>
          </w:p>
          <w:p w:rsidR="007910A1" w:rsidRPr="0010790B" w:rsidRDefault="007910A1" w:rsidP="007910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</w:pPr>
            <w:r w:rsidRPr="0010790B">
              <w:rPr>
                <w:rFonts w:asciiTheme="minorHAnsi" w:eastAsiaTheme="minorHAnsi" w:hAnsiTheme="minorHAnsi" w:cs="Verdana"/>
                <w:sz w:val="20"/>
                <w:szCs w:val="20"/>
                <w:lang w:val="en-ZW"/>
              </w:rPr>
              <w:t xml:space="preserve">Levels of wages </w:t>
            </w:r>
          </w:p>
        </w:tc>
      </w:tr>
    </w:tbl>
    <w:p w:rsidR="00C2336F" w:rsidRDefault="00C2336F" w:rsidP="0024643E">
      <w:pPr>
        <w:autoSpaceDE w:val="0"/>
        <w:autoSpaceDN w:val="0"/>
        <w:adjustRightInd w:val="0"/>
      </w:pPr>
    </w:p>
    <w:p w:rsidR="005B22FB" w:rsidRDefault="005B22FB" w:rsidP="0024643E">
      <w:pPr>
        <w:autoSpaceDE w:val="0"/>
        <w:autoSpaceDN w:val="0"/>
        <w:adjustRightInd w:val="0"/>
      </w:pPr>
    </w:p>
    <w:p w:rsidR="0024643E" w:rsidRPr="0010790B" w:rsidRDefault="0010790B" w:rsidP="0024643E">
      <w:pPr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2.</w:t>
      </w:r>
      <w:r w:rsidRPr="0010790B">
        <w:rPr>
          <w:rFonts w:ascii="Times New Roman" w:hAnsi="Times New Roman"/>
          <w:b/>
        </w:rPr>
        <w:t>Monitoring</w:t>
      </w:r>
      <w:proofErr w:type="gramEnd"/>
      <w:r w:rsidRPr="0010790B">
        <w:rPr>
          <w:rFonts w:ascii="Times New Roman" w:hAnsi="Times New Roman"/>
          <w:b/>
        </w:rPr>
        <w:t xml:space="preserve"> </w:t>
      </w:r>
      <w:r w:rsidR="00CC6940" w:rsidRPr="0010790B">
        <w:rPr>
          <w:rFonts w:ascii="Times New Roman" w:hAnsi="Times New Roman"/>
          <w:b/>
        </w:rPr>
        <w:t>Corporate Social responsibility</w:t>
      </w:r>
    </w:p>
    <w:p w:rsidR="00CC6940" w:rsidRPr="0010790B" w:rsidRDefault="00CC6940" w:rsidP="0010790B">
      <w:pPr>
        <w:pStyle w:val="FootnoteText"/>
        <w:jc w:val="both"/>
        <w:rPr>
          <w:rFonts w:ascii="Times New Roman" w:hAnsi="Times New Roman"/>
          <w:sz w:val="22"/>
          <w:szCs w:val="22"/>
          <w:lang w:val="en-ZW"/>
        </w:rPr>
      </w:pPr>
      <w:r w:rsidRPr="0010790B">
        <w:rPr>
          <w:rFonts w:ascii="Times New Roman" w:hAnsi="Times New Roman"/>
          <w:sz w:val="22"/>
          <w:szCs w:val="22"/>
          <w:lang w:val="en-ZW"/>
        </w:rPr>
        <w:t>CSR are mainly activities carried out by business to address the adverse impacts of their operations</w:t>
      </w:r>
      <w:r w:rsidR="005B22FB" w:rsidRPr="0010790B">
        <w:rPr>
          <w:rFonts w:ascii="Times New Roman" w:hAnsi="Times New Roman"/>
          <w:sz w:val="22"/>
          <w:szCs w:val="22"/>
          <w:lang w:val="en-ZW"/>
        </w:rPr>
        <w:t>.  CSR arises out of the realisation that b</w:t>
      </w:r>
      <w:r w:rsidRPr="0010790B">
        <w:rPr>
          <w:rFonts w:ascii="Times New Roman" w:hAnsi="Times New Roman"/>
          <w:sz w:val="22"/>
          <w:szCs w:val="22"/>
          <w:lang w:val="en-ZW"/>
        </w:rPr>
        <w:t xml:space="preserve">usiness does not operate in a vacuum. As organs of society, businesses are sanctioned and promoted by society. Without society, business will not make profits. It is society that gives business a “social license” to operate. In return for this “social license” society expects businesses to be good corporate citizens by carrying out their activities in a manner that does not adversely impact on human rights and when they do, by providing access to effective remedy. Furthermore, under the social contract, while </w:t>
      </w:r>
      <w:r w:rsidR="005B22FB" w:rsidRPr="0010790B">
        <w:rPr>
          <w:rFonts w:ascii="Times New Roman" w:hAnsi="Times New Roman"/>
          <w:sz w:val="22"/>
          <w:szCs w:val="22"/>
          <w:lang w:val="en-ZW"/>
        </w:rPr>
        <w:t xml:space="preserve">mining companies must not just pursue profits but ensure that they do not harm the environment and social aspects of the communities. Thus CSR recognises that </w:t>
      </w:r>
      <w:r w:rsidR="0010790B">
        <w:rPr>
          <w:rFonts w:ascii="Times New Roman" w:hAnsi="Times New Roman"/>
          <w:sz w:val="22"/>
          <w:szCs w:val="22"/>
          <w:lang w:val="en-ZW"/>
        </w:rPr>
        <w:t xml:space="preserve">not only </w:t>
      </w:r>
      <w:r w:rsidRPr="0010790B">
        <w:rPr>
          <w:rFonts w:ascii="Times New Roman" w:hAnsi="Times New Roman"/>
          <w:sz w:val="22"/>
          <w:szCs w:val="22"/>
          <w:lang w:val="en-ZW"/>
        </w:rPr>
        <w:t>economic rationale</w:t>
      </w:r>
      <w:r w:rsidR="005B22FB" w:rsidRPr="0010790B">
        <w:rPr>
          <w:rFonts w:ascii="Times New Roman" w:hAnsi="Times New Roman"/>
          <w:sz w:val="22"/>
          <w:szCs w:val="22"/>
          <w:lang w:val="en-ZW"/>
        </w:rPr>
        <w:t xml:space="preserve"> </w:t>
      </w:r>
      <w:r w:rsidR="0010790B">
        <w:rPr>
          <w:rFonts w:ascii="Times New Roman" w:hAnsi="Times New Roman"/>
          <w:sz w:val="22"/>
          <w:szCs w:val="22"/>
          <w:lang w:val="en-ZW"/>
        </w:rPr>
        <w:t>is imp</w:t>
      </w:r>
      <w:r w:rsidRPr="0010790B">
        <w:rPr>
          <w:rFonts w:ascii="Times New Roman" w:hAnsi="Times New Roman"/>
          <w:sz w:val="22"/>
          <w:szCs w:val="22"/>
          <w:lang w:val="en-ZW"/>
        </w:rPr>
        <w:t xml:space="preserve">ortant to business </w:t>
      </w:r>
      <w:r w:rsidR="0010790B">
        <w:rPr>
          <w:rFonts w:ascii="Times New Roman" w:hAnsi="Times New Roman"/>
          <w:sz w:val="22"/>
          <w:szCs w:val="22"/>
          <w:lang w:val="en-ZW"/>
        </w:rPr>
        <w:t xml:space="preserve">but </w:t>
      </w:r>
      <w:r w:rsidR="005B22FB" w:rsidRPr="0010790B">
        <w:rPr>
          <w:rFonts w:ascii="Times New Roman" w:hAnsi="Times New Roman"/>
          <w:sz w:val="22"/>
          <w:szCs w:val="22"/>
          <w:lang w:val="en-ZW"/>
        </w:rPr>
        <w:t xml:space="preserve">of equal importance are the </w:t>
      </w:r>
      <w:r w:rsidRPr="0010790B">
        <w:rPr>
          <w:rFonts w:ascii="Times New Roman" w:hAnsi="Times New Roman"/>
          <w:sz w:val="22"/>
          <w:szCs w:val="22"/>
          <w:lang w:val="en-ZW"/>
        </w:rPr>
        <w:t>social and environmental dimensions</w:t>
      </w:r>
      <w:r w:rsidR="005B22FB" w:rsidRPr="0010790B">
        <w:rPr>
          <w:rFonts w:ascii="Times New Roman" w:hAnsi="Times New Roman"/>
          <w:sz w:val="22"/>
          <w:szCs w:val="22"/>
          <w:lang w:val="en-ZW"/>
        </w:rPr>
        <w:t xml:space="preserve"> which</w:t>
      </w:r>
      <w:r w:rsidRPr="0010790B">
        <w:rPr>
          <w:rFonts w:ascii="Times New Roman" w:hAnsi="Times New Roman"/>
          <w:sz w:val="22"/>
          <w:szCs w:val="22"/>
          <w:lang w:val="en-ZW"/>
        </w:rPr>
        <w:t xml:space="preserve"> should not be treated as opportunity costs. Social and environmental considerations </w:t>
      </w:r>
      <w:r w:rsidR="005B22FB" w:rsidRPr="0010790B">
        <w:rPr>
          <w:rFonts w:ascii="Times New Roman" w:hAnsi="Times New Roman"/>
          <w:sz w:val="22"/>
          <w:szCs w:val="22"/>
          <w:lang w:val="en-ZW"/>
        </w:rPr>
        <w:t>must be tied with economic benefits.</w:t>
      </w:r>
    </w:p>
    <w:p w:rsidR="007910A1" w:rsidRPr="0010790B" w:rsidRDefault="007910A1" w:rsidP="00CC6940">
      <w:pPr>
        <w:spacing w:line="276" w:lineRule="auto"/>
        <w:jc w:val="both"/>
        <w:rPr>
          <w:rFonts w:ascii="Times New Roman" w:hAnsi="Times New Roman"/>
          <w:lang w:val="en-ZW"/>
        </w:rPr>
      </w:pPr>
    </w:p>
    <w:p w:rsidR="007910A1" w:rsidRPr="0010790B" w:rsidRDefault="007910A1" w:rsidP="00CC6940">
      <w:pPr>
        <w:spacing w:line="276" w:lineRule="auto"/>
        <w:jc w:val="both"/>
        <w:rPr>
          <w:rFonts w:ascii="Times New Roman" w:hAnsi="Times New Roman"/>
          <w:b/>
          <w:lang w:val="en-ZW"/>
        </w:rPr>
      </w:pPr>
      <w:r w:rsidRPr="0010790B">
        <w:rPr>
          <w:rFonts w:ascii="Times New Roman" w:hAnsi="Times New Roman"/>
          <w:b/>
          <w:lang w:val="en-ZW"/>
        </w:rPr>
        <w:t xml:space="preserve">What to monitor </w:t>
      </w:r>
      <w:r w:rsidR="0010790B" w:rsidRPr="0010790B">
        <w:rPr>
          <w:rFonts w:ascii="Times New Roman" w:hAnsi="Times New Roman"/>
          <w:b/>
          <w:lang w:val="en-ZW"/>
        </w:rPr>
        <w:t>on CSR</w:t>
      </w:r>
    </w:p>
    <w:p w:rsidR="007910A1" w:rsidRPr="0010790B" w:rsidRDefault="007910A1" w:rsidP="007910A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What issues are being addressed by the CSR initiatives </w:t>
      </w:r>
    </w:p>
    <w:p w:rsidR="007910A1" w:rsidRPr="0010790B" w:rsidRDefault="007910A1" w:rsidP="007910A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CSR budget of mining companies </w:t>
      </w:r>
    </w:p>
    <w:p w:rsidR="007910A1" w:rsidRPr="0010790B" w:rsidRDefault="007910A1" w:rsidP="007910A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>Levels of consultations for decision making by the companies</w:t>
      </w:r>
    </w:p>
    <w:p w:rsidR="007910A1" w:rsidRPr="0010790B" w:rsidRDefault="007910A1" w:rsidP="007910A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Reach and relevance of CSR </w:t>
      </w:r>
    </w:p>
    <w:p w:rsidR="007910A1" w:rsidRPr="0010790B" w:rsidRDefault="007910A1" w:rsidP="007910A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Community levels of appreciating the CSR initiatives </w:t>
      </w:r>
    </w:p>
    <w:p w:rsidR="007910A1" w:rsidRPr="0010790B" w:rsidRDefault="007910A1" w:rsidP="007910A1">
      <w:pPr>
        <w:spacing w:line="276" w:lineRule="auto"/>
        <w:ind w:left="360"/>
        <w:jc w:val="both"/>
        <w:rPr>
          <w:rFonts w:ascii="Times New Roman" w:hAnsi="Times New Roman"/>
          <w:lang w:val="en-ZW"/>
        </w:rPr>
      </w:pPr>
    </w:p>
    <w:p w:rsidR="00CC6940" w:rsidRPr="0010790B" w:rsidRDefault="0010790B" w:rsidP="0010790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3.Monitoring</w:t>
      </w:r>
      <w:proofErr w:type="gramEnd"/>
      <w:r>
        <w:rPr>
          <w:rFonts w:ascii="Times New Roman" w:hAnsi="Times New Roman"/>
          <w:b/>
        </w:rPr>
        <w:t xml:space="preserve"> </w:t>
      </w:r>
      <w:r w:rsidR="00CC6940" w:rsidRPr="0010790B">
        <w:rPr>
          <w:rFonts w:ascii="Times New Roman" w:hAnsi="Times New Roman"/>
          <w:b/>
        </w:rPr>
        <w:t>Community Share Ownership Trusts</w:t>
      </w:r>
      <w:r>
        <w:rPr>
          <w:rFonts w:ascii="Times New Roman" w:hAnsi="Times New Roman"/>
          <w:b/>
        </w:rPr>
        <w:t xml:space="preserve"> CSOT/s</w:t>
      </w:r>
    </w:p>
    <w:p w:rsidR="00CC6940" w:rsidRPr="0010790B" w:rsidRDefault="00CC6940" w:rsidP="001079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940" w:rsidRPr="0010790B" w:rsidRDefault="00CC6940" w:rsidP="0010790B">
      <w:pPr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CSOT/S were introduced through the Indigenisation and Economic Empowerment (General) Amendment) Regulations, 2010 (No.2) Out the sixty-one CSOT/S that were launched in Zimbabwe, </w:t>
      </w:r>
      <w:proofErr w:type="spellStart"/>
      <w:r w:rsidRPr="0010790B">
        <w:rPr>
          <w:rFonts w:ascii="Times New Roman" w:hAnsi="Times New Roman"/>
          <w:lang w:val="en-ZW"/>
        </w:rPr>
        <w:t>Unki</w:t>
      </w:r>
      <w:proofErr w:type="spellEnd"/>
      <w:r w:rsidRPr="0010790B">
        <w:rPr>
          <w:rFonts w:ascii="Times New Roman" w:hAnsi="Times New Roman"/>
          <w:lang w:val="en-ZW"/>
        </w:rPr>
        <w:t xml:space="preserve"> Mine was the first to honour in full the</w:t>
      </w:r>
      <w:r w:rsidR="0010790B">
        <w:rPr>
          <w:rFonts w:ascii="Times New Roman" w:hAnsi="Times New Roman"/>
          <w:lang w:val="en-ZW"/>
        </w:rPr>
        <w:t xml:space="preserve"> $10 million pledge towards </w:t>
      </w:r>
      <w:r w:rsidRPr="0010790B">
        <w:rPr>
          <w:rFonts w:ascii="Times New Roman" w:hAnsi="Times New Roman"/>
          <w:lang w:val="en-ZW"/>
        </w:rPr>
        <w:t xml:space="preserve">CSOT/S. Other CSOT/S were paid in instalments whilst some are yet to receive the pledged funds.  </w:t>
      </w:r>
      <w:r w:rsidR="0010790B">
        <w:rPr>
          <w:rFonts w:ascii="Times New Roman" w:hAnsi="Times New Roman"/>
          <w:lang w:val="en-ZW"/>
        </w:rPr>
        <w:t xml:space="preserve">There are many lessons to be learnt on </w:t>
      </w:r>
      <w:r w:rsidRPr="0010790B">
        <w:rPr>
          <w:rFonts w:ascii="Times New Roman" w:hAnsi="Times New Roman"/>
          <w:lang w:val="en-ZW"/>
        </w:rPr>
        <w:t>how to leverage CSOT/S for real Community Engagement and Development</w:t>
      </w:r>
    </w:p>
    <w:p w:rsidR="007910A1" w:rsidRPr="0010790B" w:rsidRDefault="007910A1" w:rsidP="0010790B">
      <w:pPr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</w:p>
    <w:p w:rsidR="007910A1" w:rsidRPr="0010790B" w:rsidRDefault="007910A1" w:rsidP="0010790B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en-ZW"/>
        </w:rPr>
      </w:pPr>
      <w:r w:rsidRPr="0010790B">
        <w:rPr>
          <w:rFonts w:ascii="Times New Roman" w:hAnsi="Times New Roman"/>
          <w:b/>
          <w:lang w:val="en-ZW"/>
        </w:rPr>
        <w:t>What to monitor</w:t>
      </w:r>
    </w:p>
    <w:p w:rsidR="007910A1" w:rsidRPr="0010790B" w:rsidRDefault="007910A1" w:rsidP="001079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The status of the CSOTs </w:t>
      </w:r>
    </w:p>
    <w:p w:rsidR="007910A1" w:rsidRPr="0010790B" w:rsidRDefault="007910A1" w:rsidP="001079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Obligations of mining companies </w:t>
      </w:r>
    </w:p>
    <w:p w:rsidR="007910A1" w:rsidRPr="0010790B" w:rsidRDefault="007910A1" w:rsidP="001079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>CSOTs investments</w:t>
      </w:r>
    </w:p>
    <w:p w:rsidR="007910A1" w:rsidRPr="0010790B" w:rsidRDefault="007910A1" w:rsidP="001079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Services provided through CSOTs </w:t>
      </w:r>
    </w:p>
    <w:p w:rsidR="007910A1" w:rsidRPr="0010790B" w:rsidRDefault="007910A1" w:rsidP="0010790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  <w:r w:rsidRPr="0010790B">
        <w:rPr>
          <w:rFonts w:ascii="Times New Roman" w:hAnsi="Times New Roman"/>
          <w:lang w:val="en-ZW"/>
        </w:rPr>
        <w:t xml:space="preserve">Community participation in deciding on CSOT initiatives </w:t>
      </w:r>
    </w:p>
    <w:p w:rsidR="00CC6940" w:rsidRPr="0010790B" w:rsidRDefault="00CC6940" w:rsidP="0010790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lang w:val="en-ZW"/>
        </w:rPr>
      </w:pPr>
    </w:p>
    <w:p w:rsidR="00CC6940" w:rsidRDefault="0010790B" w:rsidP="0010790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4.</w:t>
      </w:r>
      <w:r w:rsidRPr="0010790B">
        <w:rPr>
          <w:rFonts w:ascii="Times New Roman" w:hAnsi="Times New Roman"/>
          <w:b/>
        </w:rPr>
        <w:t>Monitoring</w:t>
      </w:r>
      <w:proofErr w:type="gramEnd"/>
      <w:r w:rsidRPr="0010790B">
        <w:rPr>
          <w:rFonts w:ascii="Times New Roman" w:hAnsi="Times New Roman"/>
          <w:b/>
        </w:rPr>
        <w:t xml:space="preserve"> </w:t>
      </w:r>
      <w:r w:rsidR="00C81C2F" w:rsidRPr="0010790B">
        <w:rPr>
          <w:rFonts w:ascii="Times New Roman" w:hAnsi="Times New Roman"/>
          <w:b/>
        </w:rPr>
        <w:t>Local enterprise development</w:t>
      </w:r>
    </w:p>
    <w:p w:rsidR="0010790B" w:rsidRDefault="0010790B" w:rsidP="0010790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10790B" w:rsidRPr="0010790B" w:rsidRDefault="0010790B" w:rsidP="001079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 enterprise development is concerned about how the mining sector links with other sectors like agriculture and manufacturing sectors so that the money generated injects into the other economic sectors </w:t>
      </w:r>
    </w:p>
    <w:p w:rsidR="00C81C2F" w:rsidRPr="0010790B" w:rsidRDefault="00C81C2F" w:rsidP="0010790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7910A1" w:rsidRPr="0010790B" w:rsidRDefault="007910A1" w:rsidP="0010790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0790B">
        <w:rPr>
          <w:rFonts w:ascii="Times New Roman" w:hAnsi="Times New Roman"/>
          <w:b/>
        </w:rPr>
        <w:t xml:space="preserve">What to monitor </w:t>
      </w:r>
    </w:p>
    <w:p w:rsidR="00B113D3" w:rsidRPr="0010790B" w:rsidRDefault="00B113D3" w:rsidP="001079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790B">
        <w:rPr>
          <w:rFonts w:ascii="Times New Roman" w:hAnsi="Times New Roman"/>
        </w:rPr>
        <w:t>What businesses have developed because of the mining company</w:t>
      </w:r>
    </w:p>
    <w:p w:rsidR="007910A1" w:rsidRPr="0010790B" w:rsidRDefault="00B113D3" w:rsidP="001079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790B">
        <w:rPr>
          <w:rFonts w:ascii="Times New Roman" w:hAnsi="Times New Roman"/>
        </w:rPr>
        <w:t>What other sectors are benefiting</w:t>
      </w:r>
      <w:r w:rsidR="007910A1" w:rsidRPr="0010790B">
        <w:rPr>
          <w:rFonts w:ascii="Times New Roman" w:hAnsi="Times New Roman"/>
        </w:rPr>
        <w:t xml:space="preserve"> from mining </w:t>
      </w:r>
      <w:r w:rsidRPr="0010790B">
        <w:rPr>
          <w:rFonts w:ascii="Times New Roman" w:hAnsi="Times New Roman"/>
        </w:rPr>
        <w:t>(</w:t>
      </w:r>
      <w:proofErr w:type="spellStart"/>
      <w:r w:rsidRPr="0010790B">
        <w:rPr>
          <w:rFonts w:ascii="Times New Roman" w:hAnsi="Times New Roman"/>
        </w:rPr>
        <w:t>e.g</w:t>
      </w:r>
      <w:proofErr w:type="spellEnd"/>
      <w:r w:rsidRPr="0010790B">
        <w:rPr>
          <w:rFonts w:ascii="Times New Roman" w:hAnsi="Times New Roman"/>
        </w:rPr>
        <w:t xml:space="preserve"> agriculture, industry </w:t>
      </w:r>
      <w:proofErr w:type="spellStart"/>
      <w:r w:rsidRPr="0010790B">
        <w:rPr>
          <w:rFonts w:ascii="Times New Roman" w:hAnsi="Times New Roman"/>
        </w:rPr>
        <w:t>etc</w:t>
      </w:r>
      <w:proofErr w:type="spellEnd"/>
      <w:r w:rsidRPr="0010790B">
        <w:rPr>
          <w:rFonts w:ascii="Times New Roman" w:hAnsi="Times New Roman"/>
        </w:rPr>
        <w:t xml:space="preserve"> at the local level) </w:t>
      </w:r>
    </w:p>
    <w:p w:rsidR="00B113D3" w:rsidRPr="0010790B" w:rsidRDefault="007910A1" w:rsidP="001079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790B">
        <w:rPr>
          <w:rFonts w:ascii="Times New Roman" w:hAnsi="Times New Roman"/>
        </w:rPr>
        <w:t>What opportunities exist for local businesses</w:t>
      </w:r>
      <w:r w:rsidR="00B113D3" w:rsidRPr="0010790B">
        <w:rPr>
          <w:rFonts w:ascii="Times New Roman" w:hAnsi="Times New Roman"/>
        </w:rPr>
        <w:t xml:space="preserve"> to do business with the mining companies </w:t>
      </w:r>
      <w:r w:rsidRPr="0010790B">
        <w:rPr>
          <w:rFonts w:ascii="Times New Roman" w:hAnsi="Times New Roman"/>
        </w:rPr>
        <w:t xml:space="preserve"> </w:t>
      </w:r>
    </w:p>
    <w:p w:rsidR="007910A1" w:rsidRPr="0010790B" w:rsidRDefault="007910A1" w:rsidP="001079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790B">
        <w:rPr>
          <w:rFonts w:ascii="Times New Roman" w:hAnsi="Times New Roman"/>
        </w:rPr>
        <w:t xml:space="preserve">What is procured from the local arears by the mining companies </w:t>
      </w:r>
    </w:p>
    <w:p w:rsidR="00B113D3" w:rsidRPr="0010790B" w:rsidRDefault="00B113D3" w:rsidP="001079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0790B">
        <w:rPr>
          <w:rFonts w:ascii="Times New Roman" w:hAnsi="Times New Roman"/>
        </w:rPr>
        <w:t xml:space="preserve">What investments is the mining company putting in place to support emerging local businesses </w:t>
      </w:r>
    </w:p>
    <w:p w:rsidR="00B113D3" w:rsidRDefault="00B113D3" w:rsidP="0010790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10790B">
        <w:rPr>
          <w:rFonts w:ascii="Times New Roman" w:hAnsi="Times New Roman"/>
        </w:rPr>
        <w:t xml:space="preserve">Are there any local artisanal miners that are benefiting from </w:t>
      </w:r>
      <w:proofErr w:type="spellStart"/>
      <w:r w:rsidRPr="0010790B">
        <w:rPr>
          <w:rFonts w:ascii="Times New Roman" w:hAnsi="Times New Roman"/>
        </w:rPr>
        <w:t>knowlesge</w:t>
      </w:r>
      <w:proofErr w:type="spellEnd"/>
      <w:r w:rsidRPr="0010790B">
        <w:rPr>
          <w:rFonts w:ascii="Times New Roman" w:hAnsi="Times New Roman"/>
        </w:rPr>
        <w:t>, skills and technology of large scale mining compan</w:t>
      </w:r>
      <w:r>
        <w:t xml:space="preserve">ies </w:t>
      </w:r>
    </w:p>
    <w:sectPr w:rsidR="00B113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23" w:rsidRDefault="00A34C23" w:rsidP="00285A6F">
      <w:r>
        <w:separator/>
      </w:r>
    </w:p>
  </w:endnote>
  <w:endnote w:type="continuationSeparator" w:id="0">
    <w:p w:rsidR="00A34C23" w:rsidRDefault="00A34C23" w:rsidP="0028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23" w:rsidRDefault="00A34C23" w:rsidP="00285A6F">
      <w:r>
        <w:separator/>
      </w:r>
    </w:p>
  </w:footnote>
  <w:footnote w:type="continuationSeparator" w:id="0">
    <w:p w:rsidR="00A34C23" w:rsidRDefault="00A34C23" w:rsidP="00285A6F">
      <w:r>
        <w:continuationSeparator/>
      </w:r>
    </w:p>
  </w:footnote>
  <w:footnote w:id="1">
    <w:p w:rsidR="0010790B" w:rsidRPr="006420E9" w:rsidRDefault="0010790B" w:rsidP="0010790B">
      <w:pPr>
        <w:pStyle w:val="FootnoteText"/>
        <w:jc w:val="both"/>
        <w:rPr>
          <w:rFonts w:ascii="Times" w:hAnsi="Time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/>
        </w:rPr>
        <w:t xml:space="preserve">While states are </w:t>
      </w:r>
      <w:r w:rsidRPr="002E18BB">
        <w:rPr>
          <w:rFonts w:ascii="Times" w:hAnsi="Times"/>
        </w:rPr>
        <w:t>the primary duty bearers and therefore have the primary responsibility to promote</w:t>
      </w:r>
      <w:r>
        <w:rPr>
          <w:rFonts w:ascii="Times" w:hAnsi="Times"/>
        </w:rPr>
        <w:t>, secure the respect and fulfil</w:t>
      </w:r>
      <w:r w:rsidRPr="002E18BB">
        <w:rPr>
          <w:rFonts w:ascii="Times" w:hAnsi="Times"/>
        </w:rPr>
        <w:t>ment of human rights, business enterprises also have a responsibility t</w:t>
      </w:r>
      <w:r>
        <w:rPr>
          <w:rFonts w:ascii="Times" w:hAnsi="Times"/>
        </w:rPr>
        <w:t>o contribute towards the fulfil</w:t>
      </w:r>
      <w:r w:rsidRPr="002E18BB">
        <w:rPr>
          <w:rFonts w:ascii="Times" w:hAnsi="Times"/>
        </w:rPr>
        <w:t xml:space="preserve">ment and promotion of human rights as set under the </w:t>
      </w:r>
      <w:r>
        <w:rPr>
          <w:rFonts w:ascii="Times" w:hAnsi="Times"/>
        </w:rPr>
        <w:t xml:space="preserve">Constitution </w:t>
      </w:r>
    </w:p>
    <w:p w:rsidR="0010790B" w:rsidRDefault="0010790B" w:rsidP="0010790B">
      <w:pPr>
        <w:autoSpaceDE w:val="0"/>
        <w:autoSpaceDN w:val="0"/>
        <w:adjustRightInd w:val="0"/>
      </w:pPr>
    </w:p>
    <w:p w:rsidR="0010790B" w:rsidRPr="0010790B" w:rsidRDefault="0010790B">
      <w:pPr>
        <w:pStyle w:val="FootnoteText"/>
        <w:rPr>
          <w:lang w:val="en-Z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C08"/>
    <w:multiLevelType w:val="hybridMultilevel"/>
    <w:tmpl w:val="8976F7A2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192"/>
    <w:multiLevelType w:val="hybridMultilevel"/>
    <w:tmpl w:val="6C2AE70C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FB3"/>
    <w:multiLevelType w:val="hybridMultilevel"/>
    <w:tmpl w:val="F2EA8C46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6791E"/>
    <w:multiLevelType w:val="hybridMultilevel"/>
    <w:tmpl w:val="9C76E66E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1B5"/>
    <w:multiLevelType w:val="hybridMultilevel"/>
    <w:tmpl w:val="491ADC66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A66C1"/>
    <w:multiLevelType w:val="hybridMultilevel"/>
    <w:tmpl w:val="87601262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069B"/>
    <w:multiLevelType w:val="hybridMultilevel"/>
    <w:tmpl w:val="1710160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0F12"/>
    <w:multiLevelType w:val="hybridMultilevel"/>
    <w:tmpl w:val="C95206C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39DF"/>
    <w:multiLevelType w:val="hybridMultilevel"/>
    <w:tmpl w:val="CF28DA9A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F52A2"/>
    <w:multiLevelType w:val="hybridMultilevel"/>
    <w:tmpl w:val="AD5C1174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32177"/>
    <w:multiLevelType w:val="hybridMultilevel"/>
    <w:tmpl w:val="1B5046A6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070F"/>
    <w:multiLevelType w:val="hybridMultilevel"/>
    <w:tmpl w:val="EE6C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1CB5"/>
    <w:multiLevelType w:val="hybridMultilevel"/>
    <w:tmpl w:val="E5FEF30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71600"/>
    <w:multiLevelType w:val="hybridMultilevel"/>
    <w:tmpl w:val="81D4039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533A"/>
    <w:multiLevelType w:val="hybridMultilevel"/>
    <w:tmpl w:val="183E4C48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61DF6"/>
    <w:multiLevelType w:val="hybridMultilevel"/>
    <w:tmpl w:val="29D4F420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7738"/>
    <w:multiLevelType w:val="hybridMultilevel"/>
    <w:tmpl w:val="E7EE3330"/>
    <w:lvl w:ilvl="0" w:tplc="3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12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F"/>
    <w:rsid w:val="0010790B"/>
    <w:rsid w:val="0024643E"/>
    <w:rsid w:val="00256511"/>
    <w:rsid w:val="00285A6F"/>
    <w:rsid w:val="00295D18"/>
    <w:rsid w:val="00326891"/>
    <w:rsid w:val="005B22FB"/>
    <w:rsid w:val="005E4F0E"/>
    <w:rsid w:val="006F2CAF"/>
    <w:rsid w:val="007910A1"/>
    <w:rsid w:val="0079598F"/>
    <w:rsid w:val="00795C6F"/>
    <w:rsid w:val="00A34C23"/>
    <w:rsid w:val="00B113D3"/>
    <w:rsid w:val="00BE3777"/>
    <w:rsid w:val="00C2336F"/>
    <w:rsid w:val="00C81C2F"/>
    <w:rsid w:val="00CC6940"/>
    <w:rsid w:val="00CF0F62"/>
    <w:rsid w:val="00F5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EE98F-1732-4B35-B245-9532CED9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6F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85A6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85A6F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semiHidden/>
    <w:rsid w:val="00285A6F"/>
    <w:rPr>
      <w:vertAlign w:val="superscript"/>
    </w:rPr>
  </w:style>
  <w:style w:type="table" w:styleId="TableGrid">
    <w:name w:val="Table Grid"/>
    <w:basedOn w:val="TableNormal"/>
    <w:uiPriority w:val="59"/>
    <w:rsid w:val="0028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D02B-1D0C-4398-84F4-053B383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Nyaradzo</dc:creator>
  <cp:lastModifiedBy>Eniko Horvath</cp:lastModifiedBy>
  <cp:revision>2</cp:revision>
  <dcterms:created xsi:type="dcterms:W3CDTF">2015-10-28T12:12:00Z</dcterms:created>
  <dcterms:modified xsi:type="dcterms:W3CDTF">2015-10-28T12:12:00Z</dcterms:modified>
</cp:coreProperties>
</file>