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3F369" w14:textId="2E047DCA" w:rsidR="00475689" w:rsidRDefault="00475689" w:rsidP="004254BF">
      <w:pPr>
        <w:jc w:val="center"/>
        <w:rPr>
          <w:rFonts w:cs="Times New Roman"/>
          <w:b/>
          <w:sz w:val="52"/>
          <w:szCs w:val="52"/>
        </w:rPr>
      </w:pPr>
      <w:bookmarkStart w:id="0" w:name="_GoBack"/>
      <w:bookmarkEnd w:id="0"/>
    </w:p>
    <w:p w14:paraId="7D5A6D65" w14:textId="1123B2AE" w:rsidR="00097653" w:rsidRDefault="00097653" w:rsidP="004254BF">
      <w:pPr>
        <w:jc w:val="center"/>
        <w:rPr>
          <w:rFonts w:cs="Times New Roman"/>
          <w:b/>
          <w:sz w:val="52"/>
          <w:szCs w:val="52"/>
        </w:rPr>
      </w:pPr>
    </w:p>
    <w:p w14:paraId="218A81C6" w14:textId="77777777" w:rsidR="00097653" w:rsidRPr="00FD3029" w:rsidRDefault="00097653" w:rsidP="004254BF">
      <w:pPr>
        <w:jc w:val="center"/>
        <w:rPr>
          <w:rFonts w:cs="Times New Roman"/>
          <w:b/>
          <w:sz w:val="52"/>
          <w:szCs w:val="52"/>
        </w:rPr>
      </w:pPr>
    </w:p>
    <w:p w14:paraId="272DF736" w14:textId="77777777" w:rsidR="004254BF" w:rsidRPr="00FD3029" w:rsidRDefault="004254BF" w:rsidP="00475689">
      <w:pPr>
        <w:jc w:val="center"/>
        <w:rPr>
          <w:rFonts w:cs="Times New Roman"/>
          <w:b/>
          <w:sz w:val="52"/>
          <w:szCs w:val="52"/>
        </w:rPr>
      </w:pPr>
      <w:r w:rsidRPr="00FD3029">
        <w:rPr>
          <w:rFonts w:cs="Times New Roman"/>
          <w:b/>
          <w:sz w:val="52"/>
          <w:szCs w:val="52"/>
        </w:rPr>
        <w:t>Accountability and Remedy Project</w:t>
      </w:r>
    </w:p>
    <w:p w14:paraId="297193F5" w14:textId="77777777" w:rsidR="004254BF" w:rsidRPr="00FD3029" w:rsidRDefault="004254BF" w:rsidP="00475689">
      <w:pPr>
        <w:jc w:val="center"/>
        <w:rPr>
          <w:rFonts w:cs="Times New Roman"/>
          <w:b/>
          <w:sz w:val="52"/>
          <w:szCs w:val="52"/>
        </w:rPr>
      </w:pPr>
    </w:p>
    <w:p w14:paraId="0545E078" w14:textId="77777777" w:rsidR="004254BF" w:rsidRPr="00FD3029" w:rsidRDefault="004254BF" w:rsidP="00475689">
      <w:pPr>
        <w:jc w:val="center"/>
        <w:rPr>
          <w:rFonts w:cs="Times New Roman"/>
          <w:b/>
          <w:sz w:val="52"/>
          <w:szCs w:val="52"/>
        </w:rPr>
      </w:pPr>
      <w:r w:rsidRPr="00FD3029">
        <w:rPr>
          <w:rFonts w:cs="Times New Roman"/>
          <w:b/>
          <w:sz w:val="52"/>
          <w:szCs w:val="52"/>
        </w:rPr>
        <w:t>Part III: Non-State-based grievance mechanisms</w:t>
      </w:r>
    </w:p>
    <w:p w14:paraId="64C1137D" w14:textId="77777777" w:rsidR="004254BF" w:rsidRPr="00FD3029" w:rsidRDefault="004254BF" w:rsidP="00475689">
      <w:pPr>
        <w:jc w:val="center"/>
        <w:rPr>
          <w:rFonts w:cs="Times New Roman"/>
          <w:b/>
          <w:sz w:val="32"/>
          <w:szCs w:val="32"/>
        </w:rPr>
      </w:pPr>
    </w:p>
    <w:p w14:paraId="5E158F94" w14:textId="77777777" w:rsidR="004254BF" w:rsidRPr="00FD3029" w:rsidRDefault="004254BF" w:rsidP="00475689">
      <w:pPr>
        <w:jc w:val="center"/>
        <w:rPr>
          <w:rFonts w:cs="Times New Roman"/>
          <w:b/>
          <w:sz w:val="40"/>
          <w:szCs w:val="40"/>
        </w:rPr>
      </w:pPr>
      <w:r w:rsidRPr="00FD3029">
        <w:rPr>
          <w:rFonts w:cs="Times New Roman"/>
          <w:b/>
          <w:sz w:val="40"/>
          <w:szCs w:val="40"/>
        </w:rPr>
        <w:t>Enhancing effectiveness of non-State-based grievance mechanisms in cases of business-related human rights abuse</w:t>
      </w:r>
    </w:p>
    <w:p w14:paraId="7C32138D" w14:textId="77777777" w:rsidR="004254BF" w:rsidRPr="00FD3029" w:rsidRDefault="004254BF" w:rsidP="00475689">
      <w:pPr>
        <w:jc w:val="center"/>
        <w:rPr>
          <w:rFonts w:cs="Times New Roman"/>
          <w:b/>
          <w:sz w:val="32"/>
          <w:szCs w:val="32"/>
        </w:rPr>
      </w:pPr>
    </w:p>
    <w:p w14:paraId="282512EB" w14:textId="77777777" w:rsidR="001F7142" w:rsidRDefault="001F7142" w:rsidP="00475689">
      <w:pPr>
        <w:jc w:val="center"/>
        <w:rPr>
          <w:rFonts w:cs="Times New Roman"/>
          <w:b/>
          <w:sz w:val="32"/>
          <w:szCs w:val="32"/>
        </w:rPr>
      </w:pPr>
    </w:p>
    <w:p w14:paraId="31537D3D" w14:textId="77777777" w:rsidR="00475689" w:rsidRDefault="004254BF" w:rsidP="00475689">
      <w:pPr>
        <w:jc w:val="center"/>
        <w:rPr>
          <w:rFonts w:cs="Times New Roman"/>
          <w:b/>
          <w:sz w:val="32"/>
          <w:szCs w:val="32"/>
        </w:rPr>
      </w:pPr>
      <w:r w:rsidRPr="00FD3029">
        <w:rPr>
          <w:rFonts w:cs="Times New Roman"/>
          <w:b/>
          <w:sz w:val="32"/>
          <w:szCs w:val="32"/>
        </w:rPr>
        <w:t xml:space="preserve">Discussion </w:t>
      </w:r>
      <w:r w:rsidR="00475689" w:rsidRPr="00FD3029">
        <w:rPr>
          <w:rFonts w:cs="Times New Roman"/>
          <w:b/>
          <w:sz w:val="32"/>
          <w:szCs w:val="32"/>
        </w:rPr>
        <w:t>P</w:t>
      </w:r>
      <w:r w:rsidRPr="00FD3029">
        <w:rPr>
          <w:rFonts w:cs="Times New Roman"/>
          <w:b/>
          <w:sz w:val="32"/>
          <w:szCs w:val="32"/>
        </w:rPr>
        <w:t xml:space="preserve">aper </w:t>
      </w:r>
    </w:p>
    <w:p w14:paraId="6AF86C04" w14:textId="77777777" w:rsidR="001F7142" w:rsidRDefault="001F7142" w:rsidP="00475689">
      <w:pPr>
        <w:jc w:val="center"/>
        <w:rPr>
          <w:rFonts w:cs="Times New Roman"/>
          <w:b/>
          <w:sz w:val="32"/>
          <w:szCs w:val="32"/>
        </w:rPr>
      </w:pPr>
    </w:p>
    <w:p w14:paraId="5754D402" w14:textId="77777777" w:rsidR="001F7142" w:rsidRPr="00FD3029" w:rsidRDefault="001F7142" w:rsidP="00475689">
      <w:pPr>
        <w:jc w:val="center"/>
        <w:rPr>
          <w:rFonts w:cs="Times New Roman"/>
          <w:b/>
          <w:sz w:val="32"/>
          <w:szCs w:val="32"/>
        </w:rPr>
      </w:pPr>
    </w:p>
    <w:p w14:paraId="6C56229F" w14:textId="24AD18AD" w:rsidR="004254BF" w:rsidRPr="00FD3029" w:rsidRDefault="009A50F7" w:rsidP="00475689">
      <w:pPr>
        <w:jc w:val="center"/>
        <w:rPr>
          <w:rFonts w:cs="Times New Roman"/>
          <w:b/>
          <w:sz w:val="32"/>
          <w:szCs w:val="32"/>
        </w:rPr>
      </w:pPr>
      <w:r w:rsidRPr="009A50F7">
        <w:rPr>
          <w:rFonts w:cs="Times New Roman"/>
          <w:b/>
          <w:sz w:val="32"/>
          <w:szCs w:val="32"/>
        </w:rPr>
        <w:t>19</w:t>
      </w:r>
      <w:r w:rsidR="00475689" w:rsidRPr="00FD3029">
        <w:rPr>
          <w:rFonts w:cs="Times New Roman"/>
          <w:b/>
          <w:sz w:val="32"/>
          <w:szCs w:val="32"/>
        </w:rPr>
        <w:t xml:space="preserve"> November 2019</w:t>
      </w:r>
    </w:p>
    <w:p w14:paraId="3F7B1C0E" w14:textId="77777777" w:rsidR="004254BF" w:rsidRPr="00FD3029" w:rsidRDefault="004254BF" w:rsidP="00475689">
      <w:pPr>
        <w:jc w:val="center"/>
        <w:rPr>
          <w:rFonts w:cs="Times New Roman"/>
          <w:b/>
          <w:sz w:val="32"/>
          <w:szCs w:val="32"/>
        </w:rPr>
      </w:pPr>
    </w:p>
    <w:p w14:paraId="70F02D4F" w14:textId="77777777" w:rsidR="004254BF" w:rsidRPr="00FD3029" w:rsidRDefault="004254BF" w:rsidP="00475689">
      <w:pPr>
        <w:rPr>
          <w:rFonts w:cs="Times New Roman"/>
          <w:b/>
          <w:sz w:val="32"/>
          <w:szCs w:val="32"/>
        </w:rPr>
      </w:pPr>
      <w:r w:rsidRPr="00FD3029">
        <w:rPr>
          <w:rFonts w:cs="Times New Roman"/>
          <w:b/>
          <w:sz w:val="32"/>
          <w:szCs w:val="32"/>
        </w:rPr>
        <w:br w:type="page"/>
      </w:r>
    </w:p>
    <w:p w14:paraId="490722F0" w14:textId="77777777" w:rsidR="004254BF" w:rsidRPr="00FD3029" w:rsidRDefault="00DC219E" w:rsidP="00475689">
      <w:pPr>
        <w:pStyle w:val="Heading1"/>
        <w:spacing w:before="0"/>
        <w:rPr>
          <w:rFonts w:cs="Times New Roman"/>
        </w:rPr>
      </w:pPr>
      <w:bookmarkStart w:id="1" w:name="_Toc24703333"/>
      <w:bookmarkStart w:id="2" w:name="_Toc25057777"/>
      <w:r w:rsidRPr="00FD3029">
        <w:rPr>
          <w:rFonts w:cs="Times New Roman"/>
        </w:rPr>
        <w:lastRenderedPageBreak/>
        <w:t>Executive S</w:t>
      </w:r>
      <w:r w:rsidR="004254BF" w:rsidRPr="00FD3029">
        <w:rPr>
          <w:rFonts w:cs="Times New Roman"/>
        </w:rPr>
        <w:t>ummary</w:t>
      </w:r>
      <w:bookmarkEnd w:id="1"/>
      <w:bookmarkEnd w:id="2"/>
    </w:p>
    <w:p w14:paraId="31D4391D" w14:textId="77777777" w:rsidR="00DC219E" w:rsidRPr="00FD3029" w:rsidRDefault="00DC219E" w:rsidP="00475689">
      <w:pPr>
        <w:jc w:val="both"/>
        <w:rPr>
          <w:rFonts w:cs="Times New Roman"/>
          <w:szCs w:val="24"/>
        </w:rPr>
      </w:pPr>
    </w:p>
    <w:p w14:paraId="359FE4E7" w14:textId="77777777" w:rsidR="004254BF" w:rsidRPr="00FD3029" w:rsidRDefault="004254BF" w:rsidP="00475689">
      <w:pPr>
        <w:jc w:val="both"/>
        <w:rPr>
          <w:rFonts w:cs="Times New Roman"/>
          <w:szCs w:val="24"/>
        </w:rPr>
      </w:pPr>
      <w:r w:rsidRPr="00FD3029">
        <w:rPr>
          <w:rFonts w:cs="Times New Roman"/>
          <w:szCs w:val="24"/>
        </w:rPr>
        <w:t xml:space="preserve">This discussion paper has been prepared as part of an ongoing programme of work convened by OHCHR known as the Accountability and Remedy Project. </w:t>
      </w:r>
    </w:p>
    <w:p w14:paraId="521D43D0" w14:textId="77777777" w:rsidR="00475689" w:rsidRPr="00FD3029" w:rsidRDefault="00475689" w:rsidP="00475689">
      <w:pPr>
        <w:jc w:val="both"/>
        <w:rPr>
          <w:rFonts w:cs="Times New Roman"/>
          <w:szCs w:val="24"/>
        </w:rPr>
      </w:pPr>
    </w:p>
    <w:p w14:paraId="47BF70DB" w14:textId="1167B8BE" w:rsidR="004254BF" w:rsidRPr="00FD3029" w:rsidRDefault="004254BF" w:rsidP="00475689">
      <w:pPr>
        <w:pStyle w:val="NormalWeb"/>
        <w:spacing w:before="0" w:beforeAutospacing="0" w:after="0" w:afterAutospacing="0"/>
        <w:jc w:val="both"/>
      </w:pPr>
      <w:r w:rsidRPr="00FD3029">
        <w:t>Since 2014, OHCHR has received multiple mandates from the Human Rights Council (Resolutions </w:t>
      </w:r>
      <w:hyperlink r:id="rId8" w:history="1">
        <w:r w:rsidRPr="00FD3029">
          <w:rPr>
            <w:rStyle w:val="Hyperlink"/>
          </w:rPr>
          <w:t>26/22</w:t>
        </w:r>
      </w:hyperlink>
      <w:r w:rsidRPr="00FD3029">
        <w:t xml:space="preserve">, </w:t>
      </w:r>
      <w:hyperlink r:id="rId9" w:history="1">
        <w:r w:rsidRPr="00FD3029">
          <w:rPr>
            <w:rStyle w:val="Hyperlink"/>
          </w:rPr>
          <w:t>32/10</w:t>
        </w:r>
      </w:hyperlink>
      <w:r w:rsidR="00CF1BBA">
        <w:t>, and</w:t>
      </w:r>
      <w:r w:rsidRPr="00FD3029">
        <w:t xml:space="preserve"> </w:t>
      </w:r>
      <w:hyperlink r:id="rId10" w:history="1">
        <w:r w:rsidRPr="00FD3029">
          <w:rPr>
            <w:rStyle w:val="Hyperlink"/>
          </w:rPr>
          <w:t>38/13</w:t>
        </w:r>
      </w:hyperlink>
      <w:r w:rsidRPr="00FD3029">
        <w:t>) to strengthen the implementation of the “Access to Remedy” Pillar of the UN Guiding Principles on Business and Human Rights and thus improve the prospects for corporate accountability and remedy in business and human rights cases.</w:t>
      </w:r>
    </w:p>
    <w:p w14:paraId="165969C9" w14:textId="77777777" w:rsidR="00475689" w:rsidRPr="00FD3029" w:rsidRDefault="00475689" w:rsidP="00475689">
      <w:pPr>
        <w:pStyle w:val="NormalWeb"/>
        <w:spacing w:before="0" w:beforeAutospacing="0" w:after="0" w:afterAutospacing="0"/>
        <w:jc w:val="both"/>
      </w:pPr>
    </w:p>
    <w:p w14:paraId="7F3C10E4" w14:textId="77777777" w:rsidR="004254BF" w:rsidRPr="00FD3029" w:rsidRDefault="004254BF" w:rsidP="00475689">
      <w:pPr>
        <w:pStyle w:val="NormalWeb"/>
        <w:spacing w:before="0" w:beforeAutospacing="0" w:after="0" w:afterAutospacing="0"/>
        <w:jc w:val="both"/>
      </w:pPr>
      <w:r w:rsidRPr="00FD3029">
        <w:t xml:space="preserve">OHCHR has established the </w:t>
      </w:r>
      <w:hyperlink r:id="rId11" w:history="1">
        <w:r w:rsidRPr="00FD3029">
          <w:rPr>
            <w:rStyle w:val="Hyperlink"/>
          </w:rPr>
          <w:t>Accountability and Remedy Project (ARP)</w:t>
        </w:r>
      </w:hyperlink>
      <w:r w:rsidRPr="00FD3029">
        <w:t xml:space="preserve"> to deliver on these successive Council mandates.  Since its launch in 2014, this multi-year project has examined the access to remedy challenges at the national level and the actions (legal, policy-related, and practical) likely to be most effective at addressing them.</w:t>
      </w:r>
    </w:p>
    <w:p w14:paraId="3E6108F8" w14:textId="77777777" w:rsidR="00475689" w:rsidRPr="00FD3029" w:rsidRDefault="00475689" w:rsidP="00475689">
      <w:pPr>
        <w:pStyle w:val="NormalWeb"/>
        <w:spacing w:before="0" w:beforeAutospacing="0" w:after="0" w:afterAutospacing="0"/>
        <w:jc w:val="both"/>
      </w:pPr>
    </w:p>
    <w:tbl>
      <w:tblPr>
        <w:tblStyle w:val="TableGrid"/>
        <w:tblW w:w="0" w:type="auto"/>
        <w:tblLook w:val="04A0" w:firstRow="1" w:lastRow="0" w:firstColumn="1" w:lastColumn="0" w:noHBand="0" w:noVBand="1"/>
      </w:tblPr>
      <w:tblGrid>
        <w:gridCol w:w="9016"/>
      </w:tblGrid>
      <w:tr w:rsidR="004254BF" w:rsidRPr="00FD3029" w14:paraId="165EBDB1" w14:textId="77777777" w:rsidTr="00F3551A">
        <w:tc>
          <w:tcPr>
            <w:tcW w:w="9242" w:type="dxa"/>
            <w:shd w:val="clear" w:color="auto" w:fill="DEEAF6" w:themeFill="accent1" w:themeFillTint="33"/>
          </w:tcPr>
          <w:p w14:paraId="2BA1DB9A" w14:textId="77777777" w:rsidR="00D95E1B" w:rsidRDefault="004254BF">
            <w:pPr>
              <w:jc w:val="center"/>
              <w:rPr>
                <w:rFonts w:cs="Times New Roman"/>
                <w:b/>
                <w:sz w:val="28"/>
                <w:szCs w:val="28"/>
              </w:rPr>
            </w:pPr>
            <w:r w:rsidRPr="00FD3029">
              <w:rPr>
                <w:rFonts w:cs="Times New Roman"/>
                <w:b/>
                <w:sz w:val="28"/>
                <w:szCs w:val="28"/>
              </w:rPr>
              <w:t xml:space="preserve">OHCHR Accountability and Remedy Project: </w:t>
            </w:r>
            <w:r w:rsidR="00475689" w:rsidRPr="00FD3029">
              <w:rPr>
                <w:rFonts w:cs="Times New Roman"/>
                <w:b/>
                <w:sz w:val="28"/>
                <w:szCs w:val="28"/>
              </w:rPr>
              <w:t>P</w:t>
            </w:r>
            <w:r w:rsidRPr="00FD3029">
              <w:rPr>
                <w:rFonts w:cs="Times New Roman"/>
                <w:b/>
                <w:sz w:val="28"/>
                <w:szCs w:val="28"/>
              </w:rPr>
              <w:t xml:space="preserve">rogress </w:t>
            </w:r>
            <w:r w:rsidR="00475689" w:rsidRPr="00FD3029">
              <w:rPr>
                <w:rFonts w:cs="Times New Roman"/>
                <w:b/>
                <w:sz w:val="28"/>
                <w:szCs w:val="28"/>
              </w:rPr>
              <w:t>thus</w:t>
            </w:r>
            <w:r w:rsidRPr="00FD3029">
              <w:rPr>
                <w:rFonts w:cs="Times New Roman"/>
                <w:b/>
                <w:sz w:val="28"/>
                <w:szCs w:val="28"/>
              </w:rPr>
              <w:t xml:space="preserve"> far</w:t>
            </w:r>
          </w:p>
          <w:p w14:paraId="7B725DB0" w14:textId="77777777" w:rsidR="00475689" w:rsidRPr="00FD3029" w:rsidRDefault="00475689" w:rsidP="00475689">
            <w:pPr>
              <w:pStyle w:val="NormalWeb"/>
              <w:spacing w:before="0" w:beforeAutospacing="0" w:after="0" w:afterAutospacing="0"/>
              <w:jc w:val="both"/>
              <w:rPr>
                <w:color w:val="000000" w:themeColor="text1"/>
              </w:rPr>
            </w:pPr>
          </w:p>
          <w:p w14:paraId="6D81125C" w14:textId="77777777" w:rsidR="004254BF" w:rsidRPr="00FD3029" w:rsidRDefault="004254BF" w:rsidP="00475689">
            <w:pPr>
              <w:pStyle w:val="NormalWeb"/>
              <w:spacing w:before="0" w:beforeAutospacing="0" w:after="0" w:afterAutospacing="0"/>
              <w:jc w:val="both"/>
              <w:rPr>
                <w:color w:val="000000" w:themeColor="text1"/>
              </w:rPr>
            </w:pPr>
            <w:r w:rsidRPr="00FD3029">
              <w:rPr>
                <w:color w:val="000000" w:themeColor="text1"/>
              </w:rPr>
              <w:t>The A</w:t>
            </w:r>
            <w:r w:rsidR="00475689" w:rsidRPr="00FD3029">
              <w:rPr>
                <w:color w:val="000000" w:themeColor="text1"/>
              </w:rPr>
              <w:t xml:space="preserve">ccountability and </w:t>
            </w:r>
            <w:r w:rsidRPr="00FD3029">
              <w:rPr>
                <w:color w:val="000000" w:themeColor="text1"/>
              </w:rPr>
              <w:t>R</w:t>
            </w:r>
            <w:r w:rsidR="00475689" w:rsidRPr="00FD3029">
              <w:rPr>
                <w:color w:val="000000" w:themeColor="text1"/>
              </w:rPr>
              <w:t xml:space="preserve">emedy </w:t>
            </w:r>
            <w:r w:rsidRPr="00FD3029">
              <w:rPr>
                <w:color w:val="000000" w:themeColor="text1"/>
              </w:rPr>
              <w:t>P</w:t>
            </w:r>
            <w:r w:rsidR="00475689" w:rsidRPr="00FD3029">
              <w:rPr>
                <w:color w:val="000000" w:themeColor="text1"/>
              </w:rPr>
              <w:t>roject</w:t>
            </w:r>
            <w:r w:rsidRPr="00FD3029">
              <w:rPr>
                <w:color w:val="000000" w:themeColor="text1"/>
              </w:rPr>
              <w:t xml:space="preserve"> has proceeded in three phases, corresponding to the three mandates from the Human Rights Council.</w:t>
            </w:r>
          </w:p>
          <w:p w14:paraId="0BAA4325" w14:textId="77777777" w:rsidR="00475689" w:rsidRPr="00FD3029" w:rsidRDefault="00475689" w:rsidP="00475689">
            <w:pPr>
              <w:pStyle w:val="NormalWeb"/>
              <w:spacing w:before="0" w:beforeAutospacing="0" w:after="0" w:afterAutospacing="0"/>
              <w:jc w:val="both"/>
              <w:rPr>
                <w:color w:val="000000" w:themeColor="text1"/>
              </w:rPr>
            </w:pPr>
          </w:p>
          <w:p w14:paraId="1DDE8F53" w14:textId="77777777" w:rsidR="004254BF" w:rsidRPr="00FD3029" w:rsidRDefault="004254BF" w:rsidP="00475689">
            <w:pPr>
              <w:pStyle w:val="NormalWeb"/>
              <w:spacing w:before="0" w:beforeAutospacing="0" w:after="0" w:afterAutospacing="0"/>
              <w:jc w:val="both"/>
              <w:rPr>
                <w:color w:val="000000" w:themeColor="text1"/>
              </w:rPr>
            </w:pPr>
            <w:r w:rsidRPr="00FD3029">
              <w:rPr>
                <w:color w:val="000000" w:themeColor="text1"/>
              </w:rPr>
              <w:t xml:space="preserve">The </w:t>
            </w:r>
            <w:r w:rsidRPr="00FD3029">
              <w:rPr>
                <w:b/>
                <w:color w:val="000000" w:themeColor="text1"/>
              </w:rPr>
              <w:t>first phase</w:t>
            </w:r>
            <w:r w:rsidRPr="00FD3029">
              <w:rPr>
                <w:color w:val="000000" w:themeColor="text1"/>
              </w:rPr>
              <w:t xml:space="preserve"> of the Project (</w:t>
            </w:r>
            <w:hyperlink r:id="rId12" w:history="1">
              <w:r w:rsidRPr="00FD3029">
                <w:rPr>
                  <w:rStyle w:val="Hyperlink"/>
                </w:rPr>
                <w:t>ARP I, 2014-2016</w:t>
              </w:r>
            </w:hyperlink>
            <w:r w:rsidRPr="00FD3029">
              <w:rPr>
                <w:color w:val="000000" w:themeColor="text1"/>
              </w:rPr>
              <w:t xml:space="preserve">) focussed on the role of </w:t>
            </w:r>
            <w:r w:rsidRPr="00FD3029">
              <w:rPr>
                <w:b/>
                <w:color w:val="000000" w:themeColor="text1"/>
              </w:rPr>
              <w:t>judicial mechanisms</w:t>
            </w:r>
            <w:r w:rsidR="00DF4F0F" w:rsidRPr="00322190">
              <w:rPr>
                <w:color w:val="000000" w:themeColor="text1"/>
              </w:rPr>
              <w:t xml:space="preserve"> (e.g. domestic courts)</w:t>
            </w:r>
            <w:r w:rsidRPr="00FD3029">
              <w:rPr>
                <w:color w:val="000000" w:themeColor="text1"/>
              </w:rPr>
              <w:t xml:space="preserve">.  </w:t>
            </w:r>
            <w:r w:rsidRPr="00FD3029">
              <w:t xml:space="preserve">OHCHR’s findings and recommended actions in relation to </w:t>
            </w:r>
            <w:r w:rsidRPr="00FD3029">
              <w:rPr>
                <w:bCs/>
              </w:rPr>
              <w:t xml:space="preserve">judicial mechanisms </w:t>
            </w:r>
            <w:r w:rsidRPr="00FD3029">
              <w:t xml:space="preserve">can be found in its </w:t>
            </w:r>
            <w:hyperlink r:id="rId13" w:history="1">
              <w:r w:rsidRPr="00FD3029">
                <w:rPr>
                  <w:rStyle w:val="Hyperlink"/>
                  <w:bCs/>
                </w:rPr>
                <w:t>2016 report to the Human Rights Council</w:t>
              </w:r>
            </w:hyperlink>
            <w:r w:rsidRPr="00FD3029">
              <w:t>. </w:t>
            </w:r>
          </w:p>
          <w:p w14:paraId="7E2D356C" w14:textId="77777777" w:rsidR="00475689" w:rsidRPr="00FD3029" w:rsidRDefault="00475689" w:rsidP="00475689">
            <w:pPr>
              <w:pStyle w:val="NormalWeb"/>
              <w:spacing w:before="0" w:beforeAutospacing="0" w:after="0" w:afterAutospacing="0"/>
              <w:jc w:val="both"/>
            </w:pPr>
          </w:p>
          <w:p w14:paraId="27675B02" w14:textId="77777777" w:rsidR="004254BF" w:rsidRPr="00FD3029" w:rsidRDefault="004254BF" w:rsidP="00475689">
            <w:pPr>
              <w:pStyle w:val="NormalWeb"/>
              <w:spacing w:before="0" w:beforeAutospacing="0" w:after="0" w:afterAutospacing="0"/>
              <w:jc w:val="both"/>
              <w:rPr>
                <w:rStyle w:val="Strong"/>
                <w:b w:val="0"/>
              </w:rPr>
            </w:pPr>
            <w:r w:rsidRPr="00FD3029">
              <w:t xml:space="preserve">The </w:t>
            </w:r>
            <w:r w:rsidRPr="00FD3029">
              <w:rPr>
                <w:b/>
              </w:rPr>
              <w:t>second phase</w:t>
            </w:r>
            <w:r w:rsidRPr="00FD3029">
              <w:t xml:space="preserve"> of the Project (</w:t>
            </w:r>
            <w:hyperlink r:id="rId14" w:history="1">
              <w:r w:rsidRPr="00FD3029">
                <w:rPr>
                  <w:rStyle w:val="Hyperlink"/>
                </w:rPr>
                <w:t>ARP II, 2016-2018</w:t>
              </w:r>
            </w:hyperlink>
            <w:r w:rsidRPr="00FD3029">
              <w:t xml:space="preserve">) was concerned with the role of </w:t>
            </w:r>
            <w:r w:rsidRPr="00FD3029">
              <w:rPr>
                <w:b/>
                <w:bCs/>
              </w:rPr>
              <w:t>State-based non-judicial grievance mechanisms</w:t>
            </w:r>
            <w:r w:rsidR="00DF4F0F" w:rsidRPr="00322190">
              <w:rPr>
                <w:bCs/>
              </w:rPr>
              <w:t xml:space="preserve"> (e.g. regulators, ombudsmen, national human rights institutions, national contact points under the OECD Guidelines for Multinational Enterprises, etc.)</w:t>
            </w:r>
            <w:r w:rsidRPr="00FD3029">
              <w:rPr>
                <w:bCs/>
              </w:rPr>
              <w:t xml:space="preserve">.  OHCHR’s findings and recommended actions at the conclusion of that phase of work </w:t>
            </w:r>
            <w:r w:rsidRPr="00FD3029">
              <w:t xml:space="preserve">are set out in its </w:t>
            </w:r>
            <w:hyperlink r:id="rId15" w:history="1">
              <w:r w:rsidRPr="00FD3029">
                <w:rPr>
                  <w:rStyle w:val="Hyperlink"/>
                  <w:bCs/>
                </w:rPr>
                <w:t>2018 report</w:t>
              </w:r>
            </w:hyperlink>
            <w:r w:rsidR="00DF4F0F" w:rsidRPr="00DF4F0F">
              <w:rPr>
                <w:rStyle w:val="Strong"/>
                <w:b w:val="0"/>
              </w:rPr>
              <w:t xml:space="preserve">. </w:t>
            </w:r>
          </w:p>
          <w:p w14:paraId="431B2F6C" w14:textId="77777777" w:rsidR="00475689" w:rsidRPr="00FD3029" w:rsidRDefault="00475689" w:rsidP="00475689">
            <w:pPr>
              <w:pStyle w:val="NormalWeb"/>
              <w:spacing w:before="0" w:beforeAutospacing="0" w:after="0" w:afterAutospacing="0"/>
              <w:jc w:val="both"/>
              <w:rPr>
                <w:rStyle w:val="Strong"/>
                <w:b w:val="0"/>
              </w:rPr>
            </w:pPr>
          </w:p>
          <w:p w14:paraId="04F717F5" w14:textId="6263C05D" w:rsidR="004254BF" w:rsidRPr="00FD3029" w:rsidRDefault="00DF4F0F" w:rsidP="00475689">
            <w:pPr>
              <w:pStyle w:val="NormalWeb"/>
              <w:spacing w:before="0" w:beforeAutospacing="0" w:after="0" w:afterAutospacing="0"/>
              <w:jc w:val="both"/>
            </w:pPr>
            <w:r w:rsidRPr="00DF4F0F">
              <w:rPr>
                <w:rStyle w:val="Strong"/>
                <w:b w:val="0"/>
              </w:rPr>
              <w:t>The</w:t>
            </w:r>
            <w:r w:rsidR="004254BF" w:rsidRPr="00FD3029">
              <w:rPr>
                <w:rStyle w:val="Strong"/>
              </w:rPr>
              <w:t xml:space="preserve"> third and present phase </w:t>
            </w:r>
            <w:r w:rsidRPr="00DF4F0F">
              <w:rPr>
                <w:rStyle w:val="Strong"/>
                <w:b w:val="0"/>
              </w:rPr>
              <w:t>of the Project (</w:t>
            </w:r>
            <w:hyperlink r:id="rId16" w:history="1">
              <w:r w:rsidR="004254BF" w:rsidRPr="00FD3029">
                <w:rPr>
                  <w:rStyle w:val="Hyperlink"/>
                </w:rPr>
                <w:t>ARP III, 2018-2020</w:t>
              </w:r>
            </w:hyperlink>
            <w:r w:rsidRPr="00DF4F0F">
              <w:rPr>
                <w:rStyle w:val="Strong"/>
                <w:b w:val="0"/>
              </w:rPr>
              <w:t xml:space="preserve">) is concerned with the role of </w:t>
            </w:r>
            <w:r w:rsidR="004254BF" w:rsidRPr="00FD3029">
              <w:rPr>
                <w:rStyle w:val="Strong"/>
              </w:rPr>
              <w:t>non-State-based grievance mechanisms</w:t>
            </w:r>
            <w:r w:rsidRPr="00DF4F0F">
              <w:rPr>
                <w:rStyle w:val="Strong"/>
                <w:b w:val="0"/>
              </w:rPr>
              <w:t xml:space="preserve"> (e.g. grievance mechanisms relevant to business and human rights that are established by, administered by or associated with companies, multi-stakeholder initiatives</w:t>
            </w:r>
            <w:r w:rsidR="00D87865">
              <w:rPr>
                <w:rStyle w:val="Strong"/>
                <w:b w:val="0"/>
              </w:rPr>
              <w:t>,</w:t>
            </w:r>
            <w:r w:rsidRPr="00DF4F0F">
              <w:rPr>
                <w:rStyle w:val="Strong"/>
                <w:b w:val="0"/>
              </w:rPr>
              <w:t xml:space="preserve"> and development finance institutions).  OHCHR will report its findings arising from this phase of work to the Human Rights Council in June 2020.</w:t>
            </w:r>
          </w:p>
        </w:tc>
      </w:tr>
    </w:tbl>
    <w:p w14:paraId="4B9FDECE" w14:textId="77777777" w:rsidR="004254BF" w:rsidRPr="00FD3029" w:rsidRDefault="004254BF" w:rsidP="00475689">
      <w:pPr>
        <w:jc w:val="both"/>
        <w:rPr>
          <w:rFonts w:cs="Times New Roman"/>
          <w:szCs w:val="24"/>
        </w:rPr>
      </w:pPr>
    </w:p>
    <w:p w14:paraId="4F3364D2" w14:textId="77777777" w:rsidR="00A9353F" w:rsidRPr="00FD3029" w:rsidRDefault="004254BF" w:rsidP="00475689">
      <w:pPr>
        <w:jc w:val="both"/>
        <w:rPr>
          <w:rFonts w:cs="Times New Roman"/>
          <w:szCs w:val="24"/>
        </w:rPr>
      </w:pPr>
      <w:r w:rsidRPr="00FD3029">
        <w:rPr>
          <w:rFonts w:cs="Times New Roman"/>
          <w:szCs w:val="24"/>
        </w:rPr>
        <w:t>This discussion paper sets out</w:t>
      </w:r>
      <w:r w:rsidR="00857F9F" w:rsidRPr="00FD3029">
        <w:rPr>
          <w:rFonts w:cs="Times New Roman"/>
          <w:szCs w:val="24"/>
        </w:rPr>
        <w:t>:</w:t>
      </w:r>
    </w:p>
    <w:p w14:paraId="01AF99EB" w14:textId="213C9EEB" w:rsidR="00857F9F" w:rsidRPr="00FD3029" w:rsidRDefault="004254BF" w:rsidP="00475689">
      <w:pPr>
        <w:pStyle w:val="ListParagraph"/>
        <w:numPr>
          <w:ilvl w:val="0"/>
          <w:numId w:val="37"/>
        </w:numPr>
        <w:jc w:val="both"/>
        <w:rPr>
          <w:rFonts w:cs="Times New Roman"/>
          <w:szCs w:val="24"/>
        </w:rPr>
      </w:pPr>
      <w:r w:rsidRPr="00FD3029">
        <w:rPr>
          <w:rFonts w:cs="Times New Roman"/>
          <w:szCs w:val="24"/>
        </w:rPr>
        <w:t xml:space="preserve">An explanation of the various research and information-gathering activities that have taken place pursuant to the Human Rights Council’s most recent mandate (Resolution </w:t>
      </w:r>
      <w:hyperlink r:id="rId17" w:history="1">
        <w:r w:rsidRPr="00FD3029">
          <w:rPr>
            <w:rStyle w:val="Hyperlink"/>
            <w:rFonts w:cs="Times New Roman"/>
            <w:szCs w:val="24"/>
          </w:rPr>
          <w:t>38/13</w:t>
        </w:r>
      </w:hyperlink>
      <w:r w:rsidRPr="00FD3029">
        <w:rPr>
          <w:rFonts w:cs="Times New Roman"/>
          <w:szCs w:val="24"/>
        </w:rPr>
        <w:t>)</w:t>
      </w:r>
      <w:r w:rsidR="00CF1BBA">
        <w:rPr>
          <w:rFonts w:cs="Times New Roman"/>
          <w:szCs w:val="24"/>
        </w:rPr>
        <w:t>;</w:t>
      </w:r>
    </w:p>
    <w:p w14:paraId="48B086BD" w14:textId="77777777" w:rsidR="004254BF" w:rsidRPr="00FD3029" w:rsidRDefault="004254BF" w:rsidP="0057256F">
      <w:pPr>
        <w:pStyle w:val="ListParagraph"/>
        <w:numPr>
          <w:ilvl w:val="0"/>
          <w:numId w:val="37"/>
        </w:numPr>
        <w:jc w:val="both"/>
        <w:rPr>
          <w:rFonts w:cs="Times New Roman"/>
          <w:szCs w:val="24"/>
        </w:rPr>
      </w:pPr>
      <w:r w:rsidRPr="00FD3029">
        <w:rPr>
          <w:rFonts w:cs="Times New Roman"/>
          <w:szCs w:val="24"/>
        </w:rPr>
        <w:t xml:space="preserve">Key observations </w:t>
      </w:r>
      <w:r w:rsidR="00012B96">
        <w:rPr>
          <w:rFonts w:cs="Times New Roman"/>
          <w:szCs w:val="24"/>
        </w:rPr>
        <w:t>arising from the ARP III work; and</w:t>
      </w:r>
    </w:p>
    <w:p w14:paraId="372DED9C" w14:textId="77777777" w:rsidR="004254BF" w:rsidRPr="00FD3029" w:rsidRDefault="004254BF" w:rsidP="00857F9F">
      <w:pPr>
        <w:pStyle w:val="ListParagraph"/>
        <w:numPr>
          <w:ilvl w:val="0"/>
          <w:numId w:val="37"/>
        </w:numPr>
        <w:jc w:val="both"/>
        <w:rPr>
          <w:rFonts w:cs="Times New Roman"/>
          <w:szCs w:val="24"/>
        </w:rPr>
      </w:pPr>
      <w:r w:rsidRPr="00FD3029">
        <w:rPr>
          <w:rFonts w:cs="Times New Roman"/>
          <w:szCs w:val="24"/>
        </w:rPr>
        <w:t>Preliminary ideas (for discussion) as to the structure and approach of OHCHR’s report to the forty-fourth session of the Human Rights Council.</w:t>
      </w:r>
    </w:p>
    <w:p w14:paraId="78014832" w14:textId="77777777" w:rsidR="00E0024C" w:rsidRDefault="00E0024C" w:rsidP="00AB7A02">
      <w:pPr>
        <w:rPr>
          <w:rFonts w:cs="Times New Roman"/>
          <w:szCs w:val="24"/>
        </w:rPr>
      </w:pPr>
    </w:p>
    <w:p w14:paraId="643B8DCA" w14:textId="77777777" w:rsidR="00012B96" w:rsidRDefault="00012B96" w:rsidP="00475689">
      <w:pPr>
        <w:jc w:val="both"/>
        <w:rPr>
          <w:rFonts w:cs="Times New Roman"/>
          <w:szCs w:val="24"/>
        </w:rPr>
      </w:pPr>
      <w:r>
        <w:rPr>
          <w:rFonts w:cs="Times New Roman"/>
          <w:szCs w:val="24"/>
        </w:rPr>
        <w:t>The key observations discussed in this paper fall under four headings:</w:t>
      </w:r>
    </w:p>
    <w:p w14:paraId="5BBB6050" w14:textId="77777777" w:rsidR="00012B96" w:rsidRPr="00012B96" w:rsidRDefault="00012B96" w:rsidP="00012B96">
      <w:pPr>
        <w:pStyle w:val="ListParagraph"/>
        <w:numPr>
          <w:ilvl w:val="0"/>
          <w:numId w:val="48"/>
        </w:numPr>
        <w:jc w:val="both"/>
        <w:rPr>
          <w:rFonts w:cs="Times New Roman"/>
          <w:b/>
          <w:szCs w:val="24"/>
        </w:rPr>
      </w:pPr>
      <w:r w:rsidRPr="00012B96">
        <w:rPr>
          <w:rFonts w:cs="Times New Roman"/>
          <w:b/>
          <w:szCs w:val="24"/>
        </w:rPr>
        <w:t>Current use of non-State-based grievance mechanisms in cases of business-related human rights abuse</w:t>
      </w:r>
    </w:p>
    <w:p w14:paraId="3E6AC669" w14:textId="77777777" w:rsidR="00012B96" w:rsidRDefault="00012B96" w:rsidP="00012B96">
      <w:pPr>
        <w:ind w:left="1440" w:hanging="720"/>
        <w:jc w:val="both"/>
        <w:rPr>
          <w:rFonts w:cs="Times New Roman"/>
          <w:szCs w:val="24"/>
        </w:rPr>
      </w:pPr>
      <w:r>
        <w:rPr>
          <w:rFonts w:cs="Times New Roman"/>
          <w:szCs w:val="24"/>
        </w:rPr>
        <w:t>A.1</w:t>
      </w:r>
      <w:r>
        <w:rPr>
          <w:rFonts w:cs="Times New Roman"/>
          <w:szCs w:val="24"/>
        </w:rPr>
        <w:tab/>
      </w:r>
      <w:r w:rsidRPr="00012B96">
        <w:rPr>
          <w:rFonts w:cs="Times New Roman"/>
          <w:szCs w:val="24"/>
        </w:rPr>
        <w:t>Non-State-based grievance mechanisms are generally regarded by stakeholders as a welcome addition to the options available to remedy-seekers</w:t>
      </w:r>
    </w:p>
    <w:p w14:paraId="214A92D2" w14:textId="77777777" w:rsidR="00012B96" w:rsidRPr="00012B96" w:rsidRDefault="00012B96" w:rsidP="00012B96">
      <w:pPr>
        <w:ind w:left="1440" w:hanging="720"/>
        <w:jc w:val="both"/>
        <w:rPr>
          <w:rFonts w:cs="Times New Roman"/>
          <w:szCs w:val="24"/>
        </w:rPr>
      </w:pPr>
      <w:r w:rsidRPr="00012B96">
        <w:rPr>
          <w:rFonts w:cs="Times New Roman"/>
          <w:szCs w:val="24"/>
        </w:rPr>
        <w:lastRenderedPageBreak/>
        <w:t>A.2</w:t>
      </w:r>
      <w:r w:rsidRPr="00012B96">
        <w:rPr>
          <w:rFonts w:cs="Times New Roman"/>
          <w:szCs w:val="24"/>
        </w:rPr>
        <w:tab/>
        <w:t>Non-State-based grievance mechanisms are viewed as a means by which flexibility and choice for rights-holders can and should be enhanced</w:t>
      </w:r>
    </w:p>
    <w:p w14:paraId="44EF529D" w14:textId="77777777" w:rsidR="00012B96" w:rsidRPr="00012B96" w:rsidRDefault="00012B96" w:rsidP="00012B96">
      <w:pPr>
        <w:ind w:left="1440" w:hanging="720"/>
        <w:jc w:val="both"/>
        <w:rPr>
          <w:rFonts w:cs="Times New Roman"/>
          <w:szCs w:val="24"/>
        </w:rPr>
      </w:pPr>
      <w:r w:rsidRPr="00012B96">
        <w:rPr>
          <w:rFonts w:cs="Times New Roman"/>
          <w:szCs w:val="24"/>
        </w:rPr>
        <w:t>A.3</w:t>
      </w:r>
      <w:r w:rsidRPr="00012B96">
        <w:rPr>
          <w:rFonts w:cs="Times New Roman"/>
          <w:szCs w:val="24"/>
        </w:rPr>
        <w:tab/>
        <w:t>The quality of stakeholder engagement with respect to the design of a grievance mechanism is a strong indicator of that mechanism’s effectiveness</w:t>
      </w:r>
    </w:p>
    <w:p w14:paraId="2C412016" w14:textId="77777777" w:rsidR="00012B96" w:rsidRDefault="00012B96" w:rsidP="00012B96">
      <w:pPr>
        <w:ind w:left="1440" w:hanging="720"/>
        <w:jc w:val="both"/>
        <w:rPr>
          <w:rFonts w:cs="Times New Roman"/>
          <w:szCs w:val="24"/>
        </w:rPr>
      </w:pPr>
      <w:r w:rsidRPr="00012B96">
        <w:rPr>
          <w:rFonts w:cs="Times New Roman"/>
          <w:szCs w:val="24"/>
        </w:rPr>
        <w:t>A.4</w:t>
      </w:r>
      <w:r w:rsidRPr="00012B96">
        <w:rPr>
          <w:rFonts w:cs="Times New Roman"/>
          <w:szCs w:val="24"/>
        </w:rPr>
        <w:tab/>
        <w:t>Non-State-based grievance mechanisms tend to be limited in the types of remedies they can provide</w:t>
      </w:r>
    </w:p>
    <w:p w14:paraId="5978B7AB" w14:textId="77777777" w:rsidR="00012B96" w:rsidRPr="00012B96" w:rsidRDefault="00012B96" w:rsidP="00012B96">
      <w:pPr>
        <w:pStyle w:val="ListParagraph"/>
        <w:numPr>
          <w:ilvl w:val="0"/>
          <w:numId w:val="48"/>
        </w:numPr>
        <w:jc w:val="both"/>
        <w:rPr>
          <w:rFonts w:cs="Times New Roman"/>
          <w:b/>
          <w:szCs w:val="24"/>
        </w:rPr>
      </w:pPr>
      <w:r w:rsidRPr="00012B96">
        <w:rPr>
          <w:rFonts w:cs="Times New Roman"/>
          <w:b/>
          <w:szCs w:val="24"/>
        </w:rPr>
        <w:t>Notable trends relating to the design and performance of non-State-based grievance mechanisms</w:t>
      </w:r>
    </w:p>
    <w:p w14:paraId="072B067F" w14:textId="77777777" w:rsidR="00012B96" w:rsidRDefault="00012B96" w:rsidP="00012B96">
      <w:pPr>
        <w:ind w:left="1440" w:hanging="720"/>
        <w:jc w:val="both"/>
        <w:rPr>
          <w:rFonts w:cs="Times New Roman"/>
          <w:szCs w:val="24"/>
        </w:rPr>
      </w:pPr>
      <w:r w:rsidRPr="00012B96">
        <w:rPr>
          <w:rFonts w:cs="Times New Roman"/>
          <w:szCs w:val="24"/>
        </w:rPr>
        <w:t>B.1</w:t>
      </w:r>
      <w:r w:rsidRPr="00012B96">
        <w:rPr>
          <w:rFonts w:cs="Times New Roman"/>
          <w:szCs w:val="24"/>
        </w:rPr>
        <w:tab/>
        <w:t>Growing sophistication of methodologies aimed at giving closer attention to the needs and perspectives of users</w:t>
      </w:r>
    </w:p>
    <w:p w14:paraId="18A4F4C8" w14:textId="690850A2" w:rsidR="00012B96" w:rsidRDefault="00012B96" w:rsidP="005B5D6A">
      <w:pPr>
        <w:ind w:left="1440" w:hanging="720"/>
        <w:jc w:val="both"/>
        <w:rPr>
          <w:rFonts w:cs="Times New Roman"/>
          <w:szCs w:val="24"/>
        </w:rPr>
      </w:pPr>
      <w:r w:rsidRPr="00012B96">
        <w:rPr>
          <w:rFonts w:cs="Times New Roman"/>
          <w:szCs w:val="24"/>
        </w:rPr>
        <w:t>B.2</w:t>
      </w:r>
      <w:r w:rsidRPr="00012B96">
        <w:rPr>
          <w:rFonts w:cs="Times New Roman"/>
          <w:szCs w:val="24"/>
        </w:rPr>
        <w:tab/>
      </w:r>
      <w:r w:rsidR="005B5D6A">
        <w:rPr>
          <w:rFonts w:cs="Times New Roman"/>
          <w:szCs w:val="24"/>
        </w:rPr>
        <w:t>Recognition of the importance and value</w:t>
      </w:r>
      <w:r w:rsidRPr="00012B96">
        <w:rPr>
          <w:rFonts w:cs="Times New Roman"/>
          <w:szCs w:val="24"/>
        </w:rPr>
        <w:t xml:space="preserve"> of educational and training activities</w:t>
      </w:r>
      <w:r w:rsidR="00726FAC">
        <w:rPr>
          <w:rFonts w:cs="Times New Roman"/>
          <w:szCs w:val="24"/>
        </w:rPr>
        <w:t xml:space="preserve"> as an integral part of outreach</w:t>
      </w:r>
    </w:p>
    <w:p w14:paraId="0B4F4A71" w14:textId="77777777" w:rsidR="00012B96" w:rsidRDefault="00012B96" w:rsidP="00012B96">
      <w:pPr>
        <w:ind w:left="1440" w:hanging="720"/>
        <w:jc w:val="both"/>
        <w:rPr>
          <w:rFonts w:cs="Times New Roman"/>
          <w:szCs w:val="24"/>
        </w:rPr>
      </w:pPr>
      <w:r w:rsidRPr="00012B96">
        <w:rPr>
          <w:rFonts w:cs="Times New Roman"/>
          <w:szCs w:val="24"/>
        </w:rPr>
        <w:t>B.3</w:t>
      </w:r>
      <w:r w:rsidRPr="00012B96">
        <w:rPr>
          <w:rFonts w:cs="Times New Roman"/>
          <w:szCs w:val="24"/>
        </w:rPr>
        <w:tab/>
        <w:t>Intensification of demands by rights-holders for “independent” grievance mechanisms</w:t>
      </w:r>
    </w:p>
    <w:p w14:paraId="7BE783D9" w14:textId="77777777" w:rsidR="00012B96" w:rsidRDefault="00012B96" w:rsidP="00012B96">
      <w:pPr>
        <w:ind w:left="720"/>
        <w:jc w:val="both"/>
        <w:rPr>
          <w:rFonts w:cs="Times New Roman"/>
          <w:szCs w:val="24"/>
        </w:rPr>
      </w:pPr>
      <w:r w:rsidRPr="00012B96">
        <w:rPr>
          <w:rFonts w:cs="Times New Roman"/>
          <w:szCs w:val="24"/>
        </w:rPr>
        <w:t>B.4</w:t>
      </w:r>
      <w:r w:rsidRPr="00012B96">
        <w:rPr>
          <w:rFonts w:cs="Times New Roman"/>
          <w:szCs w:val="24"/>
        </w:rPr>
        <w:tab/>
        <w:t>Increasing use of binding approaches</w:t>
      </w:r>
    </w:p>
    <w:p w14:paraId="7BBA21E0" w14:textId="77777777" w:rsidR="00012B96" w:rsidRDefault="00012B96" w:rsidP="00012B96">
      <w:pPr>
        <w:ind w:left="1440" w:hanging="720"/>
        <w:jc w:val="both"/>
        <w:rPr>
          <w:rFonts w:cs="Times New Roman"/>
          <w:szCs w:val="24"/>
        </w:rPr>
      </w:pPr>
      <w:r w:rsidRPr="00012B96">
        <w:rPr>
          <w:rFonts w:cs="Times New Roman"/>
          <w:szCs w:val="24"/>
        </w:rPr>
        <w:t>B.5</w:t>
      </w:r>
      <w:r w:rsidRPr="00012B96">
        <w:rPr>
          <w:rFonts w:cs="Times New Roman"/>
          <w:szCs w:val="24"/>
        </w:rPr>
        <w:tab/>
        <w:t>Rapid growth in technologies with the potential to improve accessibility, efficiency</w:t>
      </w:r>
      <w:r w:rsidR="00BD52E4">
        <w:rPr>
          <w:rFonts w:cs="Times New Roman"/>
          <w:szCs w:val="24"/>
        </w:rPr>
        <w:t>,</w:t>
      </w:r>
      <w:r w:rsidRPr="00012B96">
        <w:rPr>
          <w:rFonts w:cs="Times New Roman"/>
          <w:szCs w:val="24"/>
        </w:rPr>
        <w:t xml:space="preserve"> and user experiences of grievance mechanisms</w:t>
      </w:r>
    </w:p>
    <w:p w14:paraId="2EB28CEE" w14:textId="28CFD999" w:rsidR="00012B96" w:rsidRPr="00012B96" w:rsidRDefault="00012B96" w:rsidP="00012B96">
      <w:pPr>
        <w:pStyle w:val="ListParagraph"/>
        <w:numPr>
          <w:ilvl w:val="0"/>
          <w:numId w:val="48"/>
        </w:numPr>
        <w:jc w:val="both"/>
        <w:rPr>
          <w:rFonts w:cs="Times New Roman"/>
          <w:b/>
          <w:szCs w:val="24"/>
        </w:rPr>
      </w:pPr>
      <w:r w:rsidRPr="00012B96">
        <w:rPr>
          <w:rFonts w:cs="Times New Roman"/>
          <w:b/>
          <w:szCs w:val="24"/>
        </w:rPr>
        <w:t>Legal, structural</w:t>
      </w:r>
      <w:r w:rsidR="00CF1BBA">
        <w:rPr>
          <w:rFonts w:cs="Times New Roman"/>
          <w:b/>
          <w:szCs w:val="24"/>
        </w:rPr>
        <w:t>,</w:t>
      </w:r>
      <w:r w:rsidRPr="00012B96">
        <w:rPr>
          <w:rFonts w:cs="Times New Roman"/>
          <w:b/>
          <w:szCs w:val="24"/>
        </w:rPr>
        <w:t xml:space="preserve"> and policy issues in need of further attention and prioritisation</w:t>
      </w:r>
    </w:p>
    <w:p w14:paraId="12D5585C" w14:textId="77777777" w:rsidR="00012B96" w:rsidRPr="00012B96" w:rsidRDefault="00012B96" w:rsidP="00012B96">
      <w:pPr>
        <w:ind w:left="1440" w:hanging="720"/>
        <w:jc w:val="both"/>
        <w:rPr>
          <w:rFonts w:cs="Times New Roman"/>
          <w:szCs w:val="24"/>
        </w:rPr>
      </w:pPr>
      <w:r w:rsidRPr="00012B96">
        <w:rPr>
          <w:rFonts w:cs="Times New Roman"/>
          <w:szCs w:val="24"/>
        </w:rPr>
        <w:t>C.1</w:t>
      </w:r>
      <w:r w:rsidRPr="00012B96">
        <w:rPr>
          <w:rFonts w:cs="Times New Roman"/>
          <w:szCs w:val="24"/>
        </w:rPr>
        <w:tab/>
        <w:t>Maintaining flexibility for rights-holders while avoiding fragmentation and duplication: Where should the balance be struck?</w:t>
      </w:r>
    </w:p>
    <w:p w14:paraId="1DAB895B" w14:textId="77777777" w:rsidR="00012B96" w:rsidRDefault="00012B96" w:rsidP="00012B96">
      <w:pPr>
        <w:ind w:left="1440" w:hanging="720"/>
        <w:jc w:val="both"/>
        <w:rPr>
          <w:rFonts w:cs="Times New Roman"/>
          <w:szCs w:val="24"/>
        </w:rPr>
      </w:pPr>
      <w:r w:rsidRPr="00012B96">
        <w:rPr>
          <w:rFonts w:cs="Times New Roman"/>
          <w:szCs w:val="24"/>
        </w:rPr>
        <w:t>C.2</w:t>
      </w:r>
      <w:r w:rsidRPr="00012B96">
        <w:rPr>
          <w:rFonts w:cs="Times New Roman"/>
          <w:szCs w:val="24"/>
        </w:rPr>
        <w:tab/>
        <w:t>Private grievance mechanisms in a public law setting: Understanding and appreciating the value and role of wider regulatory regimes</w:t>
      </w:r>
    </w:p>
    <w:p w14:paraId="58C129EB" w14:textId="77777777" w:rsidR="00012B96" w:rsidRDefault="00012B96" w:rsidP="00012B96">
      <w:pPr>
        <w:ind w:left="1440" w:hanging="720"/>
        <w:jc w:val="both"/>
        <w:rPr>
          <w:rFonts w:cs="Times New Roman"/>
          <w:szCs w:val="24"/>
        </w:rPr>
      </w:pPr>
      <w:r w:rsidRPr="00012B96">
        <w:rPr>
          <w:rFonts w:cs="Times New Roman"/>
          <w:szCs w:val="24"/>
        </w:rPr>
        <w:t>C.3</w:t>
      </w:r>
      <w:r w:rsidRPr="00012B96">
        <w:rPr>
          <w:rFonts w:cs="Times New Roman"/>
          <w:szCs w:val="24"/>
        </w:rPr>
        <w:tab/>
        <w:t>Implications of the growth in non-State-based grievance mechanisms for domestic legal development</w:t>
      </w:r>
    </w:p>
    <w:p w14:paraId="05720F9D" w14:textId="77777777" w:rsidR="00012B96" w:rsidRDefault="00012B96" w:rsidP="00012B96">
      <w:pPr>
        <w:ind w:left="1440" w:hanging="720"/>
        <w:jc w:val="both"/>
        <w:rPr>
          <w:rFonts w:cs="Times New Roman"/>
          <w:szCs w:val="24"/>
        </w:rPr>
      </w:pPr>
      <w:r w:rsidRPr="00012B96">
        <w:rPr>
          <w:rFonts w:cs="Times New Roman"/>
          <w:szCs w:val="24"/>
        </w:rPr>
        <w:t>C.4</w:t>
      </w:r>
      <w:r w:rsidRPr="00012B96">
        <w:rPr>
          <w:rFonts w:cs="Times New Roman"/>
          <w:szCs w:val="24"/>
        </w:rPr>
        <w:tab/>
        <w:t>Global, regional, or local?: Non-State-based grievance mechanisms as a response to cross-border business and human rights challenges</w:t>
      </w:r>
    </w:p>
    <w:p w14:paraId="03CDBB74" w14:textId="77777777" w:rsidR="00012B96" w:rsidRDefault="00012B96" w:rsidP="00012B96">
      <w:pPr>
        <w:ind w:left="1440" w:hanging="720"/>
        <w:jc w:val="both"/>
        <w:rPr>
          <w:rFonts w:cs="Times New Roman"/>
          <w:szCs w:val="24"/>
        </w:rPr>
      </w:pPr>
      <w:r w:rsidRPr="00012B96">
        <w:rPr>
          <w:rFonts w:cs="Times New Roman"/>
          <w:szCs w:val="24"/>
        </w:rPr>
        <w:t>C.5</w:t>
      </w:r>
      <w:r w:rsidRPr="00012B96">
        <w:rPr>
          <w:rFonts w:cs="Times New Roman"/>
          <w:szCs w:val="24"/>
        </w:rPr>
        <w:tab/>
        <w:t>Protection of people from retaliation and intimidation as a result of the actual or potential use of non-State-based grievance mechanisms: The distinct but complementary roles of State-based and non-State-based mechanisms</w:t>
      </w:r>
    </w:p>
    <w:p w14:paraId="069CF436" w14:textId="77777777" w:rsidR="00012B96" w:rsidRDefault="00012B96" w:rsidP="00012B96">
      <w:pPr>
        <w:ind w:left="1440" w:hanging="720"/>
        <w:jc w:val="both"/>
        <w:rPr>
          <w:rFonts w:cs="Times New Roman"/>
          <w:szCs w:val="24"/>
        </w:rPr>
      </w:pPr>
      <w:r w:rsidRPr="00012B96">
        <w:rPr>
          <w:rFonts w:cs="Times New Roman"/>
          <w:szCs w:val="24"/>
        </w:rPr>
        <w:t>C.6</w:t>
      </w:r>
      <w:r w:rsidRPr="00012B96">
        <w:rPr>
          <w:rFonts w:cs="Times New Roman"/>
          <w:szCs w:val="24"/>
        </w:rPr>
        <w:tab/>
        <w:t>Agency, autonomy, and effective representation of affected individuals and communities</w:t>
      </w:r>
    </w:p>
    <w:p w14:paraId="4E516F64" w14:textId="06F17219" w:rsidR="00012B96" w:rsidRDefault="00012B96" w:rsidP="00012B96">
      <w:pPr>
        <w:ind w:left="1440" w:hanging="720"/>
        <w:jc w:val="both"/>
        <w:rPr>
          <w:rFonts w:cs="Times New Roman"/>
          <w:szCs w:val="24"/>
        </w:rPr>
      </w:pPr>
      <w:r w:rsidRPr="00012B96">
        <w:rPr>
          <w:rFonts w:cs="Times New Roman"/>
          <w:szCs w:val="24"/>
        </w:rPr>
        <w:t>C.7</w:t>
      </w:r>
      <w:r w:rsidRPr="00012B96">
        <w:rPr>
          <w:rFonts w:cs="Times New Roman"/>
          <w:szCs w:val="24"/>
        </w:rPr>
        <w:tab/>
        <w:t>Rights-compatible outcomes: Understanding and addressing the short-, medium-</w:t>
      </w:r>
      <w:r w:rsidR="00CF1BBA">
        <w:rPr>
          <w:rFonts w:cs="Times New Roman"/>
          <w:szCs w:val="24"/>
        </w:rPr>
        <w:t>,</w:t>
      </w:r>
      <w:r w:rsidRPr="00012B96">
        <w:rPr>
          <w:rFonts w:cs="Times New Roman"/>
          <w:szCs w:val="24"/>
        </w:rPr>
        <w:t xml:space="preserve"> and long-term human rights implications of remedial outcomes</w:t>
      </w:r>
    </w:p>
    <w:p w14:paraId="252B3CE0" w14:textId="77777777" w:rsidR="00012B96" w:rsidRPr="00012B96" w:rsidRDefault="00012B96" w:rsidP="00012B96">
      <w:pPr>
        <w:pStyle w:val="ListParagraph"/>
        <w:numPr>
          <w:ilvl w:val="0"/>
          <w:numId w:val="48"/>
        </w:numPr>
        <w:jc w:val="both"/>
        <w:rPr>
          <w:rFonts w:cs="Times New Roman"/>
          <w:b/>
          <w:szCs w:val="24"/>
        </w:rPr>
      </w:pPr>
      <w:r w:rsidRPr="00012B96">
        <w:rPr>
          <w:rFonts w:cs="Times New Roman"/>
          <w:b/>
          <w:szCs w:val="24"/>
        </w:rPr>
        <w:t>Practical implementation of the UNGP “effectiveness criteria”</w:t>
      </w:r>
    </w:p>
    <w:p w14:paraId="06CB2649" w14:textId="77777777" w:rsidR="00012B96" w:rsidRDefault="00012B96" w:rsidP="00475689">
      <w:pPr>
        <w:jc w:val="both"/>
        <w:rPr>
          <w:rFonts w:cs="Times New Roman"/>
          <w:szCs w:val="24"/>
        </w:rPr>
      </w:pPr>
    </w:p>
    <w:tbl>
      <w:tblPr>
        <w:tblStyle w:val="TableGrid"/>
        <w:tblW w:w="0" w:type="auto"/>
        <w:tblLook w:val="04A0" w:firstRow="1" w:lastRow="0" w:firstColumn="1" w:lastColumn="0" w:noHBand="0" w:noVBand="1"/>
      </w:tblPr>
      <w:tblGrid>
        <w:gridCol w:w="9016"/>
      </w:tblGrid>
      <w:tr w:rsidR="00012B96" w:rsidRPr="00FD3029" w14:paraId="4DC979B5" w14:textId="77777777" w:rsidTr="00634F26">
        <w:trPr>
          <w:trHeight w:val="841"/>
        </w:trPr>
        <w:tc>
          <w:tcPr>
            <w:tcW w:w="9016" w:type="dxa"/>
            <w:shd w:val="clear" w:color="auto" w:fill="DEEAF6" w:themeFill="accent1" w:themeFillTint="33"/>
          </w:tcPr>
          <w:p w14:paraId="3A8867E1" w14:textId="77777777" w:rsidR="00E508C0" w:rsidRDefault="0057256F" w:rsidP="00012B96">
            <w:pPr>
              <w:jc w:val="both"/>
              <w:rPr>
                <w:rFonts w:cs="Times New Roman"/>
                <w:b/>
                <w:i/>
                <w:szCs w:val="24"/>
              </w:rPr>
            </w:pPr>
            <w:r>
              <w:rPr>
                <w:rFonts w:cs="Times New Roman"/>
                <w:b/>
                <w:i/>
                <w:szCs w:val="24"/>
              </w:rPr>
              <w:t>Discussion Questions</w:t>
            </w:r>
          </w:p>
          <w:p w14:paraId="1E0606C5" w14:textId="77777777" w:rsidR="00BD52E4" w:rsidRPr="00BD52E4" w:rsidRDefault="00BD52E4" w:rsidP="00012B96">
            <w:pPr>
              <w:jc w:val="both"/>
              <w:rPr>
                <w:rFonts w:cs="Times New Roman"/>
                <w:b/>
                <w:i/>
                <w:szCs w:val="24"/>
              </w:rPr>
            </w:pPr>
          </w:p>
          <w:p w14:paraId="683E79D9" w14:textId="77777777" w:rsidR="0057256F" w:rsidRPr="00BD52E4" w:rsidRDefault="0057256F" w:rsidP="00012B96">
            <w:pPr>
              <w:jc w:val="both"/>
              <w:rPr>
                <w:rFonts w:cs="Times New Roman"/>
                <w:szCs w:val="24"/>
              </w:rPr>
            </w:pPr>
            <w:r w:rsidRPr="00BD52E4">
              <w:rPr>
                <w:rFonts w:cs="Times New Roman"/>
                <w:szCs w:val="24"/>
              </w:rPr>
              <w:t>For each section, the ARP III team would like to know:</w:t>
            </w:r>
          </w:p>
          <w:p w14:paraId="3FD56235" w14:textId="5CB90795" w:rsidR="00BD52E4" w:rsidRDefault="00E508C0" w:rsidP="00BD52E4">
            <w:pPr>
              <w:pStyle w:val="ListParagraph"/>
              <w:numPr>
                <w:ilvl w:val="0"/>
                <w:numId w:val="49"/>
              </w:numPr>
              <w:jc w:val="both"/>
              <w:rPr>
                <w:rFonts w:cs="Times New Roman"/>
                <w:szCs w:val="24"/>
              </w:rPr>
            </w:pPr>
            <w:r w:rsidRPr="00BD52E4">
              <w:rPr>
                <w:rFonts w:cs="Times New Roman"/>
                <w:szCs w:val="24"/>
              </w:rPr>
              <w:t>Do you agree with the observations made</w:t>
            </w:r>
            <w:r w:rsidR="00634F26" w:rsidRPr="00BD52E4">
              <w:rPr>
                <w:rFonts w:cs="Times New Roman"/>
                <w:szCs w:val="24"/>
              </w:rPr>
              <w:t xml:space="preserve"> in th</w:t>
            </w:r>
            <w:r w:rsidR="00EA72BB">
              <w:rPr>
                <w:rFonts w:cs="Times New Roman"/>
                <w:szCs w:val="24"/>
              </w:rPr>
              <w:t>e</w:t>
            </w:r>
            <w:r w:rsidR="00634F26" w:rsidRPr="00BD52E4">
              <w:rPr>
                <w:rFonts w:cs="Times New Roman"/>
                <w:szCs w:val="24"/>
              </w:rPr>
              <w:t xml:space="preserve"> section?  If </w:t>
            </w:r>
            <w:r w:rsidRPr="00BD52E4">
              <w:rPr>
                <w:rFonts w:cs="Times New Roman"/>
                <w:szCs w:val="24"/>
              </w:rPr>
              <w:t>not, why not?</w:t>
            </w:r>
          </w:p>
          <w:p w14:paraId="78256610" w14:textId="77777777" w:rsidR="00BD52E4" w:rsidRPr="00BD52E4" w:rsidRDefault="00E508C0" w:rsidP="00BD52E4">
            <w:pPr>
              <w:pStyle w:val="ListParagraph"/>
              <w:numPr>
                <w:ilvl w:val="0"/>
                <w:numId w:val="49"/>
              </w:numPr>
              <w:jc w:val="both"/>
              <w:rPr>
                <w:rFonts w:cs="Times New Roman"/>
                <w:szCs w:val="24"/>
              </w:rPr>
            </w:pPr>
            <w:r w:rsidRPr="00BD52E4">
              <w:rPr>
                <w:rFonts w:cs="Times New Roman"/>
                <w:szCs w:val="24"/>
              </w:rPr>
              <w:t>Are there any further issues, challenges</w:t>
            </w:r>
            <w:r w:rsidR="00E0024C" w:rsidRPr="00BD52E4">
              <w:rPr>
                <w:rFonts w:cs="Times New Roman"/>
                <w:szCs w:val="24"/>
              </w:rPr>
              <w:t>,</w:t>
            </w:r>
            <w:r w:rsidRPr="00BD52E4">
              <w:rPr>
                <w:rFonts w:cs="Times New Roman"/>
                <w:szCs w:val="24"/>
              </w:rPr>
              <w:t xml:space="preserve"> </w:t>
            </w:r>
            <w:r w:rsidR="00E0024C" w:rsidRPr="00BD52E4">
              <w:rPr>
                <w:rFonts w:cs="Times New Roman"/>
                <w:szCs w:val="24"/>
              </w:rPr>
              <w:t>trends</w:t>
            </w:r>
            <w:r w:rsidR="00BD52E4">
              <w:rPr>
                <w:rFonts w:cs="Times New Roman"/>
                <w:szCs w:val="24"/>
              </w:rPr>
              <w:t>,</w:t>
            </w:r>
            <w:r w:rsidR="00E0024C" w:rsidRPr="00BD52E4">
              <w:rPr>
                <w:rFonts w:cs="Times New Roman"/>
                <w:szCs w:val="24"/>
              </w:rPr>
              <w:t xml:space="preserve"> </w:t>
            </w:r>
            <w:r w:rsidRPr="00BD52E4">
              <w:rPr>
                <w:rFonts w:cs="Times New Roman"/>
                <w:szCs w:val="24"/>
              </w:rPr>
              <w:t>or opportunities that you would like to bring to the attention of the ARP III team?  If so, what are these?</w:t>
            </w:r>
          </w:p>
        </w:tc>
      </w:tr>
    </w:tbl>
    <w:p w14:paraId="454F055F" w14:textId="77777777" w:rsidR="00012B96" w:rsidRPr="00FD3029" w:rsidRDefault="00012B96" w:rsidP="00012B96">
      <w:pPr>
        <w:jc w:val="both"/>
        <w:rPr>
          <w:rFonts w:cs="Times New Roman"/>
          <w:b/>
        </w:rPr>
      </w:pPr>
    </w:p>
    <w:p w14:paraId="038DE794" w14:textId="2DB3909F" w:rsidR="0027584E" w:rsidRDefault="004254BF" w:rsidP="00BD52E4">
      <w:pPr>
        <w:jc w:val="both"/>
        <w:rPr>
          <w:rFonts w:cs="Times New Roman"/>
          <w:szCs w:val="24"/>
        </w:rPr>
      </w:pPr>
      <w:r w:rsidRPr="00FD3029">
        <w:rPr>
          <w:rFonts w:cs="Times New Roman"/>
          <w:szCs w:val="24"/>
        </w:rPr>
        <w:t>The observations and ideas set out in this paper will be presented for discussion at</w:t>
      </w:r>
      <w:r w:rsidR="00857F9F" w:rsidRPr="00FD3029">
        <w:rPr>
          <w:rFonts w:cs="Times New Roman"/>
          <w:szCs w:val="24"/>
        </w:rPr>
        <w:t xml:space="preserve"> a multi-stakeholder consultation taking place in Geneva on 28 November 2019.</w:t>
      </w:r>
      <w:r w:rsidRPr="00FD3029">
        <w:rPr>
          <w:rFonts w:cs="Times New Roman"/>
          <w:szCs w:val="24"/>
        </w:rPr>
        <w:t xml:space="preserve">  Feedback on the co</w:t>
      </w:r>
      <w:r w:rsidR="0014195B">
        <w:rPr>
          <w:rFonts w:cs="Times New Roman"/>
          <w:szCs w:val="24"/>
        </w:rPr>
        <w:t>ntents of this paper is welcome</w:t>
      </w:r>
      <w:r w:rsidRPr="00FD3029">
        <w:rPr>
          <w:rFonts w:cs="Times New Roman"/>
          <w:szCs w:val="24"/>
        </w:rPr>
        <w:t xml:space="preserve"> from all stakeholders and should be </w:t>
      </w:r>
      <w:r w:rsidR="00857F9F" w:rsidRPr="00FD3029">
        <w:rPr>
          <w:rFonts w:cs="Times New Roman"/>
          <w:szCs w:val="24"/>
        </w:rPr>
        <w:t>sent to</w:t>
      </w:r>
      <w:r w:rsidRPr="00FD3029">
        <w:rPr>
          <w:rFonts w:cs="Times New Roman"/>
          <w:szCs w:val="24"/>
        </w:rPr>
        <w:t xml:space="preserve"> </w:t>
      </w:r>
      <w:hyperlink r:id="rId18" w:history="1">
        <w:r w:rsidR="00857F9F" w:rsidRPr="00FD3029">
          <w:rPr>
            <w:rStyle w:val="Hyperlink"/>
            <w:rFonts w:cs="Times New Roman"/>
            <w:szCs w:val="24"/>
          </w:rPr>
          <w:t>business-access2remedy@ohchr.org</w:t>
        </w:r>
      </w:hyperlink>
      <w:r w:rsidR="00857F9F" w:rsidRPr="00FD3029">
        <w:rPr>
          <w:rFonts w:cs="Times New Roman"/>
          <w:szCs w:val="24"/>
        </w:rPr>
        <w:t xml:space="preserve"> by </w:t>
      </w:r>
      <w:r w:rsidR="00857F9F" w:rsidRPr="0014195B">
        <w:rPr>
          <w:rFonts w:cs="Times New Roman"/>
          <w:b/>
          <w:szCs w:val="24"/>
        </w:rPr>
        <w:t>15 December 2019</w:t>
      </w:r>
      <w:r w:rsidR="00BD52E4">
        <w:rPr>
          <w:rFonts w:cs="Times New Roman"/>
          <w:szCs w:val="24"/>
        </w:rPr>
        <w:t>.</w:t>
      </w:r>
      <w:r w:rsidR="0027584E">
        <w:rPr>
          <w:rFonts w:cs="Times New Roman"/>
          <w:szCs w:val="24"/>
        </w:rPr>
        <w:br w:type="page"/>
      </w:r>
    </w:p>
    <w:p w14:paraId="0D05E237" w14:textId="77777777" w:rsidR="004254BF" w:rsidRPr="00FD3029" w:rsidRDefault="004254BF" w:rsidP="004254BF">
      <w:pPr>
        <w:pStyle w:val="Heading1"/>
        <w:rPr>
          <w:rFonts w:cs="Times New Roman"/>
        </w:rPr>
      </w:pPr>
      <w:bookmarkStart w:id="3" w:name="_Toc24702670"/>
      <w:bookmarkStart w:id="4" w:name="_Toc24703334"/>
      <w:bookmarkStart w:id="5" w:name="_Toc25057778"/>
      <w:r w:rsidRPr="00FD3029">
        <w:rPr>
          <w:rFonts w:cs="Times New Roman"/>
        </w:rPr>
        <w:t>Table of Contents</w:t>
      </w:r>
      <w:bookmarkEnd w:id="3"/>
      <w:bookmarkEnd w:id="4"/>
      <w:bookmarkEnd w:id="5"/>
    </w:p>
    <w:p w14:paraId="35C400F8" w14:textId="77777777" w:rsidR="004254BF" w:rsidRPr="00FD3029" w:rsidRDefault="004254BF" w:rsidP="004254BF">
      <w:pPr>
        <w:rPr>
          <w:rFonts w:cs="Times New Roman"/>
        </w:rPr>
      </w:pPr>
    </w:p>
    <w:p w14:paraId="6AD08835" w14:textId="59756692" w:rsidR="0027584E" w:rsidRDefault="00924BD9">
      <w:pPr>
        <w:pStyle w:val="TOC1"/>
        <w:tabs>
          <w:tab w:val="right" w:leader="dot" w:pos="9016"/>
        </w:tabs>
        <w:rPr>
          <w:rFonts w:asciiTheme="minorHAnsi" w:eastAsiaTheme="minorEastAsia" w:hAnsiTheme="minorHAnsi"/>
          <w:noProof/>
          <w:sz w:val="22"/>
          <w:lang w:eastAsia="en-GB"/>
        </w:rPr>
      </w:pPr>
      <w:r>
        <w:rPr>
          <w:rFonts w:cs="Times New Roman"/>
          <w:highlight w:val="yellow"/>
        </w:rPr>
        <w:fldChar w:fldCharType="begin"/>
      </w:r>
      <w:r w:rsidR="00BD52E4">
        <w:rPr>
          <w:rFonts w:cs="Times New Roman"/>
          <w:highlight w:val="yellow"/>
        </w:rPr>
        <w:instrText xml:space="preserve"> TOC \o "1-2" \h \z \u </w:instrText>
      </w:r>
      <w:r>
        <w:rPr>
          <w:rFonts w:cs="Times New Roman"/>
          <w:highlight w:val="yellow"/>
        </w:rPr>
        <w:fldChar w:fldCharType="separate"/>
      </w:r>
      <w:hyperlink w:anchor="_Toc25057779" w:history="1">
        <w:r w:rsidR="0027584E" w:rsidRPr="00286804">
          <w:rPr>
            <w:rStyle w:val="Hyperlink"/>
            <w:rFonts w:cs="Times New Roman"/>
            <w:noProof/>
          </w:rPr>
          <w:t>Background</w:t>
        </w:r>
        <w:r w:rsidR="0027584E">
          <w:rPr>
            <w:noProof/>
            <w:webHidden/>
          </w:rPr>
          <w:tab/>
        </w:r>
        <w:r w:rsidR="0027584E">
          <w:rPr>
            <w:noProof/>
            <w:webHidden/>
          </w:rPr>
          <w:fldChar w:fldCharType="begin"/>
        </w:r>
        <w:r w:rsidR="0027584E">
          <w:rPr>
            <w:noProof/>
            <w:webHidden/>
          </w:rPr>
          <w:instrText xml:space="preserve"> PAGEREF _Toc25057779 \h </w:instrText>
        </w:r>
        <w:r w:rsidR="0027584E">
          <w:rPr>
            <w:noProof/>
            <w:webHidden/>
          </w:rPr>
        </w:r>
        <w:r w:rsidR="0027584E">
          <w:rPr>
            <w:noProof/>
            <w:webHidden/>
          </w:rPr>
          <w:fldChar w:fldCharType="separate"/>
        </w:r>
        <w:r w:rsidR="00C254DA">
          <w:rPr>
            <w:noProof/>
            <w:webHidden/>
          </w:rPr>
          <w:t>5</w:t>
        </w:r>
        <w:r w:rsidR="0027584E">
          <w:rPr>
            <w:noProof/>
            <w:webHidden/>
          </w:rPr>
          <w:fldChar w:fldCharType="end"/>
        </w:r>
      </w:hyperlink>
    </w:p>
    <w:p w14:paraId="5D065B8E" w14:textId="40D8CB5E" w:rsidR="0027584E" w:rsidRDefault="00DC5A00">
      <w:pPr>
        <w:pStyle w:val="TOC1"/>
        <w:tabs>
          <w:tab w:val="right" w:leader="dot" w:pos="9016"/>
        </w:tabs>
        <w:rPr>
          <w:rFonts w:asciiTheme="minorHAnsi" w:eastAsiaTheme="minorEastAsia" w:hAnsiTheme="minorHAnsi"/>
          <w:noProof/>
          <w:sz w:val="22"/>
          <w:lang w:eastAsia="en-GB"/>
        </w:rPr>
      </w:pPr>
      <w:hyperlink w:anchor="_Toc25057780" w:history="1">
        <w:r w:rsidR="0027584E" w:rsidRPr="00286804">
          <w:rPr>
            <w:rStyle w:val="Hyperlink"/>
            <w:rFonts w:cs="Times New Roman"/>
            <w:noProof/>
          </w:rPr>
          <w:t>Scope</w:t>
        </w:r>
        <w:r w:rsidR="0027584E">
          <w:rPr>
            <w:noProof/>
            <w:webHidden/>
          </w:rPr>
          <w:tab/>
        </w:r>
        <w:r w:rsidR="0027584E">
          <w:rPr>
            <w:noProof/>
            <w:webHidden/>
          </w:rPr>
          <w:fldChar w:fldCharType="begin"/>
        </w:r>
        <w:r w:rsidR="0027584E">
          <w:rPr>
            <w:noProof/>
            <w:webHidden/>
          </w:rPr>
          <w:instrText xml:space="preserve"> PAGEREF _Toc25057780 \h </w:instrText>
        </w:r>
        <w:r w:rsidR="0027584E">
          <w:rPr>
            <w:noProof/>
            <w:webHidden/>
          </w:rPr>
        </w:r>
        <w:r w:rsidR="0027584E">
          <w:rPr>
            <w:noProof/>
            <w:webHidden/>
          </w:rPr>
          <w:fldChar w:fldCharType="separate"/>
        </w:r>
        <w:r w:rsidR="00C254DA">
          <w:rPr>
            <w:noProof/>
            <w:webHidden/>
          </w:rPr>
          <w:t>5</w:t>
        </w:r>
        <w:r w:rsidR="0027584E">
          <w:rPr>
            <w:noProof/>
            <w:webHidden/>
          </w:rPr>
          <w:fldChar w:fldCharType="end"/>
        </w:r>
      </w:hyperlink>
    </w:p>
    <w:p w14:paraId="57F32BA1" w14:textId="5F723E41" w:rsidR="0027584E" w:rsidRDefault="00DC5A00">
      <w:pPr>
        <w:pStyle w:val="TOC1"/>
        <w:tabs>
          <w:tab w:val="right" w:leader="dot" w:pos="9016"/>
        </w:tabs>
        <w:rPr>
          <w:rFonts w:asciiTheme="minorHAnsi" w:eastAsiaTheme="minorEastAsia" w:hAnsiTheme="minorHAnsi"/>
          <w:noProof/>
          <w:sz w:val="22"/>
          <w:lang w:eastAsia="en-GB"/>
        </w:rPr>
      </w:pPr>
      <w:hyperlink w:anchor="_Toc25057781" w:history="1">
        <w:r w:rsidR="0027584E" w:rsidRPr="00286804">
          <w:rPr>
            <w:rStyle w:val="Hyperlink"/>
            <w:rFonts w:cs="Times New Roman"/>
            <w:noProof/>
          </w:rPr>
          <w:t>Methodology</w:t>
        </w:r>
        <w:r w:rsidR="0027584E">
          <w:rPr>
            <w:noProof/>
            <w:webHidden/>
          </w:rPr>
          <w:tab/>
        </w:r>
        <w:r w:rsidR="0027584E">
          <w:rPr>
            <w:noProof/>
            <w:webHidden/>
          </w:rPr>
          <w:fldChar w:fldCharType="begin"/>
        </w:r>
        <w:r w:rsidR="0027584E">
          <w:rPr>
            <w:noProof/>
            <w:webHidden/>
          </w:rPr>
          <w:instrText xml:space="preserve"> PAGEREF _Toc25057781 \h </w:instrText>
        </w:r>
        <w:r w:rsidR="0027584E">
          <w:rPr>
            <w:noProof/>
            <w:webHidden/>
          </w:rPr>
        </w:r>
        <w:r w:rsidR="0027584E">
          <w:rPr>
            <w:noProof/>
            <w:webHidden/>
          </w:rPr>
          <w:fldChar w:fldCharType="separate"/>
        </w:r>
        <w:r w:rsidR="00C254DA">
          <w:rPr>
            <w:noProof/>
            <w:webHidden/>
          </w:rPr>
          <w:t>6</w:t>
        </w:r>
        <w:r w:rsidR="0027584E">
          <w:rPr>
            <w:noProof/>
            <w:webHidden/>
          </w:rPr>
          <w:fldChar w:fldCharType="end"/>
        </w:r>
      </w:hyperlink>
    </w:p>
    <w:p w14:paraId="26DD9F8C" w14:textId="5A2C9AAB" w:rsidR="0027584E" w:rsidRDefault="00DC5A00" w:rsidP="0027584E">
      <w:pPr>
        <w:pStyle w:val="TOC2"/>
        <w:rPr>
          <w:rFonts w:asciiTheme="minorHAnsi" w:eastAsiaTheme="minorEastAsia" w:hAnsiTheme="minorHAnsi"/>
          <w:noProof/>
          <w:sz w:val="22"/>
          <w:lang w:eastAsia="en-GB"/>
        </w:rPr>
      </w:pPr>
      <w:hyperlink w:anchor="_Toc25057782" w:history="1">
        <w:r w:rsidR="0027584E" w:rsidRPr="00286804">
          <w:rPr>
            <w:rStyle w:val="Hyperlink"/>
            <w:rFonts w:cs="Times New Roman"/>
            <w:noProof/>
          </w:rPr>
          <w:t>A.</w:t>
        </w:r>
        <w:r w:rsidR="0027584E">
          <w:rPr>
            <w:rFonts w:asciiTheme="minorHAnsi" w:eastAsiaTheme="minorEastAsia" w:hAnsiTheme="minorHAnsi"/>
            <w:noProof/>
            <w:sz w:val="22"/>
            <w:lang w:eastAsia="en-GB"/>
          </w:rPr>
          <w:tab/>
        </w:r>
        <w:r w:rsidR="0027584E" w:rsidRPr="00286804">
          <w:rPr>
            <w:rStyle w:val="Hyperlink"/>
            <w:rFonts w:cs="Times New Roman"/>
            <w:noProof/>
          </w:rPr>
          <w:t>Questionnaire Responses</w:t>
        </w:r>
        <w:r w:rsidR="0027584E">
          <w:rPr>
            <w:noProof/>
            <w:webHidden/>
          </w:rPr>
          <w:tab/>
        </w:r>
        <w:r w:rsidR="0027584E">
          <w:rPr>
            <w:noProof/>
            <w:webHidden/>
          </w:rPr>
          <w:fldChar w:fldCharType="begin"/>
        </w:r>
        <w:r w:rsidR="0027584E">
          <w:rPr>
            <w:noProof/>
            <w:webHidden/>
          </w:rPr>
          <w:instrText xml:space="preserve"> PAGEREF _Toc25057782 \h </w:instrText>
        </w:r>
        <w:r w:rsidR="0027584E">
          <w:rPr>
            <w:noProof/>
            <w:webHidden/>
          </w:rPr>
        </w:r>
        <w:r w:rsidR="0027584E">
          <w:rPr>
            <w:noProof/>
            <w:webHidden/>
          </w:rPr>
          <w:fldChar w:fldCharType="separate"/>
        </w:r>
        <w:r w:rsidR="00C254DA">
          <w:rPr>
            <w:noProof/>
            <w:webHidden/>
          </w:rPr>
          <w:t>7</w:t>
        </w:r>
        <w:r w:rsidR="0027584E">
          <w:rPr>
            <w:noProof/>
            <w:webHidden/>
          </w:rPr>
          <w:fldChar w:fldCharType="end"/>
        </w:r>
      </w:hyperlink>
    </w:p>
    <w:p w14:paraId="1F3E9275" w14:textId="52762465" w:rsidR="0027584E" w:rsidRDefault="00DC5A00">
      <w:pPr>
        <w:pStyle w:val="TOC1"/>
        <w:tabs>
          <w:tab w:val="right" w:leader="dot" w:pos="9016"/>
        </w:tabs>
        <w:rPr>
          <w:rFonts w:asciiTheme="minorHAnsi" w:eastAsiaTheme="minorEastAsia" w:hAnsiTheme="minorHAnsi"/>
          <w:noProof/>
          <w:sz w:val="22"/>
          <w:lang w:eastAsia="en-GB"/>
        </w:rPr>
      </w:pPr>
      <w:hyperlink w:anchor="_Toc25057783" w:history="1">
        <w:r w:rsidR="0027584E" w:rsidRPr="00286804">
          <w:rPr>
            <w:rStyle w:val="Hyperlink"/>
            <w:rFonts w:cs="Times New Roman"/>
            <w:noProof/>
          </w:rPr>
          <w:t>Key Observations</w:t>
        </w:r>
        <w:r w:rsidR="0027584E">
          <w:rPr>
            <w:noProof/>
            <w:webHidden/>
          </w:rPr>
          <w:tab/>
        </w:r>
        <w:r w:rsidR="0027584E">
          <w:rPr>
            <w:noProof/>
            <w:webHidden/>
          </w:rPr>
          <w:fldChar w:fldCharType="begin"/>
        </w:r>
        <w:r w:rsidR="0027584E">
          <w:rPr>
            <w:noProof/>
            <w:webHidden/>
          </w:rPr>
          <w:instrText xml:space="preserve"> PAGEREF _Toc25057783 \h </w:instrText>
        </w:r>
        <w:r w:rsidR="0027584E">
          <w:rPr>
            <w:noProof/>
            <w:webHidden/>
          </w:rPr>
        </w:r>
        <w:r w:rsidR="0027584E">
          <w:rPr>
            <w:noProof/>
            <w:webHidden/>
          </w:rPr>
          <w:fldChar w:fldCharType="separate"/>
        </w:r>
        <w:r w:rsidR="00C254DA">
          <w:rPr>
            <w:noProof/>
            <w:webHidden/>
          </w:rPr>
          <w:t>9</w:t>
        </w:r>
        <w:r w:rsidR="0027584E">
          <w:rPr>
            <w:noProof/>
            <w:webHidden/>
          </w:rPr>
          <w:fldChar w:fldCharType="end"/>
        </w:r>
      </w:hyperlink>
    </w:p>
    <w:p w14:paraId="3E8548C1" w14:textId="715468B1" w:rsidR="0027584E" w:rsidRDefault="00DC5A00" w:rsidP="0027584E">
      <w:pPr>
        <w:pStyle w:val="TOC2"/>
        <w:rPr>
          <w:rFonts w:asciiTheme="minorHAnsi" w:eastAsiaTheme="minorEastAsia" w:hAnsiTheme="minorHAnsi"/>
          <w:noProof/>
          <w:sz w:val="22"/>
          <w:lang w:eastAsia="en-GB"/>
        </w:rPr>
      </w:pPr>
      <w:hyperlink w:anchor="_Toc25057784" w:history="1">
        <w:r w:rsidR="0027584E" w:rsidRPr="00286804">
          <w:rPr>
            <w:rStyle w:val="Hyperlink"/>
            <w:rFonts w:cs="Times New Roman"/>
            <w:noProof/>
          </w:rPr>
          <w:t>A.</w:t>
        </w:r>
        <w:r w:rsidR="0027584E">
          <w:rPr>
            <w:rFonts w:asciiTheme="minorHAnsi" w:eastAsiaTheme="minorEastAsia" w:hAnsiTheme="minorHAnsi"/>
            <w:noProof/>
            <w:sz w:val="22"/>
            <w:lang w:eastAsia="en-GB"/>
          </w:rPr>
          <w:tab/>
        </w:r>
        <w:r w:rsidR="0027584E" w:rsidRPr="00286804">
          <w:rPr>
            <w:rStyle w:val="Hyperlink"/>
            <w:rFonts w:cs="Times New Roman"/>
            <w:noProof/>
          </w:rPr>
          <w:t>Current use of non-State-based grievance mechanisms in cases of business-related human rights abuse</w:t>
        </w:r>
        <w:r w:rsidR="0027584E">
          <w:rPr>
            <w:noProof/>
            <w:webHidden/>
          </w:rPr>
          <w:tab/>
        </w:r>
        <w:r w:rsidR="0027584E">
          <w:rPr>
            <w:noProof/>
            <w:webHidden/>
          </w:rPr>
          <w:fldChar w:fldCharType="begin"/>
        </w:r>
        <w:r w:rsidR="0027584E">
          <w:rPr>
            <w:noProof/>
            <w:webHidden/>
          </w:rPr>
          <w:instrText xml:space="preserve"> PAGEREF _Toc25057784 \h </w:instrText>
        </w:r>
        <w:r w:rsidR="0027584E">
          <w:rPr>
            <w:noProof/>
            <w:webHidden/>
          </w:rPr>
        </w:r>
        <w:r w:rsidR="0027584E">
          <w:rPr>
            <w:noProof/>
            <w:webHidden/>
          </w:rPr>
          <w:fldChar w:fldCharType="separate"/>
        </w:r>
        <w:r w:rsidR="00C254DA">
          <w:rPr>
            <w:noProof/>
            <w:webHidden/>
          </w:rPr>
          <w:t>9</w:t>
        </w:r>
        <w:r w:rsidR="0027584E">
          <w:rPr>
            <w:noProof/>
            <w:webHidden/>
          </w:rPr>
          <w:fldChar w:fldCharType="end"/>
        </w:r>
      </w:hyperlink>
    </w:p>
    <w:p w14:paraId="1A44DB13" w14:textId="3ADAB7B2" w:rsidR="0027584E" w:rsidRDefault="00DC5A00" w:rsidP="0027584E">
      <w:pPr>
        <w:pStyle w:val="TOC2"/>
        <w:rPr>
          <w:rFonts w:asciiTheme="minorHAnsi" w:eastAsiaTheme="minorEastAsia" w:hAnsiTheme="minorHAnsi"/>
          <w:noProof/>
          <w:sz w:val="22"/>
          <w:lang w:eastAsia="en-GB"/>
        </w:rPr>
      </w:pPr>
      <w:hyperlink w:anchor="_Toc25057785" w:history="1">
        <w:r w:rsidR="0027584E" w:rsidRPr="00286804">
          <w:rPr>
            <w:rStyle w:val="Hyperlink"/>
            <w:rFonts w:cs="Times New Roman"/>
            <w:noProof/>
          </w:rPr>
          <w:t>B.</w:t>
        </w:r>
        <w:r w:rsidR="0027584E">
          <w:rPr>
            <w:rFonts w:asciiTheme="minorHAnsi" w:eastAsiaTheme="minorEastAsia" w:hAnsiTheme="minorHAnsi"/>
            <w:noProof/>
            <w:sz w:val="22"/>
            <w:lang w:eastAsia="en-GB"/>
          </w:rPr>
          <w:tab/>
        </w:r>
        <w:r w:rsidR="0027584E" w:rsidRPr="00286804">
          <w:rPr>
            <w:rStyle w:val="Hyperlink"/>
            <w:rFonts w:cs="Times New Roman"/>
            <w:noProof/>
          </w:rPr>
          <w:t>Notable trends relating to the design and performance of non-State-based grievance mechanisms</w:t>
        </w:r>
        <w:r w:rsidR="0027584E">
          <w:rPr>
            <w:noProof/>
            <w:webHidden/>
          </w:rPr>
          <w:tab/>
        </w:r>
        <w:r w:rsidR="0027584E">
          <w:rPr>
            <w:noProof/>
            <w:webHidden/>
          </w:rPr>
          <w:fldChar w:fldCharType="begin"/>
        </w:r>
        <w:r w:rsidR="0027584E">
          <w:rPr>
            <w:noProof/>
            <w:webHidden/>
          </w:rPr>
          <w:instrText xml:space="preserve"> PAGEREF _Toc25057785 \h </w:instrText>
        </w:r>
        <w:r w:rsidR="0027584E">
          <w:rPr>
            <w:noProof/>
            <w:webHidden/>
          </w:rPr>
        </w:r>
        <w:r w:rsidR="0027584E">
          <w:rPr>
            <w:noProof/>
            <w:webHidden/>
          </w:rPr>
          <w:fldChar w:fldCharType="separate"/>
        </w:r>
        <w:r w:rsidR="00C254DA">
          <w:rPr>
            <w:noProof/>
            <w:webHidden/>
          </w:rPr>
          <w:t>12</w:t>
        </w:r>
        <w:r w:rsidR="0027584E">
          <w:rPr>
            <w:noProof/>
            <w:webHidden/>
          </w:rPr>
          <w:fldChar w:fldCharType="end"/>
        </w:r>
      </w:hyperlink>
    </w:p>
    <w:p w14:paraId="5E951BE7" w14:textId="0EB5DDB8" w:rsidR="0027584E" w:rsidRDefault="00DC5A00" w:rsidP="0027584E">
      <w:pPr>
        <w:pStyle w:val="TOC2"/>
        <w:rPr>
          <w:rFonts w:asciiTheme="minorHAnsi" w:eastAsiaTheme="minorEastAsia" w:hAnsiTheme="minorHAnsi"/>
          <w:noProof/>
          <w:sz w:val="22"/>
          <w:lang w:eastAsia="en-GB"/>
        </w:rPr>
      </w:pPr>
      <w:hyperlink w:anchor="_Toc25057786" w:history="1">
        <w:r w:rsidR="0027584E" w:rsidRPr="00286804">
          <w:rPr>
            <w:rStyle w:val="Hyperlink"/>
            <w:rFonts w:cs="Times New Roman"/>
            <w:noProof/>
          </w:rPr>
          <w:t>C.</w:t>
        </w:r>
        <w:r w:rsidR="0027584E">
          <w:rPr>
            <w:rFonts w:asciiTheme="minorHAnsi" w:eastAsiaTheme="minorEastAsia" w:hAnsiTheme="minorHAnsi"/>
            <w:noProof/>
            <w:sz w:val="22"/>
            <w:lang w:eastAsia="en-GB"/>
          </w:rPr>
          <w:tab/>
        </w:r>
        <w:r w:rsidR="0027584E" w:rsidRPr="00286804">
          <w:rPr>
            <w:rStyle w:val="Hyperlink"/>
            <w:rFonts w:cs="Times New Roman"/>
            <w:noProof/>
          </w:rPr>
          <w:t>Legal, structural, and policy issues in need of further attention and prioritisation</w:t>
        </w:r>
        <w:r w:rsidR="0027584E">
          <w:rPr>
            <w:noProof/>
            <w:webHidden/>
          </w:rPr>
          <w:tab/>
        </w:r>
        <w:r w:rsidR="0027584E">
          <w:rPr>
            <w:noProof/>
            <w:webHidden/>
          </w:rPr>
          <w:fldChar w:fldCharType="begin"/>
        </w:r>
        <w:r w:rsidR="0027584E">
          <w:rPr>
            <w:noProof/>
            <w:webHidden/>
          </w:rPr>
          <w:instrText xml:space="preserve"> PAGEREF _Toc25057786 \h </w:instrText>
        </w:r>
        <w:r w:rsidR="0027584E">
          <w:rPr>
            <w:noProof/>
            <w:webHidden/>
          </w:rPr>
        </w:r>
        <w:r w:rsidR="0027584E">
          <w:rPr>
            <w:noProof/>
            <w:webHidden/>
          </w:rPr>
          <w:fldChar w:fldCharType="separate"/>
        </w:r>
        <w:r w:rsidR="00C254DA">
          <w:rPr>
            <w:noProof/>
            <w:webHidden/>
          </w:rPr>
          <w:t>17</w:t>
        </w:r>
        <w:r w:rsidR="0027584E">
          <w:rPr>
            <w:noProof/>
            <w:webHidden/>
          </w:rPr>
          <w:fldChar w:fldCharType="end"/>
        </w:r>
      </w:hyperlink>
    </w:p>
    <w:p w14:paraId="195C4902" w14:textId="27F8041E" w:rsidR="0027584E" w:rsidRDefault="00DC5A00" w:rsidP="0027584E">
      <w:pPr>
        <w:pStyle w:val="TOC2"/>
        <w:rPr>
          <w:rFonts w:asciiTheme="minorHAnsi" w:eastAsiaTheme="minorEastAsia" w:hAnsiTheme="minorHAnsi"/>
          <w:noProof/>
          <w:sz w:val="22"/>
          <w:lang w:eastAsia="en-GB"/>
        </w:rPr>
      </w:pPr>
      <w:hyperlink w:anchor="_Toc25057787" w:history="1">
        <w:r w:rsidR="0027584E" w:rsidRPr="00286804">
          <w:rPr>
            <w:rStyle w:val="Hyperlink"/>
            <w:noProof/>
          </w:rPr>
          <w:t>D.</w:t>
        </w:r>
        <w:r w:rsidR="0027584E">
          <w:rPr>
            <w:rFonts w:asciiTheme="minorHAnsi" w:eastAsiaTheme="minorEastAsia" w:hAnsiTheme="minorHAnsi"/>
            <w:noProof/>
            <w:sz w:val="22"/>
            <w:lang w:eastAsia="en-GB"/>
          </w:rPr>
          <w:tab/>
        </w:r>
        <w:r w:rsidR="0027584E" w:rsidRPr="00286804">
          <w:rPr>
            <w:rStyle w:val="Hyperlink"/>
            <w:noProof/>
          </w:rPr>
          <w:t>Practical implementation of the UNGP “effectiveness criteria”</w:t>
        </w:r>
        <w:r w:rsidR="0027584E">
          <w:rPr>
            <w:noProof/>
            <w:webHidden/>
          </w:rPr>
          <w:tab/>
        </w:r>
        <w:r w:rsidR="0027584E">
          <w:rPr>
            <w:noProof/>
            <w:webHidden/>
          </w:rPr>
          <w:fldChar w:fldCharType="begin"/>
        </w:r>
        <w:r w:rsidR="0027584E">
          <w:rPr>
            <w:noProof/>
            <w:webHidden/>
          </w:rPr>
          <w:instrText xml:space="preserve"> PAGEREF _Toc25057787 \h </w:instrText>
        </w:r>
        <w:r w:rsidR="0027584E">
          <w:rPr>
            <w:noProof/>
            <w:webHidden/>
          </w:rPr>
        </w:r>
        <w:r w:rsidR="0027584E">
          <w:rPr>
            <w:noProof/>
            <w:webHidden/>
          </w:rPr>
          <w:fldChar w:fldCharType="separate"/>
        </w:r>
        <w:r w:rsidR="00C254DA">
          <w:rPr>
            <w:noProof/>
            <w:webHidden/>
          </w:rPr>
          <w:t>23</w:t>
        </w:r>
        <w:r w:rsidR="0027584E">
          <w:rPr>
            <w:noProof/>
            <w:webHidden/>
          </w:rPr>
          <w:fldChar w:fldCharType="end"/>
        </w:r>
      </w:hyperlink>
    </w:p>
    <w:p w14:paraId="04698E46" w14:textId="78BFE829" w:rsidR="0027584E" w:rsidRDefault="00DC5A00">
      <w:pPr>
        <w:pStyle w:val="TOC1"/>
        <w:tabs>
          <w:tab w:val="right" w:leader="dot" w:pos="9016"/>
        </w:tabs>
        <w:rPr>
          <w:rFonts w:asciiTheme="minorHAnsi" w:eastAsiaTheme="minorEastAsia" w:hAnsiTheme="minorHAnsi"/>
          <w:noProof/>
          <w:sz w:val="22"/>
          <w:lang w:eastAsia="en-GB"/>
        </w:rPr>
      </w:pPr>
      <w:hyperlink w:anchor="_Toc25057788" w:history="1">
        <w:r w:rsidR="000939A2">
          <w:rPr>
            <w:rStyle w:val="Hyperlink"/>
            <w:rFonts w:cs="Times New Roman"/>
            <w:noProof/>
          </w:rPr>
          <w:t>Next S</w:t>
        </w:r>
        <w:r w:rsidR="0027584E" w:rsidRPr="00286804">
          <w:rPr>
            <w:rStyle w:val="Hyperlink"/>
            <w:rFonts w:cs="Times New Roman"/>
            <w:noProof/>
          </w:rPr>
          <w:t>teps</w:t>
        </w:r>
        <w:r w:rsidR="0027584E">
          <w:rPr>
            <w:noProof/>
            <w:webHidden/>
          </w:rPr>
          <w:tab/>
        </w:r>
        <w:r w:rsidR="0027584E">
          <w:rPr>
            <w:noProof/>
            <w:webHidden/>
          </w:rPr>
          <w:fldChar w:fldCharType="begin"/>
        </w:r>
        <w:r w:rsidR="0027584E">
          <w:rPr>
            <w:noProof/>
            <w:webHidden/>
          </w:rPr>
          <w:instrText xml:space="preserve"> PAGEREF _Toc25057788 \h </w:instrText>
        </w:r>
        <w:r w:rsidR="0027584E">
          <w:rPr>
            <w:noProof/>
            <w:webHidden/>
          </w:rPr>
        </w:r>
        <w:r w:rsidR="0027584E">
          <w:rPr>
            <w:noProof/>
            <w:webHidden/>
          </w:rPr>
          <w:fldChar w:fldCharType="separate"/>
        </w:r>
        <w:r w:rsidR="00C254DA">
          <w:rPr>
            <w:noProof/>
            <w:webHidden/>
          </w:rPr>
          <w:t>24</w:t>
        </w:r>
        <w:r w:rsidR="0027584E">
          <w:rPr>
            <w:noProof/>
            <w:webHidden/>
          </w:rPr>
          <w:fldChar w:fldCharType="end"/>
        </w:r>
      </w:hyperlink>
    </w:p>
    <w:p w14:paraId="6083BDEA" w14:textId="5DEB24A7" w:rsidR="0027584E" w:rsidRDefault="00DC5A00">
      <w:pPr>
        <w:pStyle w:val="TOC1"/>
        <w:tabs>
          <w:tab w:val="right" w:leader="dot" w:pos="9016"/>
        </w:tabs>
        <w:rPr>
          <w:rFonts w:asciiTheme="minorHAnsi" w:eastAsiaTheme="minorEastAsia" w:hAnsiTheme="minorHAnsi"/>
          <w:noProof/>
          <w:sz w:val="22"/>
          <w:lang w:eastAsia="en-GB"/>
        </w:rPr>
      </w:pPr>
      <w:hyperlink w:anchor="_Toc25057789" w:history="1">
        <w:r w:rsidR="0027584E" w:rsidRPr="00286804">
          <w:rPr>
            <w:rStyle w:val="Hyperlink"/>
            <w:noProof/>
          </w:rPr>
          <w:t>Annex: Illustrative examples of features of non-State-based grievance mechanisms potentially relevant to the implementation of the UNGP “effectiveness criteria”</w:t>
        </w:r>
        <w:r w:rsidR="0027584E">
          <w:rPr>
            <w:noProof/>
            <w:webHidden/>
          </w:rPr>
          <w:tab/>
        </w:r>
        <w:r w:rsidR="0027584E">
          <w:rPr>
            <w:noProof/>
            <w:webHidden/>
          </w:rPr>
          <w:fldChar w:fldCharType="begin"/>
        </w:r>
        <w:r w:rsidR="0027584E">
          <w:rPr>
            <w:noProof/>
            <w:webHidden/>
          </w:rPr>
          <w:instrText xml:space="preserve"> PAGEREF _Toc25057789 \h </w:instrText>
        </w:r>
        <w:r w:rsidR="0027584E">
          <w:rPr>
            <w:noProof/>
            <w:webHidden/>
          </w:rPr>
        </w:r>
        <w:r w:rsidR="0027584E">
          <w:rPr>
            <w:noProof/>
            <w:webHidden/>
          </w:rPr>
          <w:fldChar w:fldCharType="separate"/>
        </w:r>
        <w:r w:rsidR="00C254DA">
          <w:rPr>
            <w:noProof/>
            <w:webHidden/>
          </w:rPr>
          <w:t>25</w:t>
        </w:r>
        <w:r w:rsidR="0027584E">
          <w:rPr>
            <w:noProof/>
            <w:webHidden/>
          </w:rPr>
          <w:fldChar w:fldCharType="end"/>
        </w:r>
      </w:hyperlink>
    </w:p>
    <w:p w14:paraId="28DEBE21" w14:textId="51F387F2" w:rsidR="004254BF" w:rsidRPr="00FD3029" w:rsidRDefault="00924BD9" w:rsidP="004254BF">
      <w:pPr>
        <w:rPr>
          <w:rFonts w:cs="Times New Roman"/>
          <w:highlight w:val="yellow"/>
        </w:rPr>
      </w:pPr>
      <w:r>
        <w:rPr>
          <w:rFonts w:cs="Times New Roman"/>
          <w:highlight w:val="yellow"/>
        </w:rPr>
        <w:fldChar w:fldCharType="end"/>
      </w:r>
      <w:r w:rsidR="004254BF" w:rsidRPr="00FD3029">
        <w:rPr>
          <w:rFonts w:cs="Times New Roman"/>
          <w:highlight w:val="yellow"/>
        </w:rPr>
        <w:br w:type="page"/>
      </w:r>
    </w:p>
    <w:p w14:paraId="0430C8B1" w14:textId="77777777" w:rsidR="004254BF" w:rsidRPr="00FD3029" w:rsidRDefault="004254BF" w:rsidP="00BD53DC">
      <w:pPr>
        <w:pStyle w:val="Heading1"/>
        <w:spacing w:before="0"/>
        <w:rPr>
          <w:rFonts w:cs="Times New Roman"/>
        </w:rPr>
      </w:pPr>
      <w:bookmarkStart w:id="6" w:name="_Toc25057779"/>
      <w:r w:rsidRPr="00FD3029">
        <w:rPr>
          <w:rFonts w:cs="Times New Roman"/>
        </w:rPr>
        <w:t>Background</w:t>
      </w:r>
      <w:bookmarkEnd w:id="6"/>
    </w:p>
    <w:p w14:paraId="5E8FD377" w14:textId="77777777" w:rsidR="00BD53DC" w:rsidRPr="00FD3029" w:rsidRDefault="00BD53DC" w:rsidP="00BD53DC">
      <w:pPr>
        <w:jc w:val="both"/>
        <w:rPr>
          <w:rFonts w:cs="Times New Roman"/>
          <w:szCs w:val="24"/>
        </w:rPr>
      </w:pPr>
    </w:p>
    <w:p w14:paraId="4EB059AA" w14:textId="77777777" w:rsidR="00B427AF" w:rsidRPr="00FD3029" w:rsidRDefault="00B427AF" w:rsidP="00BD53DC">
      <w:pPr>
        <w:jc w:val="both"/>
        <w:rPr>
          <w:rFonts w:cs="Times New Roman"/>
          <w:szCs w:val="24"/>
        </w:rPr>
      </w:pPr>
      <w:r w:rsidRPr="00FD3029">
        <w:rPr>
          <w:rFonts w:cs="Times New Roman"/>
          <w:szCs w:val="24"/>
        </w:rPr>
        <w:t>The OHCHR’s Accountability and Remedy Project (ARP) is a process aimed at strengthening implementation of the Third Pillar of the UN Guiding Principles on Business and Human Rights (UNGPs) relating to Access to Remedy.  Since 2014, OHCHR has completed two phases of ARP (ARP I and ARP II), which focused on State-based judicial and non-judicial mechanisms, respectively.</w:t>
      </w:r>
      <w:r w:rsidRPr="00FD3029">
        <w:rPr>
          <w:rStyle w:val="FootnoteReference"/>
          <w:rFonts w:cs="Times New Roman"/>
          <w:szCs w:val="24"/>
        </w:rPr>
        <w:footnoteReference w:id="1"/>
      </w:r>
      <w:r w:rsidR="0051778D" w:rsidRPr="00FD3029">
        <w:rPr>
          <w:rFonts w:cs="Times New Roman"/>
          <w:szCs w:val="24"/>
        </w:rPr>
        <w:t xml:space="preserve">  This work was undertaken pursuant to mandates received from the Human Rights Council (see Resolutions </w:t>
      </w:r>
      <w:hyperlink r:id="rId19" w:history="1">
        <w:r w:rsidR="0051778D" w:rsidRPr="00FD3029">
          <w:rPr>
            <w:rStyle w:val="Hyperlink"/>
            <w:rFonts w:cs="Times New Roman"/>
            <w:szCs w:val="24"/>
          </w:rPr>
          <w:t>26/22 (2014)</w:t>
        </w:r>
      </w:hyperlink>
      <w:r w:rsidR="0051778D" w:rsidRPr="00FD3029">
        <w:rPr>
          <w:rFonts w:cs="Times New Roman"/>
          <w:szCs w:val="24"/>
        </w:rPr>
        <w:t xml:space="preserve"> and </w:t>
      </w:r>
      <w:hyperlink r:id="rId20" w:history="1">
        <w:r w:rsidR="0051778D" w:rsidRPr="00FD3029">
          <w:rPr>
            <w:rStyle w:val="Hyperlink"/>
            <w:rFonts w:cs="Times New Roman"/>
            <w:szCs w:val="24"/>
          </w:rPr>
          <w:t>32/10 (2016)</w:t>
        </w:r>
      </w:hyperlink>
      <w:r w:rsidR="0051778D" w:rsidRPr="00FD3029">
        <w:rPr>
          <w:rFonts w:cs="Times New Roman"/>
          <w:szCs w:val="24"/>
        </w:rPr>
        <w:t>).</w:t>
      </w:r>
    </w:p>
    <w:p w14:paraId="5E6CBC00" w14:textId="77777777" w:rsidR="00B427AF" w:rsidRPr="00FD3029" w:rsidRDefault="00B427AF" w:rsidP="00BD53DC">
      <w:pPr>
        <w:jc w:val="both"/>
        <w:rPr>
          <w:rFonts w:cs="Times New Roman"/>
          <w:szCs w:val="24"/>
        </w:rPr>
      </w:pPr>
    </w:p>
    <w:p w14:paraId="0C7545C3" w14:textId="77777777" w:rsidR="004254BF" w:rsidRDefault="004254BF" w:rsidP="00BD53DC">
      <w:pPr>
        <w:jc w:val="both"/>
        <w:rPr>
          <w:rFonts w:cs="Times New Roman"/>
          <w:szCs w:val="24"/>
        </w:rPr>
      </w:pPr>
      <w:r w:rsidRPr="00FD3029">
        <w:rPr>
          <w:rFonts w:cs="Times New Roman"/>
          <w:szCs w:val="24"/>
        </w:rPr>
        <w:t xml:space="preserve">On 6 July 2018, the Human Rights Council adopted </w:t>
      </w:r>
      <w:r w:rsidR="0051778D" w:rsidRPr="00FD3029">
        <w:rPr>
          <w:rFonts w:cs="Times New Roman"/>
          <w:szCs w:val="24"/>
        </w:rPr>
        <w:t xml:space="preserve">Resolution </w:t>
      </w:r>
      <w:hyperlink r:id="rId21" w:history="1">
        <w:r w:rsidR="0051778D" w:rsidRPr="00FD3029">
          <w:rPr>
            <w:rStyle w:val="Hyperlink"/>
            <w:rFonts w:cs="Times New Roman"/>
            <w:szCs w:val="24"/>
          </w:rPr>
          <w:t>38/13</w:t>
        </w:r>
      </w:hyperlink>
      <w:r w:rsidRPr="00FD3029">
        <w:rPr>
          <w:rFonts w:cs="Times New Roman"/>
          <w:szCs w:val="24"/>
        </w:rPr>
        <w:t xml:space="preserve"> by consensus, welcoming the work of OHCHR on improving accountability and access to remedy for victims of business-related human rights abuse, and requesting OHCHR to continue its work in this area</w:t>
      </w:r>
      <w:r w:rsidR="00D95E1B">
        <w:rPr>
          <w:rFonts w:cs="Times New Roman"/>
          <w:szCs w:val="24"/>
        </w:rPr>
        <w:t>, specifically:</w:t>
      </w:r>
    </w:p>
    <w:p w14:paraId="0A0203B0" w14:textId="77777777" w:rsidR="00D95E1B" w:rsidRPr="00FD3029" w:rsidRDefault="00D95E1B" w:rsidP="00BD53DC">
      <w:pPr>
        <w:jc w:val="both"/>
        <w:rPr>
          <w:rFonts w:cs="Times New Roman"/>
          <w:szCs w:val="24"/>
        </w:rPr>
      </w:pPr>
    </w:p>
    <w:p w14:paraId="0A54331C" w14:textId="77777777" w:rsidR="00D95E1B" w:rsidRDefault="004254BF">
      <w:pPr>
        <w:ind w:left="720" w:right="804"/>
        <w:jc w:val="both"/>
        <w:rPr>
          <w:rFonts w:cs="Times New Roman"/>
          <w:i/>
          <w:szCs w:val="24"/>
        </w:rPr>
      </w:pPr>
      <w:r w:rsidRPr="00FD3029">
        <w:rPr>
          <w:rFonts w:cs="Times New Roman"/>
          <w:i/>
          <w:szCs w:val="24"/>
        </w:rPr>
        <w:t xml:space="preserve">"to identify and analyse challenges, opportunities, best practices and lessons learned with regard to </w:t>
      </w:r>
      <w:r w:rsidR="00DF4F0F" w:rsidRPr="00DF4F0F">
        <w:rPr>
          <w:rFonts w:cs="Times New Roman"/>
          <w:b/>
          <w:i/>
          <w:szCs w:val="24"/>
        </w:rPr>
        <w:t>non-state-based grievance mechanisms</w:t>
      </w:r>
      <w:r w:rsidRPr="00FD3029">
        <w:rPr>
          <w:rFonts w:cs="Times New Roman"/>
          <w:i/>
          <w:szCs w:val="24"/>
        </w:rPr>
        <w:t xml:space="preserve"> that are relevant to the respect by business enterprises for human rights, . . . and to submit a report thereon to the Human Rights Council for consideration at its forty-fourth session.</w:t>
      </w:r>
      <w:r w:rsidR="00F3551A" w:rsidRPr="00FD3029">
        <w:rPr>
          <w:rFonts w:cs="Times New Roman"/>
          <w:i/>
          <w:szCs w:val="24"/>
        </w:rPr>
        <w:t>”</w:t>
      </w:r>
    </w:p>
    <w:p w14:paraId="5B39672D" w14:textId="77777777" w:rsidR="00BD53DC" w:rsidRPr="00FD3029" w:rsidRDefault="00BD53DC" w:rsidP="00BD53DC">
      <w:pPr>
        <w:jc w:val="both"/>
        <w:rPr>
          <w:rFonts w:cs="Times New Roman"/>
          <w:szCs w:val="24"/>
        </w:rPr>
      </w:pPr>
    </w:p>
    <w:p w14:paraId="4438176B" w14:textId="77777777" w:rsidR="004254BF" w:rsidRPr="00FD3029" w:rsidRDefault="004254BF" w:rsidP="00BD53DC">
      <w:pPr>
        <w:jc w:val="both"/>
        <w:rPr>
          <w:rFonts w:cs="Times New Roman"/>
          <w:szCs w:val="24"/>
        </w:rPr>
      </w:pPr>
      <w:r w:rsidRPr="00FD3029">
        <w:rPr>
          <w:rFonts w:cs="Times New Roman"/>
          <w:szCs w:val="24"/>
        </w:rPr>
        <w:t>In response to this request from the Human Rights Council, OHCHR launched the third phase of its Accountability and Remedy Project (ARP III).</w:t>
      </w:r>
    </w:p>
    <w:p w14:paraId="36E73731" w14:textId="77777777" w:rsidR="00BD53DC" w:rsidRPr="00FD3029" w:rsidRDefault="00BD53DC" w:rsidP="00BD53DC">
      <w:pPr>
        <w:jc w:val="both"/>
        <w:rPr>
          <w:rFonts w:cs="Times New Roman"/>
          <w:szCs w:val="24"/>
        </w:rPr>
      </w:pPr>
    </w:p>
    <w:p w14:paraId="5F3D2C0A" w14:textId="77777777" w:rsidR="00BD53DC" w:rsidRPr="00FD3029" w:rsidRDefault="00BD53DC" w:rsidP="00BD53DC">
      <w:pPr>
        <w:jc w:val="both"/>
        <w:rPr>
          <w:rFonts w:cs="Times New Roman"/>
          <w:szCs w:val="24"/>
        </w:rPr>
      </w:pPr>
    </w:p>
    <w:p w14:paraId="48CF6249" w14:textId="77777777" w:rsidR="004254BF" w:rsidRPr="00FD3029" w:rsidRDefault="004254BF" w:rsidP="00BD53DC">
      <w:pPr>
        <w:pStyle w:val="Heading1"/>
        <w:spacing w:before="0"/>
        <w:rPr>
          <w:rFonts w:cs="Times New Roman"/>
        </w:rPr>
      </w:pPr>
      <w:bookmarkStart w:id="7" w:name="_Toc25057780"/>
      <w:r w:rsidRPr="00FD3029">
        <w:rPr>
          <w:rFonts w:cs="Times New Roman"/>
        </w:rPr>
        <w:t>Scope</w:t>
      </w:r>
      <w:bookmarkEnd w:id="7"/>
    </w:p>
    <w:p w14:paraId="56FA5E83" w14:textId="77777777" w:rsidR="00BD53DC" w:rsidRPr="00FD3029" w:rsidRDefault="00BD53DC" w:rsidP="00BD53DC">
      <w:pPr>
        <w:jc w:val="both"/>
        <w:rPr>
          <w:rFonts w:cs="Times New Roman"/>
          <w:szCs w:val="24"/>
        </w:rPr>
      </w:pPr>
    </w:p>
    <w:p w14:paraId="5E08B92E" w14:textId="77777777" w:rsidR="00BD53DC" w:rsidRDefault="004254BF" w:rsidP="00BD53DC">
      <w:pPr>
        <w:jc w:val="both"/>
        <w:rPr>
          <w:rFonts w:cs="Times New Roman"/>
          <w:szCs w:val="24"/>
        </w:rPr>
      </w:pPr>
      <w:r w:rsidRPr="00FD3029">
        <w:rPr>
          <w:rFonts w:cs="Times New Roman"/>
          <w:szCs w:val="24"/>
        </w:rPr>
        <w:t>“</w:t>
      </w:r>
      <w:r w:rsidR="00F3551A" w:rsidRPr="00FD3029">
        <w:rPr>
          <w:rFonts w:cs="Times New Roman"/>
          <w:szCs w:val="24"/>
        </w:rPr>
        <w:t>Non</w:t>
      </w:r>
      <w:r w:rsidRPr="00FD3029">
        <w:rPr>
          <w:rFonts w:cs="Times New Roman"/>
          <w:szCs w:val="24"/>
        </w:rPr>
        <w:t>-State-based grievance mechanisms</w:t>
      </w:r>
      <w:r w:rsidR="00F3551A" w:rsidRPr="00FD3029">
        <w:rPr>
          <w:rFonts w:cs="Times New Roman"/>
          <w:szCs w:val="24"/>
        </w:rPr>
        <w:t>,</w:t>
      </w:r>
      <w:r w:rsidRPr="00FD3029">
        <w:rPr>
          <w:rFonts w:cs="Times New Roman"/>
          <w:szCs w:val="24"/>
        </w:rPr>
        <w:t>”</w:t>
      </w:r>
      <w:r w:rsidR="00F3551A" w:rsidRPr="00FD3029">
        <w:rPr>
          <w:rFonts w:cs="Times New Roman"/>
          <w:szCs w:val="24"/>
        </w:rPr>
        <w:t xml:space="preserve"> as described in</w:t>
      </w:r>
      <w:r w:rsidRPr="00FD3029">
        <w:rPr>
          <w:rFonts w:cs="Times New Roman"/>
          <w:szCs w:val="24"/>
        </w:rPr>
        <w:t xml:space="preserve"> the </w:t>
      </w:r>
      <w:r w:rsidR="00F3551A" w:rsidRPr="00FD3029">
        <w:rPr>
          <w:rFonts w:cs="Times New Roman"/>
          <w:szCs w:val="24"/>
        </w:rPr>
        <w:t>UNGPs</w:t>
      </w:r>
      <w:r w:rsidRPr="00FD3029">
        <w:rPr>
          <w:rFonts w:cs="Times New Roman"/>
          <w:szCs w:val="24"/>
        </w:rPr>
        <w:t>,</w:t>
      </w:r>
      <w:r w:rsidRPr="00FD3029">
        <w:rPr>
          <w:rStyle w:val="FootnoteReference"/>
          <w:rFonts w:cs="Times New Roman"/>
          <w:szCs w:val="24"/>
        </w:rPr>
        <w:footnoteReference w:id="2"/>
      </w:r>
      <w:r w:rsidRPr="00FD3029">
        <w:rPr>
          <w:rFonts w:cs="Times New Roman"/>
          <w:szCs w:val="24"/>
        </w:rPr>
        <w:t xml:space="preserve"> </w:t>
      </w:r>
      <w:r w:rsidR="00F3551A" w:rsidRPr="00FD3029">
        <w:rPr>
          <w:rFonts w:cs="Times New Roman"/>
          <w:szCs w:val="24"/>
        </w:rPr>
        <w:t xml:space="preserve">include </w:t>
      </w:r>
      <w:r w:rsidRPr="00FD3029">
        <w:rPr>
          <w:rFonts w:cs="Times New Roman"/>
          <w:szCs w:val="24"/>
        </w:rPr>
        <w:t>a vast array of different processes</w:t>
      </w:r>
      <w:r w:rsidR="0055129D" w:rsidRPr="00FD3029">
        <w:rPr>
          <w:rFonts w:cs="Times New Roman"/>
          <w:szCs w:val="24"/>
        </w:rPr>
        <w:t xml:space="preserve"> </w:t>
      </w:r>
      <w:r w:rsidRPr="00FD3029">
        <w:rPr>
          <w:rFonts w:cs="Times New Roman"/>
          <w:szCs w:val="24"/>
        </w:rPr>
        <w:t>for delivering remedy to adversely affecte</w:t>
      </w:r>
      <w:r w:rsidR="00D95E1B">
        <w:rPr>
          <w:rFonts w:cs="Times New Roman"/>
          <w:szCs w:val="24"/>
        </w:rPr>
        <w:t>d individuals and communities.</w:t>
      </w:r>
    </w:p>
    <w:p w14:paraId="0FB501A4" w14:textId="77777777" w:rsidR="00D95E1B" w:rsidRDefault="00D95E1B" w:rsidP="00BD53DC">
      <w:pPr>
        <w:jc w:val="both"/>
        <w:rPr>
          <w:rFonts w:cs="Times New Roman"/>
          <w:szCs w:val="24"/>
        </w:rPr>
      </w:pPr>
    </w:p>
    <w:p w14:paraId="2E0CA195" w14:textId="77777777" w:rsidR="004254BF" w:rsidRPr="00FD3029" w:rsidRDefault="00837C03" w:rsidP="00BD53DC">
      <w:pPr>
        <w:jc w:val="both"/>
        <w:rPr>
          <w:rFonts w:cs="Times New Roman"/>
          <w:szCs w:val="24"/>
        </w:rPr>
      </w:pPr>
      <w:r w:rsidRPr="00FD3029">
        <w:rPr>
          <w:rFonts w:cs="Times New Roman"/>
          <w:szCs w:val="24"/>
        </w:rPr>
        <w:t xml:space="preserve">For the purposes of </w:t>
      </w:r>
      <w:r w:rsidR="004254BF" w:rsidRPr="00FD3029">
        <w:rPr>
          <w:rFonts w:cs="Times New Roman"/>
          <w:szCs w:val="24"/>
        </w:rPr>
        <w:t>ARP III</w:t>
      </w:r>
      <w:r w:rsidRPr="00FD3029">
        <w:rPr>
          <w:rFonts w:cs="Times New Roman"/>
          <w:szCs w:val="24"/>
        </w:rPr>
        <w:t xml:space="preserve">, such mechanisms have been understood as </w:t>
      </w:r>
      <w:r w:rsidR="00DF4F0F" w:rsidRPr="00DF4F0F">
        <w:rPr>
          <w:rFonts w:cs="Times New Roman"/>
          <w:b/>
          <w:szCs w:val="24"/>
        </w:rPr>
        <w:t>any</w:t>
      </w:r>
      <w:r w:rsidR="004254BF" w:rsidRPr="00FD3029">
        <w:rPr>
          <w:rFonts w:cs="Times New Roman"/>
          <w:szCs w:val="24"/>
        </w:rPr>
        <w:t xml:space="preserve"> </w:t>
      </w:r>
      <w:r w:rsidR="004254BF" w:rsidRPr="00FD3029">
        <w:rPr>
          <w:rFonts w:cs="Times New Roman"/>
          <w:b/>
          <w:bCs/>
          <w:szCs w:val="24"/>
        </w:rPr>
        <w:t xml:space="preserve">routinized, non-State-based, non-judicial process </w:t>
      </w:r>
      <w:r w:rsidR="004254BF" w:rsidRPr="00FD3029">
        <w:rPr>
          <w:rFonts w:cs="Times New Roman"/>
          <w:b/>
          <w:szCs w:val="24"/>
        </w:rPr>
        <w:t>(</w:t>
      </w:r>
      <w:r w:rsidRPr="00FD3029">
        <w:rPr>
          <w:rFonts w:cs="Times New Roman"/>
          <w:b/>
          <w:szCs w:val="24"/>
        </w:rPr>
        <w:t>i.e.</w:t>
      </w:r>
      <w:r w:rsidR="004254BF" w:rsidRPr="00FD3029">
        <w:rPr>
          <w:rFonts w:cs="Times New Roman"/>
          <w:b/>
          <w:szCs w:val="24"/>
        </w:rPr>
        <w:t>, private grievance mechanisms) through which grievances concerning business-related human rights abuse can be raised, and remedy can be sought</w:t>
      </w:r>
      <w:r w:rsidR="004254BF" w:rsidRPr="00FD3029">
        <w:rPr>
          <w:rFonts w:cs="Times New Roman"/>
          <w:szCs w:val="24"/>
        </w:rPr>
        <w:t>.</w:t>
      </w:r>
    </w:p>
    <w:p w14:paraId="359FA307" w14:textId="77777777" w:rsidR="00BD53DC" w:rsidRPr="00FD3029" w:rsidRDefault="00BD53DC" w:rsidP="00BD53DC">
      <w:pPr>
        <w:jc w:val="both"/>
        <w:rPr>
          <w:rFonts w:cs="Times New Roman"/>
          <w:szCs w:val="24"/>
        </w:rPr>
      </w:pPr>
    </w:p>
    <w:p w14:paraId="483E0B79" w14:textId="77777777" w:rsidR="00D95E1B" w:rsidRPr="00FD3029" w:rsidRDefault="00837C03" w:rsidP="00BD53DC">
      <w:pPr>
        <w:jc w:val="both"/>
        <w:rPr>
          <w:rFonts w:cs="Times New Roman"/>
          <w:szCs w:val="24"/>
        </w:rPr>
      </w:pPr>
      <w:r w:rsidRPr="00FD3029">
        <w:rPr>
          <w:rFonts w:cs="Times New Roman"/>
          <w:szCs w:val="24"/>
        </w:rPr>
        <w:t>I</w:t>
      </w:r>
      <w:r w:rsidR="004254BF" w:rsidRPr="00FD3029">
        <w:rPr>
          <w:rFonts w:cs="Times New Roman"/>
          <w:szCs w:val="24"/>
        </w:rPr>
        <w:t xml:space="preserve">t was recognised early on in the ARP III </w:t>
      </w:r>
      <w:r w:rsidRPr="00FD3029">
        <w:rPr>
          <w:rFonts w:cs="Times New Roman"/>
          <w:szCs w:val="24"/>
        </w:rPr>
        <w:t xml:space="preserve">work </w:t>
      </w:r>
      <w:r w:rsidR="004254BF" w:rsidRPr="00FD3029">
        <w:rPr>
          <w:rFonts w:cs="Times New Roman"/>
          <w:szCs w:val="24"/>
        </w:rPr>
        <w:t xml:space="preserve">that some prioritisation would be necessary in order to deliver on the Council’s mandate within the required timescale.  Following a scoping and consultation exercise which took place </w:t>
      </w:r>
      <w:r w:rsidRPr="00FD3029">
        <w:rPr>
          <w:rFonts w:cs="Times New Roman"/>
          <w:szCs w:val="24"/>
        </w:rPr>
        <w:t xml:space="preserve">in </w:t>
      </w:r>
      <w:r w:rsidR="004254BF" w:rsidRPr="00FD3029">
        <w:rPr>
          <w:rFonts w:cs="Times New Roman"/>
          <w:szCs w:val="24"/>
        </w:rPr>
        <w:t>2018, it was decided to focus on three specific types of mechanisms:</w:t>
      </w:r>
    </w:p>
    <w:p w14:paraId="0F4B0930" w14:textId="77777777" w:rsidR="004254BF" w:rsidRPr="00FD3029" w:rsidRDefault="004254BF" w:rsidP="00BD53DC">
      <w:pPr>
        <w:pStyle w:val="ListParagraph"/>
        <w:numPr>
          <w:ilvl w:val="0"/>
          <w:numId w:val="12"/>
        </w:numPr>
        <w:jc w:val="both"/>
        <w:rPr>
          <w:rFonts w:cs="Times New Roman"/>
          <w:szCs w:val="24"/>
        </w:rPr>
      </w:pPr>
      <w:r w:rsidRPr="00FD3029">
        <w:rPr>
          <w:rFonts w:cs="Times New Roman"/>
          <w:b/>
          <w:szCs w:val="24"/>
        </w:rPr>
        <w:t>Company-based grievance mechanisms</w:t>
      </w:r>
      <w:r w:rsidRPr="00FD3029">
        <w:rPr>
          <w:rFonts w:cs="Times New Roman"/>
          <w:szCs w:val="24"/>
        </w:rPr>
        <w:t>: mechanisms established and administered by companies;</w:t>
      </w:r>
    </w:p>
    <w:p w14:paraId="4CAC1CF3" w14:textId="77777777" w:rsidR="004254BF" w:rsidRPr="00FD3029" w:rsidRDefault="004254BF" w:rsidP="00BD53DC">
      <w:pPr>
        <w:pStyle w:val="ListParagraph"/>
        <w:numPr>
          <w:ilvl w:val="0"/>
          <w:numId w:val="9"/>
        </w:numPr>
        <w:jc w:val="both"/>
        <w:rPr>
          <w:rFonts w:cs="Times New Roman"/>
          <w:szCs w:val="24"/>
        </w:rPr>
      </w:pPr>
      <w:r w:rsidRPr="00FD3029">
        <w:rPr>
          <w:rFonts w:cs="Times New Roman"/>
          <w:b/>
          <w:szCs w:val="24"/>
        </w:rPr>
        <w:t>Grievance mechanisms developed by industry, multi-stakeholder, or other collaborative initiatives</w:t>
      </w:r>
      <w:r w:rsidRPr="00FD3029">
        <w:rPr>
          <w:rFonts w:cs="Times New Roman"/>
          <w:szCs w:val="24"/>
        </w:rPr>
        <w:t>: mechanisms external to companies that administer a set of commitments that the companies have agreed to adhere to; and</w:t>
      </w:r>
    </w:p>
    <w:p w14:paraId="01DF7E0F" w14:textId="77777777" w:rsidR="004254BF" w:rsidRPr="00FD3029" w:rsidRDefault="00837C03" w:rsidP="00BD53DC">
      <w:pPr>
        <w:pStyle w:val="ListParagraph"/>
        <w:numPr>
          <w:ilvl w:val="0"/>
          <w:numId w:val="9"/>
        </w:numPr>
        <w:jc w:val="both"/>
        <w:rPr>
          <w:rFonts w:cs="Times New Roman"/>
          <w:szCs w:val="24"/>
        </w:rPr>
      </w:pPr>
      <w:r w:rsidRPr="00FD3029">
        <w:rPr>
          <w:rFonts w:cs="Times New Roman"/>
          <w:b/>
          <w:szCs w:val="24"/>
        </w:rPr>
        <w:t>Grievance m</w:t>
      </w:r>
      <w:r w:rsidR="004254BF" w:rsidRPr="00FD3029">
        <w:rPr>
          <w:rFonts w:cs="Times New Roman"/>
          <w:b/>
          <w:szCs w:val="24"/>
        </w:rPr>
        <w:t>echanisms associated with development finance institutions</w:t>
      </w:r>
      <w:r w:rsidR="004254BF" w:rsidRPr="00FD3029">
        <w:rPr>
          <w:rFonts w:cs="Times New Roman"/>
          <w:szCs w:val="24"/>
        </w:rPr>
        <w:t>: mechanisms through which those adversely impacted by institution-financed projects can seek remedy (e.g., independent accountability mechanisms).</w:t>
      </w:r>
    </w:p>
    <w:p w14:paraId="75F3A883" w14:textId="77777777" w:rsidR="00BD53DC" w:rsidRPr="00FD3029" w:rsidRDefault="00BD53DC" w:rsidP="00BD53DC">
      <w:pPr>
        <w:jc w:val="both"/>
        <w:rPr>
          <w:rFonts w:cs="Times New Roman"/>
          <w:szCs w:val="24"/>
        </w:rPr>
      </w:pPr>
    </w:p>
    <w:p w14:paraId="1F94AA19" w14:textId="77777777" w:rsidR="004254BF" w:rsidRPr="00FD3029" w:rsidRDefault="004254BF" w:rsidP="00BD53DC">
      <w:pPr>
        <w:jc w:val="both"/>
        <w:rPr>
          <w:rFonts w:cs="Times New Roman"/>
          <w:szCs w:val="24"/>
        </w:rPr>
      </w:pPr>
      <w:r w:rsidRPr="00FD3029">
        <w:rPr>
          <w:rFonts w:cs="Times New Roman"/>
          <w:szCs w:val="24"/>
        </w:rPr>
        <w:t>This scoping and consultation exercise also resulted in the identification of five priority themes (or “work</w:t>
      </w:r>
      <w:r w:rsidR="00837C03" w:rsidRPr="00FD3029">
        <w:rPr>
          <w:rFonts w:cs="Times New Roman"/>
          <w:szCs w:val="24"/>
        </w:rPr>
        <w:t xml:space="preserve"> </w:t>
      </w:r>
      <w:r w:rsidRPr="00FD3029">
        <w:rPr>
          <w:rFonts w:cs="Times New Roman"/>
          <w:szCs w:val="24"/>
        </w:rPr>
        <w:t>streams”) for ARP III.</w:t>
      </w:r>
    </w:p>
    <w:p w14:paraId="254E38E8" w14:textId="77777777" w:rsidR="004254BF" w:rsidRPr="00FD3029" w:rsidRDefault="004254BF" w:rsidP="00BD53DC">
      <w:pPr>
        <w:jc w:val="both"/>
        <w:rPr>
          <w:rFonts w:cs="Times New Roman"/>
          <w:szCs w:val="24"/>
        </w:rPr>
      </w:pPr>
    </w:p>
    <w:tbl>
      <w:tblPr>
        <w:tblStyle w:val="TableGrid"/>
        <w:tblW w:w="0" w:type="auto"/>
        <w:tblLook w:val="04A0" w:firstRow="1" w:lastRow="0" w:firstColumn="1" w:lastColumn="0" w:noHBand="0" w:noVBand="1"/>
      </w:tblPr>
      <w:tblGrid>
        <w:gridCol w:w="9016"/>
      </w:tblGrid>
      <w:tr w:rsidR="004254BF" w:rsidRPr="00FD3029" w14:paraId="7FA1DAD5" w14:textId="77777777" w:rsidTr="008B6AE4">
        <w:tc>
          <w:tcPr>
            <w:tcW w:w="9242" w:type="dxa"/>
            <w:shd w:val="clear" w:color="auto" w:fill="DEEAF6" w:themeFill="accent1" w:themeFillTint="33"/>
          </w:tcPr>
          <w:p w14:paraId="44E9DC1F" w14:textId="77777777" w:rsidR="004254BF" w:rsidRDefault="004254BF" w:rsidP="00837C03">
            <w:pPr>
              <w:jc w:val="both"/>
              <w:rPr>
                <w:rFonts w:cs="Times New Roman"/>
                <w:b/>
                <w:szCs w:val="24"/>
              </w:rPr>
            </w:pPr>
            <w:r w:rsidRPr="00FD3029">
              <w:rPr>
                <w:rFonts w:cs="Times New Roman"/>
                <w:b/>
                <w:szCs w:val="24"/>
              </w:rPr>
              <w:t>ARP III: Five priority themes</w:t>
            </w:r>
          </w:p>
          <w:p w14:paraId="5AAE61CF" w14:textId="77777777" w:rsidR="00D95E1B" w:rsidRPr="00FD3029" w:rsidRDefault="00D95E1B" w:rsidP="00837C03">
            <w:pPr>
              <w:jc w:val="both"/>
              <w:rPr>
                <w:rFonts w:cs="Times New Roman"/>
                <w:b/>
                <w:szCs w:val="24"/>
              </w:rPr>
            </w:pPr>
          </w:p>
          <w:p w14:paraId="6EEB2627" w14:textId="77777777" w:rsidR="004254BF" w:rsidRPr="00FD3029" w:rsidRDefault="004254BF" w:rsidP="00837C03">
            <w:pPr>
              <w:pStyle w:val="ListParagraph"/>
              <w:numPr>
                <w:ilvl w:val="0"/>
                <w:numId w:val="39"/>
              </w:numPr>
              <w:jc w:val="both"/>
              <w:rPr>
                <w:rFonts w:cs="Times New Roman"/>
                <w:szCs w:val="24"/>
              </w:rPr>
            </w:pPr>
            <w:r w:rsidRPr="00FD3029">
              <w:rPr>
                <w:rFonts w:cs="Times New Roman"/>
                <w:b/>
                <w:szCs w:val="24"/>
              </w:rPr>
              <w:t>Work stream 1</w:t>
            </w:r>
            <w:r w:rsidRPr="00FD3029">
              <w:rPr>
                <w:rFonts w:cs="Times New Roman"/>
                <w:szCs w:val="24"/>
              </w:rPr>
              <w:t>: ways to meet the “effectiveness criteria” of Guiding Principle 31;</w:t>
            </w:r>
          </w:p>
          <w:p w14:paraId="4E238BD8" w14:textId="77777777" w:rsidR="004254BF" w:rsidRPr="00FD3029" w:rsidRDefault="004254BF" w:rsidP="00837C03">
            <w:pPr>
              <w:pStyle w:val="ListParagraph"/>
              <w:numPr>
                <w:ilvl w:val="0"/>
                <w:numId w:val="39"/>
              </w:numPr>
              <w:jc w:val="both"/>
              <w:rPr>
                <w:rFonts w:eastAsia="Times New Roman" w:cs="Times New Roman"/>
                <w:color w:val="000000"/>
                <w:szCs w:val="24"/>
                <w:lang w:eastAsia="en-GB"/>
              </w:rPr>
            </w:pPr>
            <w:r w:rsidRPr="00FD3029">
              <w:rPr>
                <w:rFonts w:eastAsia="Times New Roman" w:cs="Times New Roman"/>
                <w:b/>
                <w:bCs/>
                <w:color w:val="000000"/>
                <w:szCs w:val="24"/>
                <w:lang w:eastAsia="en-GB"/>
              </w:rPr>
              <w:t>Work stream 2</w:t>
            </w:r>
            <w:r w:rsidRPr="00FD3029">
              <w:rPr>
                <w:rFonts w:eastAsia="Times New Roman" w:cs="Times New Roman"/>
                <w:color w:val="000000"/>
                <w:szCs w:val="24"/>
                <w:lang w:eastAsia="en-GB"/>
              </w:rPr>
              <w:t>: the relationship between State-based institutions and non-State-based grievance mechanisms (the “public-private” interface);</w:t>
            </w:r>
          </w:p>
          <w:p w14:paraId="44B8CA0A" w14:textId="77777777" w:rsidR="004254BF" w:rsidRPr="00FD3029" w:rsidRDefault="004254BF" w:rsidP="00837C03">
            <w:pPr>
              <w:pStyle w:val="ListParagraph"/>
              <w:numPr>
                <w:ilvl w:val="0"/>
                <w:numId w:val="39"/>
              </w:numPr>
              <w:jc w:val="both"/>
              <w:rPr>
                <w:rFonts w:eastAsia="Times New Roman" w:cs="Times New Roman"/>
                <w:color w:val="000000"/>
                <w:szCs w:val="24"/>
                <w:lang w:eastAsia="en-GB"/>
              </w:rPr>
            </w:pPr>
            <w:r w:rsidRPr="00FD3029">
              <w:rPr>
                <w:rFonts w:eastAsia="Times New Roman" w:cs="Times New Roman"/>
                <w:b/>
                <w:bCs/>
                <w:color w:val="000000"/>
                <w:szCs w:val="24"/>
                <w:lang w:eastAsia="en-GB"/>
              </w:rPr>
              <w:t>Work stream 3</w:t>
            </w:r>
            <w:r w:rsidRPr="00FD3029">
              <w:rPr>
                <w:rFonts w:eastAsia="Times New Roman" w:cs="Times New Roman"/>
                <w:color w:val="000000"/>
                <w:szCs w:val="24"/>
                <w:lang w:eastAsia="en-GB"/>
              </w:rPr>
              <w:t>: cooperation amongst non-State-based grievance mechanisms;</w:t>
            </w:r>
          </w:p>
          <w:p w14:paraId="002BC30B" w14:textId="77777777" w:rsidR="004254BF" w:rsidRPr="00FD3029" w:rsidRDefault="004254BF" w:rsidP="00837C03">
            <w:pPr>
              <w:pStyle w:val="ListParagraph"/>
              <w:numPr>
                <w:ilvl w:val="0"/>
                <w:numId w:val="39"/>
              </w:numPr>
              <w:jc w:val="both"/>
              <w:rPr>
                <w:rFonts w:eastAsia="Times New Roman" w:cs="Times New Roman"/>
                <w:color w:val="000000"/>
                <w:szCs w:val="24"/>
                <w:lang w:eastAsia="en-GB"/>
              </w:rPr>
            </w:pPr>
            <w:r w:rsidRPr="00FD3029">
              <w:rPr>
                <w:rFonts w:eastAsia="Times New Roman" w:cs="Times New Roman"/>
                <w:b/>
                <w:bCs/>
                <w:color w:val="000000"/>
                <w:szCs w:val="24"/>
                <w:lang w:eastAsia="en-GB"/>
              </w:rPr>
              <w:t>Work stream 4</w:t>
            </w:r>
            <w:r w:rsidRPr="00FD3029">
              <w:rPr>
                <w:rFonts w:eastAsia="Times New Roman" w:cs="Times New Roman"/>
                <w:color w:val="000000"/>
                <w:szCs w:val="24"/>
                <w:lang w:eastAsia="en-GB"/>
              </w:rPr>
              <w:t xml:space="preserve">: safeguarding rights-holders from retaliation </w:t>
            </w:r>
            <w:r w:rsidR="00837C03" w:rsidRPr="00FD3029">
              <w:rPr>
                <w:rFonts w:eastAsia="Times New Roman" w:cs="Times New Roman"/>
                <w:color w:val="000000"/>
                <w:szCs w:val="24"/>
                <w:lang w:eastAsia="en-GB"/>
              </w:rPr>
              <w:t xml:space="preserve">and intimidation </w:t>
            </w:r>
            <w:r w:rsidRPr="00FD3029">
              <w:rPr>
                <w:rFonts w:eastAsia="Times New Roman" w:cs="Times New Roman"/>
                <w:color w:val="000000"/>
                <w:szCs w:val="24"/>
                <w:lang w:eastAsia="en-GB"/>
              </w:rPr>
              <w:t xml:space="preserve">resulting from the </w:t>
            </w:r>
            <w:r w:rsidR="00837C03" w:rsidRPr="00FD3029">
              <w:rPr>
                <w:rFonts w:eastAsia="Times New Roman" w:cs="Times New Roman"/>
                <w:color w:val="000000"/>
                <w:szCs w:val="24"/>
                <w:lang w:eastAsia="en-GB"/>
              </w:rPr>
              <w:t xml:space="preserve">actual or potential </w:t>
            </w:r>
            <w:r w:rsidRPr="00FD3029">
              <w:rPr>
                <w:rFonts w:eastAsia="Times New Roman" w:cs="Times New Roman"/>
                <w:color w:val="000000"/>
                <w:szCs w:val="24"/>
                <w:lang w:eastAsia="en-GB"/>
              </w:rPr>
              <w:t>use of non-State-based grievance mechanisms; and</w:t>
            </w:r>
          </w:p>
          <w:p w14:paraId="29E63592" w14:textId="77777777" w:rsidR="00D95E1B" w:rsidRPr="008B6AE4" w:rsidRDefault="004254BF" w:rsidP="008B6AE4">
            <w:pPr>
              <w:pStyle w:val="ListParagraph"/>
              <w:numPr>
                <w:ilvl w:val="0"/>
                <w:numId w:val="39"/>
              </w:numPr>
              <w:jc w:val="both"/>
              <w:rPr>
                <w:rFonts w:eastAsia="Times New Roman" w:cs="Times New Roman"/>
                <w:color w:val="000000"/>
                <w:szCs w:val="24"/>
                <w:lang w:eastAsia="en-GB"/>
              </w:rPr>
            </w:pPr>
            <w:r w:rsidRPr="00FD3029">
              <w:rPr>
                <w:rFonts w:eastAsia="Times New Roman" w:cs="Times New Roman"/>
                <w:b/>
                <w:bCs/>
                <w:color w:val="000000"/>
                <w:szCs w:val="24"/>
                <w:lang w:eastAsia="en-GB"/>
              </w:rPr>
              <w:t>Work stream 5</w:t>
            </w:r>
            <w:r w:rsidRPr="00FD3029">
              <w:rPr>
                <w:rFonts w:eastAsia="Times New Roman" w:cs="Times New Roman"/>
                <w:color w:val="000000"/>
                <w:szCs w:val="24"/>
                <w:lang w:eastAsia="en-GB"/>
              </w:rPr>
              <w:t xml:space="preserve">: meaningful stakeholder involvement in the design and implementation of remedial outcomes. </w:t>
            </w:r>
          </w:p>
        </w:tc>
      </w:tr>
    </w:tbl>
    <w:p w14:paraId="7F551FD3" w14:textId="77777777" w:rsidR="004254BF" w:rsidRPr="00FD3029" w:rsidRDefault="004254BF" w:rsidP="00BD53DC">
      <w:pPr>
        <w:jc w:val="both"/>
        <w:rPr>
          <w:rFonts w:cs="Times New Roman"/>
          <w:szCs w:val="24"/>
        </w:rPr>
      </w:pPr>
    </w:p>
    <w:p w14:paraId="7FB2EAFE" w14:textId="77777777" w:rsidR="004254BF" w:rsidRPr="00FD3029" w:rsidRDefault="004254BF" w:rsidP="00BD53DC">
      <w:pPr>
        <w:jc w:val="both"/>
        <w:rPr>
          <w:rFonts w:cs="Times New Roman"/>
          <w:szCs w:val="24"/>
        </w:rPr>
      </w:pPr>
      <w:r w:rsidRPr="00FD3029">
        <w:rPr>
          <w:rFonts w:cs="Times New Roman"/>
          <w:szCs w:val="24"/>
        </w:rPr>
        <w:t xml:space="preserve">Further information about the scoping exercise for ARP III, and the rationales for choices as regards focus mechanisms and research priorities can be found in OHCHR’s </w:t>
      </w:r>
      <w:hyperlink r:id="rId22" w:history="1">
        <w:r w:rsidRPr="00FD3029">
          <w:rPr>
            <w:rStyle w:val="Hyperlink"/>
            <w:rFonts w:cs="Times New Roman"/>
            <w:color w:val="663399"/>
            <w:szCs w:val="24"/>
          </w:rPr>
          <w:t>November 2018 paper</w:t>
        </w:r>
      </w:hyperlink>
      <w:r w:rsidRPr="00FD3029">
        <w:rPr>
          <w:rFonts w:cs="Times New Roman"/>
          <w:szCs w:val="24"/>
        </w:rPr>
        <w:t>.</w:t>
      </w:r>
      <w:r w:rsidR="003E0B7A">
        <w:rPr>
          <w:rStyle w:val="FootnoteReference"/>
          <w:rFonts w:cs="Times New Roman"/>
          <w:szCs w:val="24"/>
        </w:rPr>
        <w:footnoteReference w:id="3"/>
      </w:r>
    </w:p>
    <w:p w14:paraId="0DEE1088" w14:textId="77777777" w:rsidR="00BD53DC" w:rsidRPr="00FD3029" w:rsidRDefault="00BD53DC" w:rsidP="00BD53DC">
      <w:pPr>
        <w:jc w:val="both"/>
        <w:rPr>
          <w:rFonts w:cs="Times New Roman"/>
          <w:szCs w:val="24"/>
        </w:rPr>
      </w:pPr>
    </w:p>
    <w:p w14:paraId="00FCE76F" w14:textId="77777777" w:rsidR="00BD53DC" w:rsidRPr="00FD3029" w:rsidRDefault="00BD53DC" w:rsidP="00BD53DC">
      <w:pPr>
        <w:jc w:val="both"/>
        <w:rPr>
          <w:rFonts w:cs="Times New Roman"/>
          <w:szCs w:val="24"/>
        </w:rPr>
      </w:pPr>
    </w:p>
    <w:p w14:paraId="01473F61" w14:textId="77777777" w:rsidR="004254BF" w:rsidRPr="00FD3029" w:rsidRDefault="004254BF" w:rsidP="00BD53DC">
      <w:pPr>
        <w:pStyle w:val="Heading1"/>
        <w:spacing w:before="0"/>
        <w:rPr>
          <w:rFonts w:cs="Times New Roman"/>
        </w:rPr>
      </w:pPr>
      <w:bookmarkStart w:id="8" w:name="_Toc25057781"/>
      <w:r w:rsidRPr="00FD3029">
        <w:rPr>
          <w:rFonts w:cs="Times New Roman"/>
        </w:rPr>
        <w:t>Methodology</w:t>
      </w:r>
      <w:bookmarkEnd w:id="8"/>
    </w:p>
    <w:p w14:paraId="25572C9B" w14:textId="77777777" w:rsidR="00BD53DC" w:rsidRPr="00FD3029" w:rsidRDefault="00BD53DC" w:rsidP="00BD53DC">
      <w:pPr>
        <w:jc w:val="both"/>
        <w:rPr>
          <w:rFonts w:cs="Times New Roman"/>
          <w:szCs w:val="24"/>
        </w:rPr>
      </w:pPr>
    </w:p>
    <w:p w14:paraId="1C56F669" w14:textId="77777777" w:rsidR="004254BF" w:rsidRPr="00FD3029" w:rsidRDefault="004254BF" w:rsidP="00BD53DC">
      <w:pPr>
        <w:jc w:val="both"/>
        <w:rPr>
          <w:rFonts w:cs="Times New Roman"/>
          <w:szCs w:val="24"/>
        </w:rPr>
      </w:pPr>
      <w:r w:rsidRPr="00FD3029">
        <w:rPr>
          <w:rFonts w:cs="Times New Roman"/>
          <w:szCs w:val="24"/>
        </w:rPr>
        <w:t xml:space="preserve">The research methodologies used by OHCHR </w:t>
      </w:r>
      <w:r w:rsidR="001A17C4" w:rsidRPr="00FD3029">
        <w:rPr>
          <w:rFonts w:cs="Times New Roman"/>
          <w:szCs w:val="24"/>
        </w:rPr>
        <w:t xml:space="preserve">for the Accountability and Remedy Project </w:t>
      </w:r>
      <w:r w:rsidRPr="00FD3029">
        <w:rPr>
          <w:rFonts w:cs="Times New Roman"/>
          <w:szCs w:val="24"/>
        </w:rPr>
        <w:t xml:space="preserve">have been refined over the three phases of this complex, multi-year project.  To ensure that OHCHR’s eventual findings </w:t>
      </w:r>
      <w:r w:rsidR="001A17C4" w:rsidRPr="00FD3029">
        <w:rPr>
          <w:rFonts w:cs="Times New Roman"/>
          <w:szCs w:val="24"/>
        </w:rPr>
        <w:t xml:space="preserve">and </w:t>
      </w:r>
      <w:r w:rsidRPr="00FD3029">
        <w:rPr>
          <w:rFonts w:cs="Times New Roman"/>
          <w:szCs w:val="24"/>
        </w:rPr>
        <w:t>recommended action</w:t>
      </w:r>
      <w:r w:rsidR="001A17C4" w:rsidRPr="00FD3029">
        <w:rPr>
          <w:rFonts w:cs="Times New Roman"/>
          <w:szCs w:val="24"/>
        </w:rPr>
        <w:t>s</w:t>
      </w:r>
      <w:r w:rsidRPr="00FD3029">
        <w:rPr>
          <w:rFonts w:cs="Times New Roman"/>
          <w:szCs w:val="24"/>
        </w:rPr>
        <w:t xml:space="preserve"> are globally relevant, practical</w:t>
      </w:r>
      <w:r w:rsidR="001A17C4" w:rsidRPr="00FD3029">
        <w:rPr>
          <w:rFonts w:cs="Times New Roman"/>
          <w:szCs w:val="24"/>
        </w:rPr>
        <w:t>,</w:t>
      </w:r>
      <w:r w:rsidRPr="00FD3029">
        <w:rPr>
          <w:rFonts w:cs="Times New Roman"/>
          <w:szCs w:val="24"/>
        </w:rPr>
        <w:t xml:space="preserve"> and implementable, information is collected from as many jurisdictions as possible, drawn from all UN regional groupings, and reflecting a wide range of legal structures, systems</w:t>
      </w:r>
      <w:r w:rsidR="001A17C4" w:rsidRPr="00FD3029">
        <w:rPr>
          <w:rFonts w:cs="Times New Roman"/>
          <w:szCs w:val="24"/>
        </w:rPr>
        <w:t>,</w:t>
      </w:r>
      <w:r w:rsidRPr="00FD3029">
        <w:rPr>
          <w:rFonts w:cs="Times New Roman"/>
          <w:szCs w:val="24"/>
        </w:rPr>
        <w:t xml:space="preserve"> and traditions.  Contributions are encouraged from as many stakeholders as possible in order to build a thorough understanding of the needs and perspectives of users of grievance mechanisms in a </w:t>
      </w:r>
      <w:r w:rsidR="001A17C4" w:rsidRPr="00FD3029">
        <w:rPr>
          <w:rFonts w:cs="Times New Roman"/>
          <w:szCs w:val="24"/>
        </w:rPr>
        <w:t xml:space="preserve">variety </w:t>
      </w:r>
      <w:r w:rsidRPr="00FD3029">
        <w:rPr>
          <w:rFonts w:cs="Times New Roman"/>
          <w:szCs w:val="24"/>
        </w:rPr>
        <w:t>of contexts.</w:t>
      </w:r>
    </w:p>
    <w:p w14:paraId="4F37D8E5" w14:textId="77777777" w:rsidR="00BD53DC" w:rsidRPr="00FD3029" w:rsidRDefault="00BD53DC" w:rsidP="00BD53DC">
      <w:pPr>
        <w:jc w:val="both"/>
        <w:rPr>
          <w:rFonts w:cs="Times New Roman"/>
          <w:szCs w:val="24"/>
        </w:rPr>
      </w:pPr>
    </w:p>
    <w:p w14:paraId="2C88BAF9" w14:textId="77777777" w:rsidR="00D95E1B" w:rsidRPr="00FD3029" w:rsidRDefault="001A17C4" w:rsidP="00BD53DC">
      <w:pPr>
        <w:jc w:val="both"/>
        <w:rPr>
          <w:rFonts w:cs="Times New Roman"/>
          <w:szCs w:val="24"/>
        </w:rPr>
      </w:pPr>
      <w:r w:rsidRPr="00FD3029">
        <w:rPr>
          <w:rFonts w:cs="Times New Roman"/>
          <w:szCs w:val="24"/>
        </w:rPr>
        <w:t>Thus far, information-gathering a</w:t>
      </w:r>
      <w:r w:rsidR="004254BF" w:rsidRPr="00FD3029">
        <w:rPr>
          <w:rFonts w:cs="Times New Roman"/>
          <w:szCs w:val="24"/>
        </w:rPr>
        <w:t xml:space="preserve">ctivities for ARP III have </w:t>
      </w:r>
      <w:r w:rsidRPr="00FD3029">
        <w:rPr>
          <w:rFonts w:cs="Times New Roman"/>
          <w:szCs w:val="24"/>
        </w:rPr>
        <w:t>included</w:t>
      </w:r>
      <w:r w:rsidR="004254BF" w:rsidRPr="00FD3029">
        <w:rPr>
          <w:rFonts w:cs="Times New Roman"/>
          <w:szCs w:val="24"/>
        </w:rPr>
        <w:t>:</w:t>
      </w:r>
      <w:r w:rsidR="00CE5F4A" w:rsidRPr="00FD3029">
        <w:rPr>
          <w:rStyle w:val="FootnoteReference"/>
          <w:rFonts w:cs="Times New Roman"/>
          <w:szCs w:val="24"/>
        </w:rPr>
        <w:footnoteReference w:id="4"/>
      </w:r>
    </w:p>
    <w:p w14:paraId="1479A24D" w14:textId="3702E9A3" w:rsidR="004254BF" w:rsidRPr="00FD3029" w:rsidRDefault="00323F96" w:rsidP="00BD53DC">
      <w:pPr>
        <w:pStyle w:val="ListParagraph"/>
        <w:numPr>
          <w:ilvl w:val="0"/>
          <w:numId w:val="10"/>
        </w:numPr>
        <w:jc w:val="both"/>
        <w:rPr>
          <w:rFonts w:cs="Times New Roman"/>
          <w:szCs w:val="24"/>
        </w:rPr>
      </w:pPr>
      <w:r w:rsidRPr="00FD3029">
        <w:rPr>
          <w:rFonts w:cs="Times New Roman"/>
          <w:szCs w:val="24"/>
        </w:rPr>
        <w:t>One public</w:t>
      </w:r>
      <w:r w:rsidR="00B12B5E" w:rsidRPr="00FD3029">
        <w:rPr>
          <w:rFonts w:cs="Times New Roman"/>
          <w:szCs w:val="24"/>
        </w:rPr>
        <w:t xml:space="preserve"> questionnaire</w:t>
      </w:r>
      <w:r w:rsidRPr="00FD3029">
        <w:rPr>
          <w:rFonts w:cs="Times New Roman"/>
          <w:szCs w:val="24"/>
        </w:rPr>
        <w:t xml:space="preserve"> and five targeted q</w:t>
      </w:r>
      <w:r w:rsidR="001A17C4" w:rsidRPr="00FD3029">
        <w:rPr>
          <w:rFonts w:cs="Times New Roman"/>
          <w:szCs w:val="24"/>
        </w:rPr>
        <w:t>uestionnaires</w:t>
      </w:r>
      <w:r w:rsidR="004254BF" w:rsidRPr="00FD3029">
        <w:rPr>
          <w:rFonts w:cs="Times New Roman"/>
          <w:szCs w:val="24"/>
        </w:rPr>
        <w:t xml:space="preserve"> </w:t>
      </w:r>
      <w:r w:rsidR="00B12B5E" w:rsidRPr="00FD3029">
        <w:rPr>
          <w:rFonts w:cs="Times New Roman"/>
          <w:szCs w:val="24"/>
        </w:rPr>
        <w:t>for</w:t>
      </w:r>
      <w:r w:rsidRPr="00FD3029">
        <w:rPr>
          <w:rFonts w:cs="Times New Roman"/>
          <w:szCs w:val="24"/>
        </w:rPr>
        <w:t xml:space="preserve"> States, users of mechanisms, and </w:t>
      </w:r>
      <w:r w:rsidRPr="00FD3029">
        <w:rPr>
          <w:rFonts w:cs="Times New Roman"/>
          <w:color w:val="000000"/>
          <w:szCs w:val="24"/>
          <w:shd w:val="clear" w:color="auto" w:fill="FFFFFF"/>
        </w:rPr>
        <w:t xml:space="preserve">the </w:t>
      </w:r>
      <w:r w:rsidR="004254BF" w:rsidRPr="00FD3029">
        <w:rPr>
          <w:rFonts w:cs="Times New Roman"/>
          <w:color w:val="000000"/>
          <w:szCs w:val="24"/>
          <w:shd w:val="clear" w:color="auto" w:fill="FFFFFF"/>
        </w:rPr>
        <w:t xml:space="preserve">different types of </w:t>
      </w:r>
      <w:r w:rsidRPr="00FD3029">
        <w:rPr>
          <w:rFonts w:cs="Times New Roman"/>
          <w:color w:val="000000"/>
          <w:szCs w:val="24"/>
          <w:shd w:val="clear" w:color="auto" w:fill="FFFFFF"/>
        </w:rPr>
        <w:t xml:space="preserve">ARP III-focus </w:t>
      </w:r>
      <w:r w:rsidR="004254BF" w:rsidRPr="00FD3029">
        <w:rPr>
          <w:rFonts w:cs="Times New Roman"/>
          <w:color w:val="000000"/>
          <w:szCs w:val="24"/>
          <w:shd w:val="clear" w:color="auto" w:fill="FFFFFF"/>
        </w:rPr>
        <w:t>mechanisms</w:t>
      </w:r>
      <w:r w:rsidR="00B12B5E" w:rsidRPr="00FD3029">
        <w:rPr>
          <w:rFonts w:cs="Times New Roman"/>
          <w:color w:val="000000"/>
          <w:szCs w:val="24"/>
          <w:shd w:val="clear" w:color="auto" w:fill="FFFFFF"/>
        </w:rPr>
        <w:t xml:space="preserve"> </w:t>
      </w:r>
      <w:r w:rsidR="00B12B5E" w:rsidRPr="00FD3029">
        <w:rPr>
          <w:rFonts w:cs="Times New Roman"/>
          <w:szCs w:val="24"/>
        </w:rPr>
        <w:t>(all available in English, French, and Spanish)</w:t>
      </w:r>
      <w:r w:rsidR="004254BF" w:rsidRPr="00FD3029">
        <w:rPr>
          <w:rFonts w:cs="Times New Roman"/>
          <w:color w:val="000000"/>
          <w:szCs w:val="24"/>
          <w:shd w:val="clear" w:color="auto" w:fill="FFFFFF"/>
        </w:rPr>
        <w:t>;</w:t>
      </w:r>
    </w:p>
    <w:p w14:paraId="19540E29" w14:textId="77777777" w:rsidR="004254BF" w:rsidRPr="00FD3029" w:rsidRDefault="004254BF" w:rsidP="00BD53DC">
      <w:pPr>
        <w:pStyle w:val="ListParagraph"/>
        <w:numPr>
          <w:ilvl w:val="0"/>
          <w:numId w:val="10"/>
        </w:numPr>
        <w:jc w:val="both"/>
        <w:rPr>
          <w:rFonts w:cs="Times New Roman"/>
          <w:szCs w:val="24"/>
        </w:rPr>
      </w:pPr>
      <w:r w:rsidRPr="00FD3029">
        <w:rPr>
          <w:rFonts w:cs="Times New Roman"/>
          <w:color w:val="000000"/>
          <w:szCs w:val="24"/>
          <w:shd w:val="clear" w:color="auto" w:fill="FFFFFF"/>
        </w:rPr>
        <w:t xml:space="preserve">Participation in </w:t>
      </w:r>
      <w:r w:rsidR="00323F96" w:rsidRPr="00FD3029">
        <w:rPr>
          <w:rFonts w:cs="Times New Roman"/>
          <w:color w:val="000000"/>
          <w:szCs w:val="24"/>
          <w:shd w:val="clear" w:color="auto" w:fill="FFFFFF"/>
        </w:rPr>
        <w:t>over 30 events</w:t>
      </w:r>
      <w:r w:rsidRPr="00FD3029">
        <w:rPr>
          <w:rFonts w:cs="Times New Roman"/>
          <w:color w:val="000000"/>
          <w:szCs w:val="24"/>
          <w:shd w:val="clear" w:color="auto" w:fill="FFFFFF"/>
        </w:rPr>
        <w:t xml:space="preserve"> </w:t>
      </w:r>
      <w:r w:rsidR="00323F96" w:rsidRPr="00FD3029">
        <w:rPr>
          <w:rFonts w:cs="Times New Roman"/>
          <w:color w:val="000000"/>
          <w:szCs w:val="24"/>
          <w:shd w:val="clear" w:color="auto" w:fill="FFFFFF"/>
        </w:rPr>
        <w:t>or</w:t>
      </w:r>
      <w:r w:rsidRPr="00FD3029">
        <w:rPr>
          <w:rFonts w:cs="Times New Roman"/>
          <w:color w:val="000000"/>
          <w:szCs w:val="24"/>
          <w:shd w:val="clear" w:color="auto" w:fill="FFFFFF"/>
        </w:rPr>
        <w:t xml:space="preserve"> consultations </w:t>
      </w:r>
      <w:r w:rsidR="00323F96" w:rsidRPr="00FD3029">
        <w:rPr>
          <w:rFonts w:cs="Times New Roman"/>
          <w:color w:val="000000"/>
          <w:szCs w:val="24"/>
          <w:shd w:val="clear" w:color="auto" w:fill="FFFFFF"/>
        </w:rPr>
        <w:t>in 16 different States and all five UN Regional Groups</w:t>
      </w:r>
      <w:r w:rsidRPr="00FD3029">
        <w:rPr>
          <w:rFonts w:cs="Times New Roman"/>
          <w:color w:val="000000"/>
          <w:szCs w:val="24"/>
          <w:shd w:val="clear" w:color="auto" w:fill="FFFFFF"/>
        </w:rPr>
        <w:t>;</w:t>
      </w:r>
    </w:p>
    <w:p w14:paraId="48AFF87C" w14:textId="77777777" w:rsidR="004254BF" w:rsidRPr="00FD3029" w:rsidRDefault="00B12B5E" w:rsidP="00BD53DC">
      <w:pPr>
        <w:pStyle w:val="ListParagraph"/>
        <w:numPr>
          <w:ilvl w:val="0"/>
          <w:numId w:val="10"/>
        </w:numPr>
        <w:jc w:val="both"/>
        <w:rPr>
          <w:rFonts w:cs="Times New Roman"/>
          <w:szCs w:val="24"/>
        </w:rPr>
      </w:pPr>
      <w:r w:rsidRPr="00FD3029">
        <w:rPr>
          <w:rFonts w:cs="Times New Roman"/>
          <w:color w:val="000000"/>
          <w:szCs w:val="24"/>
          <w:shd w:val="clear" w:color="auto" w:fill="FFFFFF"/>
        </w:rPr>
        <w:t>Case studies focusing on different types of mechanisms, covering all five UN Regional Groups</w:t>
      </w:r>
      <w:r w:rsidR="004254BF" w:rsidRPr="00FD3029">
        <w:rPr>
          <w:rFonts w:cs="Times New Roman"/>
          <w:color w:val="000000"/>
          <w:szCs w:val="24"/>
          <w:shd w:val="clear" w:color="auto" w:fill="FFFFFF"/>
        </w:rPr>
        <w:t>;</w:t>
      </w:r>
    </w:p>
    <w:p w14:paraId="21DC92BA" w14:textId="77777777" w:rsidR="00B12B5E" w:rsidRPr="00FD3029" w:rsidRDefault="00D65C5B" w:rsidP="00BD53DC">
      <w:pPr>
        <w:pStyle w:val="ListParagraph"/>
        <w:numPr>
          <w:ilvl w:val="0"/>
          <w:numId w:val="10"/>
        </w:numPr>
        <w:jc w:val="both"/>
        <w:rPr>
          <w:rFonts w:cs="Times New Roman"/>
          <w:szCs w:val="24"/>
        </w:rPr>
      </w:pPr>
      <w:r w:rsidRPr="00FD3029">
        <w:rPr>
          <w:rFonts w:cs="Times New Roman"/>
          <w:color w:val="000000"/>
          <w:szCs w:val="24"/>
          <w:shd w:val="clear" w:color="auto" w:fill="FFFFFF"/>
        </w:rPr>
        <w:t>O</w:t>
      </w:r>
      <w:r w:rsidR="00945021">
        <w:rPr>
          <w:rFonts w:cs="Times New Roman"/>
          <w:color w:val="000000"/>
          <w:szCs w:val="24"/>
          <w:shd w:val="clear" w:color="auto" w:fill="FFFFFF"/>
        </w:rPr>
        <w:t>ver one hundred</w:t>
      </w:r>
      <w:r w:rsidR="00B12B5E" w:rsidRPr="00FD3029">
        <w:rPr>
          <w:rFonts w:cs="Times New Roman"/>
          <w:color w:val="000000"/>
          <w:szCs w:val="24"/>
          <w:shd w:val="clear" w:color="auto" w:fill="FFFFFF"/>
        </w:rPr>
        <w:t xml:space="preserve"> interviews with users of non-State-based grievance mechanisms, and those who have designed, administered, or studied such mechanisms;</w:t>
      </w:r>
    </w:p>
    <w:p w14:paraId="25F5AFB5" w14:textId="3B052BEC" w:rsidR="00B12B5E" w:rsidRPr="00FD3029" w:rsidRDefault="004254BF" w:rsidP="00BD53DC">
      <w:pPr>
        <w:pStyle w:val="ListParagraph"/>
        <w:numPr>
          <w:ilvl w:val="0"/>
          <w:numId w:val="10"/>
        </w:numPr>
        <w:jc w:val="both"/>
        <w:rPr>
          <w:rFonts w:cs="Times New Roman"/>
          <w:szCs w:val="24"/>
        </w:rPr>
      </w:pPr>
      <w:r w:rsidRPr="00FD3029">
        <w:rPr>
          <w:rFonts w:cs="Times New Roman"/>
          <w:szCs w:val="24"/>
        </w:rPr>
        <w:t xml:space="preserve">Reviews of </w:t>
      </w:r>
      <w:r w:rsidR="003E0B7A">
        <w:rPr>
          <w:rFonts w:cs="Times New Roman"/>
          <w:szCs w:val="24"/>
        </w:rPr>
        <w:t xml:space="preserve">over two </w:t>
      </w:r>
      <w:r w:rsidR="00B12B5E" w:rsidRPr="00FD3029">
        <w:rPr>
          <w:rFonts w:cs="Times New Roman"/>
          <w:szCs w:val="24"/>
        </w:rPr>
        <w:t xml:space="preserve">hundred </w:t>
      </w:r>
      <w:r w:rsidRPr="00FD3029">
        <w:rPr>
          <w:rFonts w:cs="Times New Roman"/>
          <w:szCs w:val="24"/>
        </w:rPr>
        <w:t>reports, studies</w:t>
      </w:r>
      <w:r w:rsidR="00B12B5E" w:rsidRPr="00FD3029">
        <w:rPr>
          <w:rFonts w:cs="Times New Roman"/>
          <w:szCs w:val="24"/>
        </w:rPr>
        <w:t>, articles</w:t>
      </w:r>
      <w:r w:rsidR="00D87865">
        <w:rPr>
          <w:rFonts w:cs="Times New Roman"/>
          <w:szCs w:val="24"/>
        </w:rPr>
        <w:t>,</w:t>
      </w:r>
      <w:r w:rsidRPr="00FD3029">
        <w:rPr>
          <w:rFonts w:cs="Times New Roman"/>
          <w:szCs w:val="24"/>
        </w:rPr>
        <w:t xml:space="preserve"> and submissions prepared by third parties</w:t>
      </w:r>
      <w:r w:rsidR="00B12B5E" w:rsidRPr="00FD3029">
        <w:rPr>
          <w:rFonts w:cs="Times New Roman"/>
          <w:szCs w:val="24"/>
        </w:rPr>
        <w:t>;</w:t>
      </w:r>
    </w:p>
    <w:p w14:paraId="5D6266D4" w14:textId="2141524C" w:rsidR="004254BF" w:rsidRPr="00FD3029" w:rsidRDefault="00B12B5E" w:rsidP="00BD53DC">
      <w:pPr>
        <w:pStyle w:val="ListParagraph"/>
        <w:numPr>
          <w:ilvl w:val="0"/>
          <w:numId w:val="10"/>
        </w:numPr>
        <w:jc w:val="both"/>
        <w:rPr>
          <w:rFonts w:cs="Times New Roman"/>
          <w:szCs w:val="24"/>
        </w:rPr>
      </w:pPr>
      <w:r w:rsidRPr="00FD3029">
        <w:rPr>
          <w:rFonts w:cs="Times New Roman"/>
          <w:szCs w:val="24"/>
        </w:rPr>
        <w:t xml:space="preserve">A </w:t>
      </w:r>
      <w:r w:rsidR="003E0B7A">
        <w:rPr>
          <w:rFonts w:cs="Times New Roman"/>
          <w:szCs w:val="24"/>
        </w:rPr>
        <w:t>review of</w:t>
      </w:r>
      <w:r w:rsidRPr="00FD3029">
        <w:rPr>
          <w:rFonts w:cs="Times New Roman"/>
          <w:szCs w:val="24"/>
        </w:rPr>
        <w:t xml:space="preserve"> over </w:t>
      </w:r>
      <w:r w:rsidR="00945021">
        <w:rPr>
          <w:rFonts w:cs="Times New Roman"/>
          <w:szCs w:val="24"/>
        </w:rPr>
        <w:t>6</w:t>
      </w:r>
      <w:r w:rsidRPr="00FD3029">
        <w:rPr>
          <w:rFonts w:cs="Times New Roman"/>
          <w:szCs w:val="24"/>
        </w:rPr>
        <w:t xml:space="preserve">00 business and human rights cases found on the </w:t>
      </w:r>
      <w:hyperlink r:id="rId23" w:history="1">
        <w:r w:rsidRPr="00D87865">
          <w:rPr>
            <w:rStyle w:val="Hyperlink"/>
            <w:rFonts w:cs="Times New Roman"/>
            <w:szCs w:val="24"/>
          </w:rPr>
          <w:t>Business and Human Rights Resource Centre</w:t>
        </w:r>
      </w:hyperlink>
      <w:r w:rsidRPr="00FD3029">
        <w:rPr>
          <w:rFonts w:cs="Times New Roman"/>
          <w:szCs w:val="24"/>
        </w:rPr>
        <w:t>;</w:t>
      </w:r>
      <w:r w:rsidR="00D65C5B" w:rsidRPr="00FD3029">
        <w:rPr>
          <w:rFonts w:cs="Times New Roman"/>
          <w:szCs w:val="24"/>
        </w:rPr>
        <w:t xml:space="preserve"> and</w:t>
      </w:r>
    </w:p>
    <w:p w14:paraId="230FB613" w14:textId="77777777" w:rsidR="004254BF" w:rsidRPr="00FD3029" w:rsidRDefault="00D65C5B" w:rsidP="00BD53DC">
      <w:pPr>
        <w:pStyle w:val="ListParagraph"/>
        <w:numPr>
          <w:ilvl w:val="0"/>
          <w:numId w:val="10"/>
        </w:numPr>
        <w:jc w:val="both"/>
        <w:rPr>
          <w:rFonts w:cs="Times New Roman"/>
          <w:szCs w:val="24"/>
        </w:rPr>
      </w:pPr>
      <w:r w:rsidRPr="00FD3029">
        <w:rPr>
          <w:rFonts w:cs="Times New Roman"/>
          <w:szCs w:val="24"/>
        </w:rPr>
        <w:t>Discrete research projects undertaken by the ARP III team and third parties.</w:t>
      </w:r>
    </w:p>
    <w:p w14:paraId="2CC8AF53" w14:textId="77777777" w:rsidR="00BD53DC" w:rsidRDefault="00BD53DC" w:rsidP="00BD53DC">
      <w:pPr>
        <w:rPr>
          <w:rFonts w:cs="Times New Roman"/>
        </w:rPr>
      </w:pPr>
    </w:p>
    <w:tbl>
      <w:tblPr>
        <w:tblStyle w:val="TableGrid"/>
        <w:tblW w:w="0" w:type="auto"/>
        <w:tblLook w:val="04A0" w:firstRow="1" w:lastRow="0" w:firstColumn="1" w:lastColumn="0" w:noHBand="0" w:noVBand="1"/>
      </w:tblPr>
      <w:tblGrid>
        <w:gridCol w:w="9016"/>
      </w:tblGrid>
      <w:tr w:rsidR="004A072A" w14:paraId="36CBF53E" w14:textId="77777777" w:rsidTr="008B6AE4">
        <w:tc>
          <w:tcPr>
            <w:tcW w:w="9242" w:type="dxa"/>
            <w:shd w:val="clear" w:color="auto" w:fill="DEEAF6" w:themeFill="accent1" w:themeFillTint="33"/>
          </w:tcPr>
          <w:p w14:paraId="29FAD460" w14:textId="77777777" w:rsidR="004A072A" w:rsidRPr="008B6AE4" w:rsidRDefault="004A072A" w:rsidP="00BD53DC">
            <w:pPr>
              <w:rPr>
                <w:rFonts w:cs="Times New Roman"/>
                <w:b/>
              </w:rPr>
            </w:pPr>
            <w:r w:rsidRPr="008B6AE4">
              <w:rPr>
                <w:rFonts w:cs="Times New Roman"/>
                <w:b/>
              </w:rPr>
              <w:t>A brief note about the terminology used in this discussion paper</w:t>
            </w:r>
          </w:p>
          <w:p w14:paraId="16B23CD2" w14:textId="77777777" w:rsidR="004A072A" w:rsidRDefault="004A072A" w:rsidP="00BD53DC">
            <w:pPr>
              <w:rPr>
                <w:rFonts w:cs="Times New Roman"/>
              </w:rPr>
            </w:pPr>
          </w:p>
          <w:p w14:paraId="4ED404E0" w14:textId="524CED87" w:rsidR="004A072A" w:rsidRDefault="004A072A" w:rsidP="00BD53DC">
            <w:pPr>
              <w:rPr>
                <w:rFonts w:cs="Times New Roman"/>
              </w:rPr>
            </w:pPr>
            <w:r>
              <w:rPr>
                <w:rFonts w:cs="Times New Roman"/>
              </w:rPr>
              <w:t xml:space="preserve">In this discussion paper, </w:t>
            </w:r>
            <w:r w:rsidR="00596B3B">
              <w:rPr>
                <w:rFonts w:cs="Times New Roman"/>
              </w:rPr>
              <w:t>“</w:t>
            </w:r>
            <w:r>
              <w:rPr>
                <w:rFonts w:cs="Times New Roman"/>
                <w:b/>
              </w:rPr>
              <w:t>contributors</w:t>
            </w:r>
            <w:r w:rsidR="00596B3B" w:rsidRPr="00596B3B">
              <w:rPr>
                <w:rFonts w:cs="Times New Roman"/>
              </w:rPr>
              <w:t>”</w:t>
            </w:r>
            <w:r>
              <w:rPr>
                <w:rFonts w:cs="Times New Roman"/>
                <w:b/>
              </w:rPr>
              <w:t xml:space="preserve"> </w:t>
            </w:r>
            <w:r>
              <w:rPr>
                <w:rFonts w:cs="Times New Roman"/>
              </w:rPr>
              <w:t xml:space="preserve">refers to </w:t>
            </w:r>
            <w:r w:rsidR="008B6AE4">
              <w:rPr>
                <w:rFonts w:cs="Times New Roman"/>
              </w:rPr>
              <w:t xml:space="preserve">those </w:t>
            </w:r>
            <w:r>
              <w:rPr>
                <w:rFonts w:cs="Times New Roman"/>
              </w:rPr>
              <w:t xml:space="preserve">people </w:t>
            </w:r>
            <w:r w:rsidR="00C56529">
              <w:rPr>
                <w:rFonts w:cs="Times New Roman"/>
              </w:rPr>
              <w:t xml:space="preserve">and organizations </w:t>
            </w:r>
            <w:r>
              <w:rPr>
                <w:rFonts w:cs="Times New Roman"/>
              </w:rPr>
              <w:t xml:space="preserve">who have contributed to ARP III information-gathering processes, e.g. </w:t>
            </w:r>
            <w:r w:rsidR="008B6AE4">
              <w:rPr>
                <w:rFonts w:cs="Times New Roman"/>
              </w:rPr>
              <w:t xml:space="preserve">responding to </w:t>
            </w:r>
            <w:r>
              <w:rPr>
                <w:rFonts w:cs="Times New Roman"/>
              </w:rPr>
              <w:t>survey</w:t>
            </w:r>
            <w:r w:rsidR="008B6AE4">
              <w:rPr>
                <w:rFonts w:cs="Times New Roman"/>
              </w:rPr>
              <w:t>s</w:t>
            </w:r>
            <w:r>
              <w:rPr>
                <w:rFonts w:cs="Times New Roman"/>
              </w:rPr>
              <w:t xml:space="preserve">, </w:t>
            </w:r>
            <w:r w:rsidR="008B6AE4">
              <w:rPr>
                <w:rFonts w:cs="Times New Roman"/>
              </w:rPr>
              <w:t xml:space="preserve">sharing </w:t>
            </w:r>
            <w:r>
              <w:rPr>
                <w:rFonts w:cs="Times New Roman"/>
              </w:rPr>
              <w:t>studies</w:t>
            </w:r>
            <w:r w:rsidR="008B6AE4">
              <w:rPr>
                <w:rFonts w:cs="Times New Roman"/>
              </w:rPr>
              <w:t xml:space="preserve"> / </w:t>
            </w:r>
            <w:r>
              <w:rPr>
                <w:rFonts w:cs="Times New Roman"/>
              </w:rPr>
              <w:t xml:space="preserve">reports, </w:t>
            </w:r>
            <w:r w:rsidR="00C56529">
              <w:rPr>
                <w:rFonts w:cs="Times New Roman"/>
              </w:rPr>
              <w:t>being interviewed, participating</w:t>
            </w:r>
            <w:r w:rsidR="008B6AE4">
              <w:rPr>
                <w:rFonts w:cs="Times New Roman"/>
              </w:rPr>
              <w:t xml:space="preserve"> in consultations, etc.</w:t>
            </w:r>
            <w:r w:rsidR="00C56529">
              <w:rPr>
                <w:rFonts w:cs="Times New Roman"/>
              </w:rPr>
              <w:t xml:space="preserve">  The ARP III team would like to express its gratitude for the many and varied contributions received.</w:t>
            </w:r>
          </w:p>
        </w:tc>
      </w:tr>
    </w:tbl>
    <w:p w14:paraId="498C2CA1" w14:textId="77777777" w:rsidR="004A072A" w:rsidRDefault="004A072A" w:rsidP="00BD53DC">
      <w:pPr>
        <w:rPr>
          <w:rFonts w:cs="Times New Roman"/>
        </w:rPr>
      </w:pPr>
    </w:p>
    <w:p w14:paraId="219905EA" w14:textId="77777777" w:rsidR="004A072A" w:rsidRPr="00FD3029" w:rsidRDefault="004A072A" w:rsidP="00BD53DC">
      <w:pPr>
        <w:rPr>
          <w:rFonts w:cs="Times New Roman"/>
        </w:rPr>
      </w:pPr>
    </w:p>
    <w:p w14:paraId="0684AB4B" w14:textId="77777777" w:rsidR="004254BF" w:rsidRPr="00FD3029" w:rsidRDefault="00D65C5B" w:rsidP="00BD53DC">
      <w:pPr>
        <w:pStyle w:val="Heading2"/>
        <w:spacing w:before="0"/>
        <w:rPr>
          <w:rFonts w:cs="Times New Roman"/>
        </w:rPr>
      </w:pPr>
      <w:bookmarkStart w:id="9" w:name="_Toc25057782"/>
      <w:r w:rsidRPr="00FD3029">
        <w:rPr>
          <w:rFonts w:cs="Times New Roman"/>
        </w:rPr>
        <w:t>Questionnaire Responses</w:t>
      </w:r>
      <w:bookmarkEnd w:id="9"/>
    </w:p>
    <w:p w14:paraId="2AAC0216" w14:textId="77777777" w:rsidR="004254BF" w:rsidRPr="00FD3029" w:rsidRDefault="004254BF" w:rsidP="00BD53DC">
      <w:pPr>
        <w:rPr>
          <w:rFonts w:cs="Times New Roman"/>
        </w:rPr>
      </w:pPr>
    </w:p>
    <w:p w14:paraId="23D8D56B" w14:textId="77777777" w:rsidR="00CE5F4A" w:rsidRPr="00FD3029" w:rsidRDefault="00CE5F4A" w:rsidP="00DE08B8">
      <w:pPr>
        <w:jc w:val="both"/>
        <w:rPr>
          <w:rFonts w:cs="Times New Roman"/>
          <w:szCs w:val="24"/>
        </w:rPr>
      </w:pPr>
      <w:r w:rsidRPr="00FD3029">
        <w:rPr>
          <w:rFonts w:cs="Times New Roman"/>
          <w:szCs w:val="24"/>
        </w:rPr>
        <w:t>At the beginning of 2019, six different questionnaires were publicly available for response</w:t>
      </w:r>
      <w:r w:rsidR="00610DF5" w:rsidRPr="00FD3029">
        <w:rPr>
          <w:rFonts w:cs="Times New Roman"/>
          <w:szCs w:val="24"/>
        </w:rPr>
        <w:t>:</w:t>
      </w:r>
      <w:r w:rsidRPr="00FD3029">
        <w:rPr>
          <w:rFonts w:cs="Times New Roman"/>
          <w:szCs w:val="24"/>
        </w:rPr>
        <w:t xml:space="preserve"> </w:t>
      </w:r>
      <w:r w:rsidR="00610DF5" w:rsidRPr="00FD3029">
        <w:rPr>
          <w:rFonts w:cs="Times New Roman"/>
          <w:szCs w:val="24"/>
        </w:rPr>
        <w:t>a</w:t>
      </w:r>
      <w:r w:rsidRPr="00FD3029">
        <w:rPr>
          <w:rFonts w:cs="Times New Roman"/>
          <w:szCs w:val="24"/>
        </w:rPr>
        <w:t xml:space="preserve"> </w:t>
      </w:r>
      <w:r w:rsidR="003E0B7A">
        <w:rPr>
          <w:rFonts w:cs="Times New Roman"/>
          <w:szCs w:val="24"/>
        </w:rPr>
        <w:t xml:space="preserve"> </w:t>
      </w:r>
      <w:r w:rsidRPr="00FD3029">
        <w:rPr>
          <w:rFonts w:cs="Times New Roman"/>
          <w:szCs w:val="24"/>
        </w:rPr>
        <w:t xml:space="preserve">questionnaire </w:t>
      </w:r>
      <w:r w:rsidR="003E0B7A">
        <w:rPr>
          <w:rFonts w:cs="Times New Roman"/>
          <w:szCs w:val="24"/>
        </w:rPr>
        <w:t>available to</w:t>
      </w:r>
      <w:r w:rsidR="003E0B7A" w:rsidRPr="00FD3029">
        <w:rPr>
          <w:rFonts w:cs="Times New Roman"/>
          <w:szCs w:val="24"/>
        </w:rPr>
        <w:t xml:space="preserve"> </w:t>
      </w:r>
      <w:r w:rsidR="00DE08B8" w:rsidRPr="00FD3029">
        <w:rPr>
          <w:rFonts w:cs="Times New Roman"/>
          <w:szCs w:val="24"/>
        </w:rPr>
        <w:t>anyone with knowledge of and/or experience with non-State-based grievance mechanisms</w:t>
      </w:r>
      <w:r w:rsidR="00610DF5" w:rsidRPr="00FD3029">
        <w:rPr>
          <w:rFonts w:cs="Times New Roman"/>
          <w:szCs w:val="24"/>
        </w:rPr>
        <w:t>, and five targeted questionnaires with questions tailored to (1) States; (2) users of mechanisms and their representatives; (3) companies; (4) industry, multi-stakeholder, or other collaborative initiatives; and (5) independent accountability mechanisms.</w:t>
      </w:r>
      <w:r w:rsidR="00610DF5" w:rsidRPr="00FD3029">
        <w:rPr>
          <w:rStyle w:val="FootnoteReference"/>
          <w:rFonts w:cs="Times New Roman"/>
          <w:szCs w:val="24"/>
        </w:rPr>
        <w:footnoteReference w:id="5"/>
      </w:r>
    </w:p>
    <w:p w14:paraId="50803207" w14:textId="77777777" w:rsidR="00DE08B8" w:rsidRPr="00FD3029" w:rsidRDefault="00DE08B8" w:rsidP="00DE08B8">
      <w:pPr>
        <w:jc w:val="both"/>
        <w:rPr>
          <w:rFonts w:cs="Times New Roman"/>
          <w:szCs w:val="24"/>
        </w:rPr>
      </w:pPr>
    </w:p>
    <w:p w14:paraId="610C0D4F" w14:textId="77777777" w:rsidR="00092C0F" w:rsidRPr="00FD3029" w:rsidRDefault="004254BF" w:rsidP="00DE08B8">
      <w:pPr>
        <w:jc w:val="both"/>
        <w:rPr>
          <w:rFonts w:cs="Times New Roman"/>
          <w:szCs w:val="24"/>
        </w:rPr>
      </w:pPr>
      <w:r w:rsidRPr="00FD3029">
        <w:rPr>
          <w:rFonts w:cs="Times New Roman"/>
          <w:szCs w:val="24"/>
        </w:rPr>
        <w:t>Stakeholders were invited to answer questions relating to both:</w:t>
      </w:r>
    </w:p>
    <w:p w14:paraId="26677694" w14:textId="77777777" w:rsidR="004254BF" w:rsidRPr="00FD3029" w:rsidRDefault="004254BF" w:rsidP="00DE08B8">
      <w:pPr>
        <w:pStyle w:val="ListParagraph"/>
        <w:numPr>
          <w:ilvl w:val="0"/>
          <w:numId w:val="11"/>
        </w:numPr>
        <w:jc w:val="both"/>
        <w:rPr>
          <w:rFonts w:cs="Times New Roman"/>
          <w:szCs w:val="24"/>
        </w:rPr>
      </w:pPr>
      <w:r w:rsidRPr="00FD3029">
        <w:rPr>
          <w:rFonts w:cs="Times New Roman"/>
          <w:szCs w:val="24"/>
        </w:rPr>
        <w:t>the design of non-State-based grievance mechanisms with which they were familiar; and</w:t>
      </w:r>
    </w:p>
    <w:p w14:paraId="6A3CCE4D" w14:textId="77777777" w:rsidR="004254BF" w:rsidRPr="00FD3029" w:rsidRDefault="004254BF" w:rsidP="00DE08B8">
      <w:pPr>
        <w:pStyle w:val="ListParagraph"/>
        <w:numPr>
          <w:ilvl w:val="0"/>
          <w:numId w:val="11"/>
        </w:numPr>
        <w:jc w:val="both"/>
        <w:rPr>
          <w:rFonts w:cs="Times New Roman"/>
          <w:szCs w:val="24"/>
        </w:rPr>
      </w:pPr>
      <w:r w:rsidRPr="00FD3029">
        <w:rPr>
          <w:rFonts w:cs="Times New Roman"/>
          <w:szCs w:val="24"/>
        </w:rPr>
        <w:t>their experiences with these mechanisms in real-life cases.</w:t>
      </w:r>
    </w:p>
    <w:p w14:paraId="39C34534" w14:textId="77777777" w:rsidR="00BD53DC" w:rsidRPr="00FD3029" w:rsidRDefault="00BD53DC" w:rsidP="00DE08B8">
      <w:pPr>
        <w:jc w:val="both"/>
        <w:rPr>
          <w:rFonts w:cs="Times New Roman"/>
          <w:szCs w:val="24"/>
        </w:rPr>
      </w:pPr>
    </w:p>
    <w:p w14:paraId="13429E94" w14:textId="77777777" w:rsidR="004254BF" w:rsidRPr="00FD3029" w:rsidRDefault="004254BF" w:rsidP="00DE08B8">
      <w:pPr>
        <w:jc w:val="both"/>
        <w:rPr>
          <w:rFonts w:cs="Times New Roman"/>
          <w:szCs w:val="24"/>
        </w:rPr>
      </w:pPr>
      <w:r w:rsidRPr="00FD3029">
        <w:rPr>
          <w:rFonts w:cs="Times New Roman"/>
          <w:szCs w:val="24"/>
        </w:rPr>
        <w:t>O</w:t>
      </w:r>
      <w:r w:rsidR="00A02AD7" w:rsidRPr="00FD3029">
        <w:rPr>
          <w:rFonts w:cs="Times New Roman"/>
          <w:szCs w:val="24"/>
        </w:rPr>
        <w:t xml:space="preserve">HCHR received </w:t>
      </w:r>
      <w:r w:rsidRPr="00655295">
        <w:rPr>
          <w:rFonts w:cs="Times New Roman"/>
          <w:szCs w:val="24"/>
        </w:rPr>
        <w:t>100</w:t>
      </w:r>
      <w:r w:rsidRPr="00FD3029">
        <w:rPr>
          <w:rFonts w:cs="Times New Roman"/>
          <w:szCs w:val="24"/>
        </w:rPr>
        <w:t xml:space="preserve"> responses </w:t>
      </w:r>
      <w:r w:rsidR="00A02AD7" w:rsidRPr="00FD3029">
        <w:rPr>
          <w:rFonts w:cs="Times New Roman"/>
          <w:szCs w:val="24"/>
        </w:rPr>
        <w:t>to these questionnaires</w:t>
      </w:r>
      <w:r w:rsidRPr="00FD3029">
        <w:rPr>
          <w:rFonts w:cs="Times New Roman"/>
          <w:szCs w:val="24"/>
        </w:rPr>
        <w:t>.</w:t>
      </w:r>
      <w:r w:rsidR="00A02AD7" w:rsidRPr="00FD3029">
        <w:rPr>
          <w:rFonts w:cs="Times New Roman"/>
          <w:szCs w:val="24"/>
        </w:rPr>
        <w:t xml:space="preserve">  A</w:t>
      </w:r>
      <w:r w:rsidRPr="00FD3029">
        <w:rPr>
          <w:rFonts w:cs="Times New Roman"/>
          <w:szCs w:val="24"/>
        </w:rPr>
        <w:t xml:space="preserve">n indication of the breakdown of these responses is provided in </w:t>
      </w:r>
      <w:r w:rsidR="00A02AD7" w:rsidRPr="00FD3029">
        <w:rPr>
          <w:rFonts w:cs="Times New Roman"/>
          <w:szCs w:val="24"/>
        </w:rPr>
        <w:t>the figures</w:t>
      </w:r>
      <w:r w:rsidRPr="00FD3029">
        <w:rPr>
          <w:rFonts w:cs="Times New Roman"/>
          <w:szCs w:val="24"/>
        </w:rPr>
        <w:t xml:space="preserve"> below.</w:t>
      </w:r>
      <w:r w:rsidR="003E0B7A">
        <w:rPr>
          <w:rStyle w:val="FootnoteReference"/>
          <w:rFonts w:cs="Times New Roman"/>
          <w:szCs w:val="24"/>
        </w:rPr>
        <w:footnoteReference w:id="6"/>
      </w:r>
    </w:p>
    <w:p w14:paraId="7DCA6090" w14:textId="77777777" w:rsidR="00655295" w:rsidRDefault="00655295" w:rsidP="00DE08B8">
      <w:pPr>
        <w:jc w:val="both"/>
        <w:rPr>
          <w:rFonts w:cs="Times New Roman"/>
          <w:b/>
          <w:szCs w:val="24"/>
        </w:rPr>
      </w:pPr>
    </w:p>
    <w:p w14:paraId="57E77B7B" w14:textId="77777777" w:rsidR="00607CB8" w:rsidRPr="00FD3029" w:rsidRDefault="004254BF" w:rsidP="00DE08B8">
      <w:pPr>
        <w:jc w:val="both"/>
        <w:rPr>
          <w:rFonts w:cs="Times New Roman"/>
          <w:b/>
          <w:szCs w:val="24"/>
        </w:rPr>
      </w:pPr>
      <w:r w:rsidRPr="00FD3029">
        <w:rPr>
          <w:rFonts w:cs="Times New Roman"/>
          <w:b/>
          <w:szCs w:val="24"/>
        </w:rPr>
        <w:t>Fig. 1</w:t>
      </w:r>
      <w:r w:rsidR="00BD0531" w:rsidRPr="00FD3029">
        <w:rPr>
          <w:rFonts w:cs="Times New Roman"/>
          <w:b/>
          <w:szCs w:val="24"/>
        </w:rPr>
        <w:t>: Location of r</w:t>
      </w:r>
      <w:r w:rsidR="00AF7825" w:rsidRPr="00FD3029">
        <w:rPr>
          <w:rFonts w:cs="Times New Roman"/>
          <w:b/>
          <w:szCs w:val="24"/>
        </w:rPr>
        <w:t>espondent</w:t>
      </w:r>
      <w:r w:rsidRPr="00FD3029">
        <w:rPr>
          <w:rFonts w:cs="Times New Roman"/>
          <w:b/>
          <w:szCs w:val="24"/>
        </w:rPr>
        <w:t>, by UN regional group</w:t>
      </w:r>
    </w:p>
    <w:p w14:paraId="66791198" w14:textId="77777777" w:rsidR="00C5257D" w:rsidRDefault="006350A7">
      <w:pPr>
        <w:jc w:val="center"/>
        <w:rPr>
          <w:rFonts w:cs="Times New Roman"/>
          <w:b/>
          <w:szCs w:val="24"/>
        </w:rPr>
      </w:pPr>
      <w:r w:rsidRPr="00FD3029">
        <w:rPr>
          <w:noProof/>
          <w:lang w:eastAsia="en-GB"/>
        </w:rPr>
        <w:drawing>
          <wp:inline distT="0" distB="0" distL="0" distR="0" wp14:anchorId="2AD1CA7F" wp14:editId="4D523B5C">
            <wp:extent cx="3997841" cy="2083981"/>
            <wp:effectExtent l="0" t="0" r="317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DA4F458" w14:textId="77777777" w:rsidR="00655295" w:rsidRDefault="00655295"/>
    <w:p w14:paraId="4C3EC509" w14:textId="77777777" w:rsidR="00655295" w:rsidRDefault="00655295"/>
    <w:p w14:paraId="1F19C7C8" w14:textId="77777777" w:rsidR="00655295" w:rsidRDefault="00655295"/>
    <w:p w14:paraId="3B121182" w14:textId="77777777" w:rsidR="00655295" w:rsidRDefault="00655295"/>
    <w:p w14:paraId="3F367780" w14:textId="77777777" w:rsidR="00655295" w:rsidRDefault="0065529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4493"/>
      </w:tblGrid>
      <w:tr w:rsidR="006350A7" w:rsidRPr="00FD3029" w14:paraId="429200EF" w14:textId="77777777" w:rsidTr="00BD0531">
        <w:tc>
          <w:tcPr>
            <w:tcW w:w="4523" w:type="dxa"/>
          </w:tcPr>
          <w:p w14:paraId="27934A16" w14:textId="77777777" w:rsidR="00607CB8" w:rsidRPr="00FD3029" w:rsidRDefault="006350A7" w:rsidP="006350A7">
            <w:pPr>
              <w:jc w:val="both"/>
              <w:rPr>
                <w:rFonts w:cs="Times New Roman"/>
                <w:b/>
                <w:szCs w:val="24"/>
              </w:rPr>
            </w:pPr>
            <w:r w:rsidRPr="00FD3029">
              <w:rPr>
                <w:rFonts w:cs="Times New Roman"/>
                <w:b/>
                <w:szCs w:val="24"/>
              </w:rPr>
              <w:t>Fig. 2: Location of mechanism, by UN regional group</w:t>
            </w:r>
          </w:p>
          <w:p w14:paraId="588DE6A3" w14:textId="77777777" w:rsidR="006350A7" w:rsidRPr="00FD3029" w:rsidRDefault="006350A7" w:rsidP="006350A7">
            <w:pPr>
              <w:jc w:val="both"/>
              <w:rPr>
                <w:rFonts w:cs="Times New Roman"/>
                <w:b/>
                <w:szCs w:val="24"/>
              </w:rPr>
            </w:pPr>
            <w:r w:rsidRPr="00FD3029">
              <w:rPr>
                <w:noProof/>
                <w:lang w:eastAsia="en-GB"/>
              </w:rPr>
              <w:drawing>
                <wp:inline distT="0" distB="0" distL="0" distR="0" wp14:anchorId="66BC0E5D" wp14:editId="577FECBC">
                  <wp:extent cx="2700670" cy="2221865"/>
                  <wp:effectExtent l="0" t="0" r="4445" b="698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493" w:type="dxa"/>
          </w:tcPr>
          <w:p w14:paraId="56D5E157" w14:textId="77777777" w:rsidR="00607CB8" w:rsidRPr="00FD3029" w:rsidRDefault="006350A7" w:rsidP="006350A7">
            <w:pPr>
              <w:jc w:val="both"/>
              <w:rPr>
                <w:rFonts w:cs="Times New Roman"/>
                <w:b/>
                <w:szCs w:val="24"/>
              </w:rPr>
            </w:pPr>
            <w:r w:rsidRPr="00FD3029">
              <w:rPr>
                <w:rFonts w:cs="Times New Roman"/>
                <w:b/>
                <w:szCs w:val="24"/>
              </w:rPr>
              <w:t>Fig. 3: Location of grievance, by UN regional group</w:t>
            </w:r>
          </w:p>
          <w:p w14:paraId="6632B68C" w14:textId="77777777" w:rsidR="006350A7" w:rsidRPr="00FD3029" w:rsidRDefault="006350A7" w:rsidP="006350A7">
            <w:pPr>
              <w:jc w:val="both"/>
              <w:rPr>
                <w:rFonts w:cs="Times New Roman"/>
                <w:b/>
                <w:szCs w:val="24"/>
              </w:rPr>
            </w:pPr>
            <w:r w:rsidRPr="00FD3029">
              <w:rPr>
                <w:noProof/>
                <w:lang w:eastAsia="en-GB"/>
              </w:rPr>
              <w:drawing>
                <wp:inline distT="0" distB="0" distL="0" distR="0" wp14:anchorId="61A9D82A" wp14:editId="4BD6A45D">
                  <wp:extent cx="2636874" cy="2222205"/>
                  <wp:effectExtent l="0" t="0" r="0" b="698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763AB620" w14:textId="77777777" w:rsidR="00BD53DC" w:rsidRPr="00FD3029" w:rsidRDefault="00BD53DC" w:rsidP="00DE08B8">
      <w:pPr>
        <w:jc w:val="both"/>
        <w:rPr>
          <w:rFonts w:cs="Times New Roman"/>
          <w:b/>
          <w:szCs w:val="24"/>
        </w:rPr>
      </w:pPr>
    </w:p>
    <w:p w14:paraId="4569D9A5" w14:textId="77777777" w:rsidR="00607CB8" w:rsidRPr="00A714E8" w:rsidRDefault="004254BF" w:rsidP="00DE08B8">
      <w:pPr>
        <w:jc w:val="both"/>
        <w:rPr>
          <w:rFonts w:cs="Times New Roman"/>
          <w:b/>
          <w:szCs w:val="24"/>
        </w:rPr>
      </w:pPr>
      <w:r w:rsidRPr="00FD3029">
        <w:rPr>
          <w:rFonts w:cs="Times New Roman"/>
          <w:b/>
          <w:szCs w:val="24"/>
        </w:rPr>
        <w:t>Fig</w:t>
      </w:r>
      <w:r w:rsidR="000A0E94" w:rsidRPr="00FD3029">
        <w:rPr>
          <w:rFonts w:cs="Times New Roman"/>
          <w:b/>
          <w:szCs w:val="24"/>
        </w:rPr>
        <w:t>.</w:t>
      </w:r>
      <w:r w:rsidRPr="00FD3029">
        <w:rPr>
          <w:rFonts w:cs="Times New Roman"/>
          <w:b/>
          <w:szCs w:val="24"/>
        </w:rPr>
        <w:t xml:space="preserve"> </w:t>
      </w:r>
      <w:r w:rsidR="000A0E94" w:rsidRPr="00FD3029">
        <w:rPr>
          <w:rFonts w:cs="Times New Roman"/>
          <w:b/>
          <w:szCs w:val="24"/>
        </w:rPr>
        <w:t>4</w:t>
      </w:r>
      <w:r w:rsidRPr="00FD3029">
        <w:rPr>
          <w:rFonts w:cs="Times New Roman"/>
          <w:b/>
          <w:szCs w:val="24"/>
        </w:rPr>
        <w:t xml:space="preserve">: </w:t>
      </w:r>
      <w:r w:rsidR="000A0E94" w:rsidRPr="00FD3029">
        <w:rPr>
          <w:rFonts w:cs="Times New Roman"/>
          <w:b/>
          <w:szCs w:val="24"/>
        </w:rPr>
        <w:t>R</w:t>
      </w:r>
      <w:r w:rsidRPr="00FD3029">
        <w:rPr>
          <w:rFonts w:cs="Times New Roman"/>
          <w:b/>
          <w:szCs w:val="24"/>
        </w:rPr>
        <w:t>espondent</w:t>
      </w:r>
      <w:r w:rsidR="000A0E94" w:rsidRPr="00FD3029">
        <w:rPr>
          <w:rFonts w:cs="Times New Roman"/>
          <w:b/>
          <w:szCs w:val="24"/>
        </w:rPr>
        <w:t xml:space="preserve"> stakeholder group</w:t>
      </w:r>
      <w:r w:rsidRPr="00FD3029">
        <w:rPr>
          <w:rFonts w:cs="Times New Roman"/>
          <w:b/>
          <w:szCs w:val="24"/>
        </w:rPr>
        <w:t xml:space="preserve"> </w:t>
      </w:r>
    </w:p>
    <w:p w14:paraId="08CF57B3" w14:textId="77777777" w:rsidR="00BD53DC" w:rsidRPr="00655295" w:rsidRDefault="00D95E1B" w:rsidP="00655295">
      <w:pPr>
        <w:jc w:val="center"/>
        <w:rPr>
          <w:rFonts w:cs="Times New Roman"/>
          <w:szCs w:val="24"/>
        </w:rPr>
      </w:pPr>
      <w:r>
        <w:rPr>
          <w:noProof/>
          <w:lang w:eastAsia="en-GB"/>
        </w:rPr>
        <w:drawing>
          <wp:inline distT="0" distB="0" distL="0" distR="0" wp14:anchorId="046C6D37" wp14:editId="4EA679E6">
            <wp:extent cx="3677055" cy="2315183"/>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5642FD1" w14:textId="77777777" w:rsidR="00A714E8" w:rsidRDefault="00A714E8" w:rsidP="00655295">
      <w:pPr>
        <w:spacing w:after="160" w:line="259" w:lineRule="auto"/>
        <w:rPr>
          <w:rFonts w:cs="Times New Roman"/>
          <w:b/>
          <w:szCs w:val="24"/>
        </w:rPr>
      </w:pPr>
    </w:p>
    <w:p w14:paraId="3F8B2AD6" w14:textId="77777777" w:rsidR="00607CB8" w:rsidRPr="00FD3029" w:rsidRDefault="004254BF" w:rsidP="00655295">
      <w:pPr>
        <w:spacing w:after="160" w:line="259" w:lineRule="auto"/>
        <w:rPr>
          <w:rFonts w:cs="Times New Roman"/>
          <w:b/>
          <w:szCs w:val="24"/>
        </w:rPr>
      </w:pPr>
      <w:r w:rsidRPr="00FD3029">
        <w:rPr>
          <w:rFonts w:cs="Times New Roman"/>
          <w:b/>
          <w:szCs w:val="24"/>
        </w:rPr>
        <w:t>Fig</w:t>
      </w:r>
      <w:r w:rsidR="000A0E94" w:rsidRPr="00FD3029">
        <w:rPr>
          <w:rFonts w:cs="Times New Roman"/>
          <w:b/>
          <w:szCs w:val="24"/>
        </w:rPr>
        <w:t>.</w:t>
      </w:r>
      <w:r w:rsidRPr="00FD3029">
        <w:rPr>
          <w:rFonts w:cs="Times New Roman"/>
          <w:b/>
          <w:szCs w:val="24"/>
        </w:rPr>
        <w:t xml:space="preserve"> </w:t>
      </w:r>
      <w:r w:rsidR="000A0E94" w:rsidRPr="00FD3029">
        <w:rPr>
          <w:rFonts w:cs="Times New Roman"/>
          <w:b/>
          <w:szCs w:val="24"/>
        </w:rPr>
        <w:t>5</w:t>
      </w:r>
      <w:r w:rsidRPr="00FD3029">
        <w:rPr>
          <w:rFonts w:cs="Times New Roman"/>
          <w:b/>
          <w:szCs w:val="24"/>
        </w:rPr>
        <w:t xml:space="preserve">: </w:t>
      </w:r>
      <w:r w:rsidR="000A0E94" w:rsidRPr="00FD3029">
        <w:rPr>
          <w:rFonts w:cs="Times New Roman"/>
          <w:b/>
          <w:szCs w:val="24"/>
        </w:rPr>
        <w:t>Type of grievance mechanism</w:t>
      </w:r>
    </w:p>
    <w:p w14:paraId="58F71946" w14:textId="77777777" w:rsidR="00D95E1B" w:rsidRDefault="00D95E1B">
      <w:pPr>
        <w:jc w:val="center"/>
        <w:rPr>
          <w:rFonts w:cs="Times New Roman"/>
          <w:szCs w:val="24"/>
        </w:rPr>
      </w:pPr>
      <w:r>
        <w:rPr>
          <w:noProof/>
          <w:lang w:eastAsia="en-GB"/>
        </w:rPr>
        <w:drawing>
          <wp:inline distT="0" distB="0" distL="0" distR="0" wp14:anchorId="639F38C1" wp14:editId="54ED115E">
            <wp:extent cx="3784059" cy="2188723"/>
            <wp:effectExtent l="0" t="0" r="6985" b="25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A9181DA" w14:textId="77777777" w:rsidR="00BD53DC" w:rsidRPr="00FD3029" w:rsidRDefault="00BD53DC" w:rsidP="00DE08B8">
      <w:pPr>
        <w:jc w:val="both"/>
        <w:rPr>
          <w:rFonts w:cs="Times New Roman"/>
          <w:b/>
          <w:szCs w:val="24"/>
        </w:rPr>
      </w:pPr>
    </w:p>
    <w:p w14:paraId="5B2F3F7E" w14:textId="581F7AD4" w:rsidR="00A714E8" w:rsidRDefault="00A714E8" w:rsidP="00DE08B8">
      <w:pPr>
        <w:jc w:val="both"/>
        <w:rPr>
          <w:rFonts w:cs="Times New Roman"/>
          <w:b/>
          <w:szCs w:val="24"/>
        </w:rPr>
      </w:pPr>
    </w:p>
    <w:p w14:paraId="4AB8054F" w14:textId="5A79B084" w:rsidR="00613219" w:rsidRDefault="00613219" w:rsidP="00DE08B8">
      <w:pPr>
        <w:jc w:val="both"/>
        <w:rPr>
          <w:rFonts w:cs="Times New Roman"/>
          <w:b/>
          <w:szCs w:val="24"/>
        </w:rPr>
      </w:pPr>
    </w:p>
    <w:p w14:paraId="0975B10A" w14:textId="77777777" w:rsidR="00613219" w:rsidRDefault="00613219" w:rsidP="00DE08B8">
      <w:pPr>
        <w:jc w:val="both"/>
        <w:rPr>
          <w:rFonts w:cs="Times New Roman"/>
          <w:b/>
          <w:szCs w:val="24"/>
        </w:rPr>
      </w:pPr>
    </w:p>
    <w:p w14:paraId="3EA3A090" w14:textId="77777777" w:rsidR="004254BF" w:rsidRDefault="004254BF" w:rsidP="00DE08B8">
      <w:pPr>
        <w:jc w:val="both"/>
        <w:rPr>
          <w:rFonts w:cs="Times New Roman"/>
          <w:b/>
          <w:szCs w:val="24"/>
        </w:rPr>
      </w:pPr>
      <w:r w:rsidRPr="00FD3029">
        <w:rPr>
          <w:rFonts w:cs="Times New Roman"/>
          <w:b/>
          <w:szCs w:val="24"/>
        </w:rPr>
        <w:t>Fig</w:t>
      </w:r>
      <w:r w:rsidR="00BD78BA" w:rsidRPr="00FD3029">
        <w:rPr>
          <w:rFonts w:cs="Times New Roman"/>
          <w:b/>
          <w:szCs w:val="24"/>
        </w:rPr>
        <w:t>.</w:t>
      </w:r>
      <w:r w:rsidRPr="00FD3029">
        <w:rPr>
          <w:rFonts w:cs="Times New Roman"/>
          <w:b/>
          <w:szCs w:val="24"/>
        </w:rPr>
        <w:t xml:space="preserve"> </w:t>
      </w:r>
      <w:r w:rsidR="00BD78BA" w:rsidRPr="00FD3029">
        <w:rPr>
          <w:rFonts w:cs="Times New Roman"/>
          <w:b/>
          <w:szCs w:val="24"/>
        </w:rPr>
        <w:t>6</w:t>
      </w:r>
      <w:r w:rsidRPr="00FD3029">
        <w:rPr>
          <w:rFonts w:cs="Times New Roman"/>
          <w:b/>
          <w:szCs w:val="24"/>
        </w:rPr>
        <w:t xml:space="preserve">: </w:t>
      </w:r>
      <w:r w:rsidR="00BD78BA" w:rsidRPr="00FD3029">
        <w:rPr>
          <w:rFonts w:cs="Times New Roman"/>
          <w:b/>
          <w:szCs w:val="24"/>
        </w:rPr>
        <w:t>S</w:t>
      </w:r>
      <w:r w:rsidRPr="00FD3029">
        <w:rPr>
          <w:rFonts w:cs="Times New Roman"/>
          <w:b/>
          <w:szCs w:val="24"/>
        </w:rPr>
        <w:t>ector to which the grievance mechanism chosen by the respondent relates</w:t>
      </w:r>
    </w:p>
    <w:p w14:paraId="26537B59" w14:textId="77777777" w:rsidR="00607CB8" w:rsidRPr="00FD3029" w:rsidRDefault="00607CB8" w:rsidP="00DE08B8">
      <w:pPr>
        <w:jc w:val="both"/>
        <w:rPr>
          <w:rFonts w:cs="Times New Roman"/>
          <w:b/>
          <w:szCs w:val="24"/>
        </w:rPr>
      </w:pPr>
    </w:p>
    <w:p w14:paraId="6BAFC04C" w14:textId="77777777" w:rsidR="00D95E1B" w:rsidRDefault="00D95E1B">
      <w:pPr>
        <w:jc w:val="center"/>
        <w:rPr>
          <w:rFonts w:cs="Times New Roman"/>
          <w:szCs w:val="24"/>
        </w:rPr>
      </w:pPr>
      <w:r>
        <w:rPr>
          <w:noProof/>
          <w:lang w:eastAsia="en-GB"/>
        </w:rPr>
        <w:drawing>
          <wp:inline distT="0" distB="0" distL="0" distR="0" wp14:anchorId="3D271B13" wp14:editId="417327CB">
            <wp:extent cx="5401310" cy="2855344"/>
            <wp:effectExtent l="0" t="0" r="889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07121F0" w14:textId="77777777" w:rsidR="00655295" w:rsidRDefault="00655295" w:rsidP="00BD53DC">
      <w:pPr>
        <w:pStyle w:val="Heading1"/>
        <w:spacing w:before="0"/>
        <w:rPr>
          <w:rFonts w:cs="Times New Roman"/>
        </w:rPr>
      </w:pPr>
    </w:p>
    <w:p w14:paraId="1F2FD79F" w14:textId="77777777" w:rsidR="004254BF" w:rsidRPr="00FD3029" w:rsidRDefault="004254BF" w:rsidP="00BD53DC">
      <w:pPr>
        <w:pStyle w:val="Heading1"/>
        <w:spacing w:before="0"/>
        <w:rPr>
          <w:rFonts w:cs="Times New Roman"/>
        </w:rPr>
      </w:pPr>
      <w:bookmarkStart w:id="10" w:name="_Toc25057783"/>
      <w:r w:rsidRPr="00FD3029">
        <w:rPr>
          <w:rFonts w:cs="Times New Roman"/>
        </w:rPr>
        <w:t xml:space="preserve">Key </w:t>
      </w:r>
      <w:r w:rsidR="00E42AA1" w:rsidRPr="00FD3029">
        <w:rPr>
          <w:rFonts w:cs="Times New Roman"/>
        </w:rPr>
        <w:t>O</w:t>
      </w:r>
      <w:r w:rsidRPr="00FD3029">
        <w:rPr>
          <w:rFonts w:cs="Times New Roman"/>
        </w:rPr>
        <w:t>bservations</w:t>
      </w:r>
      <w:bookmarkEnd w:id="10"/>
    </w:p>
    <w:p w14:paraId="096FA3AA" w14:textId="77777777" w:rsidR="00DC219E" w:rsidRPr="00FD3029" w:rsidRDefault="00DC219E" w:rsidP="00DC219E"/>
    <w:p w14:paraId="1AE66D61" w14:textId="77777777" w:rsidR="004254BF" w:rsidRPr="00FD3029" w:rsidRDefault="004254BF" w:rsidP="00B3633C">
      <w:pPr>
        <w:pStyle w:val="Heading2"/>
        <w:numPr>
          <w:ilvl w:val="0"/>
          <w:numId w:val="41"/>
        </w:numPr>
        <w:spacing w:before="0"/>
        <w:rPr>
          <w:rFonts w:cs="Times New Roman"/>
        </w:rPr>
      </w:pPr>
      <w:bookmarkStart w:id="11" w:name="_Toc25057784"/>
      <w:r w:rsidRPr="00FD3029">
        <w:rPr>
          <w:rFonts w:cs="Times New Roman"/>
        </w:rPr>
        <w:t xml:space="preserve">Current use of non-State-based grievance mechanisms </w:t>
      </w:r>
      <w:r w:rsidR="00E42AA1" w:rsidRPr="00FD3029">
        <w:rPr>
          <w:rFonts w:cs="Times New Roman"/>
        </w:rPr>
        <w:t>in cases of business-related human rights abuse</w:t>
      </w:r>
      <w:bookmarkEnd w:id="11"/>
    </w:p>
    <w:p w14:paraId="14FED3B2" w14:textId="77777777" w:rsidR="00FE727F" w:rsidRPr="00FD3029" w:rsidRDefault="00FE727F" w:rsidP="00FE727F"/>
    <w:p w14:paraId="0F0C02A6" w14:textId="77777777" w:rsidR="004254BF" w:rsidRPr="00FD3029" w:rsidRDefault="004254BF" w:rsidP="00FE727F">
      <w:pPr>
        <w:pStyle w:val="Heading3"/>
        <w:spacing w:before="0"/>
        <w:ind w:left="1439" w:hanging="645"/>
        <w:rPr>
          <w:rFonts w:cs="Times New Roman"/>
        </w:rPr>
      </w:pPr>
      <w:r w:rsidRPr="00FD3029">
        <w:rPr>
          <w:rFonts w:cs="Times New Roman"/>
        </w:rPr>
        <w:t xml:space="preserve">A.1 </w:t>
      </w:r>
      <w:r w:rsidR="00FE727F" w:rsidRPr="00FD3029">
        <w:rPr>
          <w:rFonts w:cs="Times New Roman"/>
        </w:rPr>
        <w:tab/>
      </w:r>
      <w:r w:rsidRPr="00FD3029">
        <w:rPr>
          <w:rFonts w:cs="Times New Roman"/>
        </w:rPr>
        <w:t xml:space="preserve">Non-State-based grievance mechanisms are generally regarded by stakeholders as a welcome addition to </w:t>
      </w:r>
      <w:r w:rsidR="00DD627D">
        <w:rPr>
          <w:rFonts w:cs="Times New Roman"/>
        </w:rPr>
        <w:t>the options available to remedy-seekers</w:t>
      </w:r>
    </w:p>
    <w:p w14:paraId="5ACE4982" w14:textId="77777777" w:rsidR="00BD53DC" w:rsidRPr="00FD3029" w:rsidRDefault="00BD53DC" w:rsidP="00BD53DC">
      <w:pPr>
        <w:jc w:val="both"/>
        <w:rPr>
          <w:rFonts w:cs="Times New Roman"/>
          <w:szCs w:val="24"/>
        </w:rPr>
      </w:pPr>
    </w:p>
    <w:p w14:paraId="36E6EAB3" w14:textId="3719DAFB" w:rsidR="004254BF" w:rsidRPr="00FD3029" w:rsidRDefault="004254BF" w:rsidP="00BD53DC">
      <w:pPr>
        <w:jc w:val="both"/>
        <w:rPr>
          <w:rFonts w:cs="Times New Roman"/>
          <w:szCs w:val="24"/>
        </w:rPr>
      </w:pPr>
      <w:r w:rsidRPr="00FD3029">
        <w:rPr>
          <w:rFonts w:cs="Times New Roman"/>
          <w:szCs w:val="24"/>
        </w:rPr>
        <w:t xml:space="preserve">While </w:t>
      </w:r>
      <w:r w:rsidR="00E42AA1" w:rsidRPr="00FD3029">
        <w:rPr>
          <w:rFonts w:cs="Times New Roman"/>
          <w:szCs w:val="24"/>
        </w:rPr>
        <w:t xml:space="preserve">effective </w:t>
      </w:r>
      <w:r w:rsidRPr="00FD3029">
        <w:rPr>
          <w:rFonts w:cs="Times New Roman"/>
          <w:szCs w:val="24"/>
        </w:rPr>
        <w:t>judicial mechanisms are “at the core” of ensuring access to remedy,</w:t>
      </w:r>
      <w:r w:rsidR="00E42AA1" w:rsidRPr="00FD3029">
        <w:rPr>
          <w:rStyle w:val="FootnoteReference"/>
          <w:rFonts w:cs="Times New Roman"/>
          <w:szCs w:val="24"/>
        </w:rPr>
        <w:footnoteReference w:id="7"/>
      </w:r>
      <w:r w:rsidRPr="00FD3029">
        <w:rPr>
          <w:rFonts w:cs="Times New Roman"/>
          <w:szCs w:val="24"/>
        </w:rPr>
        <w:t xml:space="preserve"> non-State-based grievance mechanisms “may offer particular benefits such as speed of access and remediation, reduced costs and/or transnational reach</w:t>
      </w:r>
      <w:r w:rsidR="00E42AA1" w:rsidRPr="00FD3029">
        <w:rPr>
          <w:rFonts w:cs="Times New Roman"/>
          <w:szCs w:val="24"/>
        </w:rPr>
        <w:t>.</w:t>
      </w:r>
      <w:r w:rsidRPr="00FD3029">
        <w:rPr>
          <w:rFonts w:cs="Times New Roman"/>
          <w:szCs w:val="24"/>
        </w:rPr>
        <w:t>”</w:t>
      </w:r>
      <w:r w:rsidR="00E42AA1" w:rsidRPr="00FD3029">
        <w:rPr>
          <w:rStyle w:val="FootnoteReference"/>
          <w:rFonts w:cs="Times New Roman"/>
          <w:szCs w:val="24"/>
        </w:rPr>
        <w:footnoteReference w:id="8"/>
      </w:r>
      <w:r w:rsidRPr="00FD3029">
        <w:rPr>
          <w:rFonts w:cs="Times New Roman"/>
          <w:szCs w:val="24"/>
        </w:rPr>
        <w:t xml:space="preserve">  Research carried out during the course of ARP III confirms this general view, with the growth in number, remits</w:t>
      </w:r>
      <w:r w:rsidR="006801FD">
        <w:rPr>
          <w:rFonts w:cs="Times New Roman"/>
          <w:szCs w:val="24"/>
        </w:rPr>
        <w:t>,</w:t>
      </w:r>
      <w:r w:rsidRPr="00FD3029">
        <w:rPr>
          <w:rFonts w:cs="Times New Roman"/>
          <w:szCs w:val="24"/>
        </w:rPr>
        <w:t xml:space="preserve"> and range of </w:t>
      </w:r>
      <w:r w:rsidR="00E42AA1" w:rsidRPr="00FD3029">
        <w:rPr>
          <w:rFonts w:cs="Times New Roman"/>
          <w:szCs w:val="24"/>
        </w:rPr>
        <w:t xml:space="preserve">private </w:t>
      </w:r>
      <w:r w:rsidRPr="00FD3029">
        <w:rPr>
          <w:rFonts w:cs="Times New Roman"/>
          <w:szCs w:val="24"/>
        </w:rPr>
        <w:t>grievance mechanisms seen as a largely positive development in principle.</w:t>
      </w:r>
    </w:p>
    <w:p w14:paraId="53C6B323" w14:textId="77777777" w:rsidR="00BD53DC" w:rsidRPr="00FD3029" w:rsidRDefault="00BD53DC" w:rsidP="00BD53DC">
      <w:pPr>
        <w:jc w:val="both"/>
        <w:rPr>
          <w:rFonts w:cs="Times New Roman"/>
          <w:szCs w:val="24"/>
        </w:rPr>
      </w:pPr>
    </w:p>
    <w:p w14:paraId="08D324F4" w14:textId="77777777" w:rsidR="00607CB8" w:rsidRPr="00FD3029" w:rsidRDefault="004254BF" w:rsidP="00BD53DC">
      <w:pPr>
        <w:jc w:val="both"/>
        <w:rPr>
          <w:rFonts w:cs="Times New Roman"/>
          <w:szCs w:val="24"/>
        </w:rPr>
      </w:pPr>
      <w:r w:rsidRPr="00FD3029">
        <w:rPr>
          <w:rFonts w:cs="Times New Roman"/>
          <w:szCs w:val="24"/>
        </w:rPr>
        <w:t xml:space="preserve">However, reservations were also expressed by many </w:t>
      </w:r>
      <w:r w:rsidR="00F15310">
        <w:rPr>
          <w:rFonts w:cs="Times New Roman"/>
          <w:szCs w:val="24"/>
        </w:rPr>
        <w:t>contributors</w:t>
      </w:r>
      <w:r w:rsidR="00F15310" w:rsidRPr="00FD3029">
        <w:rPr>
          <w:rFonts w:cs="Times New Roman"/>
          <w:szCs w:val="24"/>
        </w:rPr>
        <w:t xml:space="preserve"> </w:t>
      </w:r>
      <w:r w:rsidRPr="00FD3029">
        <w:rPr>
          <w:rFonts w:cs="Times New Roman"/>
          <w:szCs w:val="24"/>
        </w:rPr>
        <w:t xml:space="preserve">about the design and performance of many of these mechanisms in practice. Recurring comments and criticisms made by </w:t>
      </w:r>
      <w:r w:rsidR="00F15310">
        <w:rPr>
          <w:rFonts w:cs="Times New Roman"/>
          <w:szCs w:val="24"/>
        </w:rPr>
        <w:t>contributors</w:t>
      </w:r>
      <w:r w:rsidR="00F15310" w:rsidRPr="00FD3029">
        <w:rPr>
          <w:rFonts w:cs="Times New Roman"/>
          <w:szCs w:val="24"/>
        </w:rPr>
        <w:t xml:space="preserve"> </w:t>
      </w:r>
      <w:r w:rsidRPr="00FD3029">
        <w:rPr>
          <w:rFonts w:cs="Times New Roman"/>
          <w:szCs w:val="24"/>
        </w:rPr>
        <w:t>included:</w:t>
      </w:r>
    </w:p>
    <w:p w14:paraId="273D52F3" w14:textId="06763989" w:rsidR="004254BF" w:rsidRPr="00FD3029" w:rsidRDefault="004254BF" w:rsidP="00BD53DC">
      <w:pPr>
        <w:pStyle w:val="ListParagraph"/>
        <w:numPr>
          <w:ilvl w:val="0"/>
          <w:numId w:val="13"/>
        </w:numPr>
        <w:jc w:val="both"/>
        <w:rPr>
          <w:rFonts w:cs="Times New Roman"/>
          <w:szCs w:val="24"/>
        </w:rPr>
      </w:pPr>
      <w:r w:rsidRPr="00FD3029">
        <w:rPr>
          <w:rFonts w:cs="Times New Roman"/>
          <w:szCs w:val="24"/>
        </w:rPr>
        <w:t xml:space="preserve">the bureaucratic complexity of eligibility and procedural requirements, making it difficult (if not impossible) for remedy-seekers (and particularly those at risk of vulnerability </w:t>
      </w:r>
      <w:r w:rsidR="009A50F7">
        <w:rPr>
          <w:rFonts w:cs="Times New Roman"/>
          <w:szCs w:val="24"/>
        </w:rPr>
        <w:t>or</w:t>
      </w:r>
      <w:r w:rsidRPr="00FD3029">
        <w:rPr>
          <w:rFonts w:cs="Times New Roman"/>
          <w:szCs w:val="24"/>
        </w:rPr>
        <w:t xml:space="preserve"> marginalisation) to access grievance mechanisms without significant support from third parties (such as legal counsel or civil society organisations) (see C.6);</w:t>
      </w:r>
    </w:p>
    <w:p w14:paraId="76A3F17E" w14:textId="77777777" w:rsidR="004254BF" w:rsidRPr="00FD3029" w:rsidRDefault="004254BF" w:rsidP="00BD53DC">
      <w:pPr>
        <w:pStyle w:val="ListParagraph"/>
        <w:numPr>
          <w:ilvl w:val="0"/>
          <w:numId w:val="13"/>
        </w:numPr>
        <w:jc w:val="both"/>
        <w:rPr>
          <w:rFonts w:cs="Times New Roman"/>
          <w:szCs w:val="24"/>
        </w:rPr>
      </w:pPr>
      <w:r w:rsidRPr="00FD3029">
        <w:rPr>
          <w:rFonts w:cs="Times New Roman"/>
          <w:szCs w:val="24"/>
        </w:rPr>
        <w:t xml:space="preserve">the inability of many of these grievance mechanisms to deliver effective remedies </w:t>
      </w:r>
      <w:r w:rsidRPr="00FD3029">
        <w:rPr>
          <w:rFonts w:cs="Times New Roman"/>
          <w:i/>
          <w:szCs w:val="24"/>
        </w:rPr>
        <w:t>in fact</w:t>
      </w:r>
      <w:r w:rsidRPr="00FD3029">
        <w:rPr>
          <w:rFonts w:cs="Times New Roman"/>
          <w:szCs w:val="24"/>
        </w:rPr>
        <w:t xml:space="preserve">, owing to </w:t>
      </w:r>
      <w:r w:rsidR="002F1F50">
        <w:rPr>
          <w:rFonts w:cs="Times New Roman"/>
          <w:szCs w:val="24"/>
        </w:rPr>
        <w:t xml:space="preserve">a range of factors, including </w:t>
      </w:r>
      <w:r w:rsidRPr="00FD3029">
        <w:rPr>
          <w:rFonts w:cs="Times New Roman"/>
          <w:szCs w:val="24"/>
        </w:rPr>
        <w:t>restricted mandates or capacity (legal, financial</w:t>
      </w:r>
      <w:r w:rsidR="001F71D0" w:rsidRPr="00FD3029">
        <w:rPr>
          <w:rFonts w:cs="Times New Roman"/>
          <w:szCs w:val="24"/>
        </w:rPr>
        <w:t>,</w:t>
      </w:r>
      <w:r w:rsidRPr="00FD3029">
        <w:rPr>
          <w:rFonts w:cs="Times New Roman"/>
          <w:szCs w:val="24"/>
        </w:rPr>
        <w:t xml:space="preserve"> and practical) </w:t>
      </w:r>
      <w:r w:rsidR="002F1F50">
        <w:rPr>
          <w:rFonts w:cs="Times New Roman"/>
          <w:szCs w:val="24"/>
        </w:rPr>
        <w:t>of grievance mechanisms (</w:t>
      </w:r>
      <w:r w:rsidR="002F1F50" w:rsidRPr="00FD3029">
        <w:rPr>
          <w:rFonts w:cs="Times New Roman"/>
          <w:szCs w:val="24"/>
        </w:rPr>
        <w:t>see further A.4</w:t>
      </w:r>
      <w:r w:rsidR="002F1F50">
        <w:rPr>
          <w:rFonts w:cs="Times New Roman"/>
          <w:szCs w:val="24"/>
        </w:rPr>
        <w:t>)</w:t>
      </w:r>
      <w:r w:rsidRPr="00FD3029">
        <w:rPr>
          <w:rFonts w:cs="Times New Roman"/>
          <w:szCs w:val="24"/>
        </w:rPr>
        <w:t>;</w:t>
      </w:r>
    </w:p>
    <w:p w14:paraId="0A7457FA" w14:textId="46297BA2" w:rsidR="004254BF" w:rsidRPr="00FD3029" w:rsidRDefault="004254BF" w:rsidP="00BD53DC">
      <w:pPr>
        <w:pStyle w:val="ListParagraph"/>
        <w:numPr>
          <w:ilvl w:val="0"/>
          <w:numId w:val="13"/>
        </w:numPr>
        <w:jc w:val="both"/>
        <w:rPr>
          <w:rFonts w:cs="Times New Roman"/>
          <w:szCs w:val="24"/>
        </w:rPr>
      </w:pPr>
      <w:r w:rsidRPr="00FD3029">
        <w:rPr>
          <w:rFonts w:cs="Times New Roman"/>
          <w:szCs w:val="24"/>
        </w:rPr>
        <w:t>fragmentation of remedial approaches</w:t>
      </w:r>
      <w:r w:rsidR="00900404" w:rsidRPr="00900404">
        <w:rPr>
          <w:rFonts w:cs="Times New Roman"/>
          <w:szCs w:val="24"/>
        </w:rPr>
        <w:t xml:space="preserve"> </w:t>
      </w:r>
      <w:r w:rsidR="00900404" w:rsidRPr="00FD3029">
        <w:rPr>
          <w:rFonts w:cs="Times New Roman"/>
          <w:szCs w:val="24"/>
        </w:rPr>
        <w:t>creating a complex and confusing remedial landscape for remedy-seekers to navigate</w:t>
      </w:r>
      <w:r w:rsidRPr="00FD3029">
        <w:rPr>
          <w:rFonts w:cs="Times New Roman"/>
          <w:szCs w:val="24"/>
        </w:rPr>
        <w:t>, owing to lack of coordination between</w:t>
      </w:r>
      <w:r w:rsidR="00B91DD0">
        <w:rPr>
          <w:rFonts w:cs="Times New Roman"/>
          <w:szCs w:val="24"/>
        </w:rPr>
        <w:t xml:space="preserve"> </w:t>
      </w:r>
      <w:r w:rsidR="00900404">
        <w:rPr>
          <w:rFonts w:cs="Times New Roman"/>
          <w:szCs w:val="24"/>
        </w:rPr>
        <w:t xml:space="preserve">(i) </w:t>
      </w:r>
      <w:r w:rsidR="00B91DD0">
        <w:rPr>
          <w:rFonts w:cs="Times New Roman"/>
          <w:szCs w:val="24"/>
        </w:rPr>
        <w:t xml:space="preserve">the relevant mechanisms, </w:t>
      </w:r>
      <w:r w:rsidR="00900404">
        <w:rPr>
          <w:rFonts w:cs="Times New Roman"/>
          <w:szCs w:val="24"/>
        </w:rPr>
        <w:t xml:space="preserve">(ii) </w:t>
      </w:r>
      <w:r w:rsidR="00E21C2F">
        <w:rPr>
          <w:rFonts w:cs="Times New Roman"/>
          <w:szCs w:val="24"/>
        </w:rPr>
        <w:t>companies</w:t>
      </w:r>
      <w:r w:rsidR="00900404">
        <w:rPr>
          <w:rFonts w:cs="Times New Roman"/>
          <w:szCs w:val="24"/>
        </w:rPr>
        <w:t xml:space="preserve"> and other organizations</w:t>
      </w:r>
      <w:r w:rsidR="00E21C2F">
        <w:rPr>
          <w:rFonts w:cs="Times New Roman"/>
          <w:szCs w:val="24"/>
        </w:rPr>
        <w:t>,</w:t>
      </w:r>
      <w:r w:rsidRPr="00FD3029">
        <w:rPr>
          <w:rFonts w:cs="Times New Roman"/>
          <w:szCs w:val="24"/>
        </w:rPr>
        <w:t xml:space="preserve"> or </w:t>
      </w:r>
      <w:r w:rsidR="00900404">
        <w:rPr>
          <w:rFonts w:cs="Times New Roman"/>
          <w:szCs w:val="24"/>
        </w:rPr>
        <w:t xml:space="preserve">(iii) </w:t>
      </w:r>
      <w:r w:rsidRPr="00FD3029">
        <w:rPr>
          <w:rFonts w:cs="Times New Roman"/>
          <w:szCs w:val="24"/>
        </w:rPr>
        <w:t>private grievance mechanisms and relevant State agencies (</w:t>
      </w:r>
      <w:r w:rsidR="001F71D0" w:rsidRPr="00FD3029">
        <w:rPr>
          <w:rFonts w:cs="Times New Roman"/>
          <w:szCs w:val="24"/>
        </w:rPr>
        <w:t>both judicial and non-judicial</w:t>
      </w:r>
      <w:r w:rsidRPr="00FD3029">
        <w:rPr>
          <w:rFonts w:cs="Times New Roman"/>
          <w:szCs w:val="24"/>
        </w:rPr>
        <w:t>) (see further C.1, C.2</w:t>
      </w:r>
      <w:r w:rsidR="006801FD">
        <w:rPr>
          <w:rFonts w:cs="Times New Roman"/>
          <w:szCs w:val="24"/>
        </w:rPr>
        <w:t>,</w:t>
      </w:r>
      <w:r w:rsidRPr="00FD3029">
        <w:rPr>
          <w:rFonts w:cs="Times New Roman"/>
          <w:szCs w:val="24"/>
        </w:rPr>
        <w:t xml:space="preserve"> and C.3).</w:t>
      </w:r>
    </w:p>
    <w:p w14:paraId="1BC00600" w14:textId="77777777" w:rsidR="00613219" w:rsidRDefault="00613219" w:rsidP="00613219">
      <w:pPr>
        <w:jc w:val="both"/>
        <w:rPr>
          <w:rFonts w:cs="Times New Roman"/>
          <w:szCs w:val="24"/>
        </w:rPr>
      </w:pPr>
    </w:p>
    <w:tbl>
      <w:tblPr>
        <w:tblStyle w:val="TableGrid"/>
        <w:tblW w:w="0" w:type="auto"/>
        <w:tblLook w:val="04A0" w:firstRow="1" w:lastRow="0" w:firstColumn="1" w:lastColumn="0" w:noHBand="0" w:noVBand="1"/>
      </w:tblPr>
      <w:tblGrid>
        <w:gridCol w:w="9016"/>
      </w:tblGrid>
      <w:tr w:rsidR="00613219" w:rsidRPr="00FD3029" w14:paraId="0C7978C2" w14:textId="77777777" w:rsidTr="00651E35">
        <w:trPr>
          <w:trHeight w:val="841"/>
        </w:trPr>
        <w:tc>
          <w:tcPr>
            <w:tcW w:w="9016" w:type="dxa"/>
            <w:shd w:val="clear" w:color="auto" w:fill="DEEAF6" w:themeFill="accent1" w:themeFillTint="33"/>
          </w:tcPr>
          <w:p w14:paraId="30B3012C" w14:textId="77777777" w:rsidR="00613219" w:rsidRDefault="00613219" w:rsidP="00651E35">
            <w:pPr>
              <w:jc w:val="both"/>
              <w:rPr>
                <w:rFonts w:cs="Times New Roman"/>
                <w:b/>
                <w:i/>
                <w:szCs w:val="24"/>
              </w:rPr>
            </w:pPr>
            <w:r>
              <w:rPr>
                <w:rFonts w:cs="Times New Roman"/>
                <w:b/>
                <w:i/>
                <w:szCs w:val="24"/>
              </w:rPr>
              <w:t>Discussion Questions</w:t>
            </w:r>
          </w:p>
          <w:p w14:paraId="5E40C049" w14:textId="77777777" w:rsidR="00613219" w:rsidRDefault="00613219" w:rsidP="00651E35">
            <w:pPr>
              <w:pStyle w:val="ListParagraph"/>
              <w:numPr>
                <w:ilvl w:val="0"/>
                <w:numId w:val="49"/>
              </w:numPr>
              <w:jc w:val="both"/>
              <w:rPr>
                <w:rFonts w:cs="Times New Roman"/>
                <w:szCs w:val="24"/>
              </w:rPr>
            </w:pPr>
            <w:r w:rsidRPr="00BD52E4">
              <w:rPr>
                <w:rFonts w:cs="Times New Roman"/>
                <w:szCs w:val="24"/>
              </w:rPr>
              <w:t>Do you agree with the observations made in this section?  If not, why not?</w:t>
            </w:r>
          </w:p>
          <w:p w14:paraId="751D9F69" w14:textId="77777777" w:rsidR="00613219" w:rsidRPr="00BD52E4" w:rsidRDefault="00613219" w:rsidP="00651E35">
            <w:pPr>
              <w:pStyle w:val="ListParagraph"/>
              <w:numPr>
                <w:ilvl w:val="0"/>
                <w:numId w:val="49"/>
              </w:numPr>
              <w:jc w:val="both"/>
              <w:rPr>
                <w:rFonts w:cs="Times New Roman"/>
                <w:szCs w:val="24"/>
              </w:rPr>
            </w:pPr>
            <w:r w:rsidRPr="00BD52E4">
              <w:rPr>
                <w:rFonts w:cs="Times New Roman"/>
                <w:szCs w:val="24"/>
              </w:rPr>
              <w:t>Are there any further issues, challenges, trends</w:t>
            </w:r>
            <w:r>
              <w:rPr>
                <w:rFonts w:cs="Times New Roman"/>
                <w:szCs w:val="24"/>
              </w:rPr>
              <w:t>,</w:t>
            </w:r>
            <w:r w:rsidRPr="00BD52E4">
              <w:rPr>
                <w:rFonts w:cs="Times New Roman"/>
                <w:szCs w:val="24"/>
              </w:rPr>
              <w:t xml:space="preserve"> or opportunities that you would like to bring to the attention of the ARP III team?  If so, what are these?</w:t>
            </w:r>
          </w:p>
        </w:tc>
      </w:tr>
    </w:tbl>
    <w:p w14:paraId="2C5FC632" w14:textId="77777777" w:rsidR="00BD53DC" w:rsidRPr="00FD3029" w:rsidRDefault="00BD53DC" w:rsidP="00BD53DC">
      <w:pPr>
        <w:jc w:val="both"/>
        <w:rPr>
          <w:rFonts w:cs="Times New Roman"/>
          <w:szCs w:val="24"/>
        </w:rPr>
      </w:pPr>
    </w:p>
    <w:p w14:paraId="714344BA" w14:textId="77777777" w:rsidR="00BD53DC" w:rsidRPr="00FD3029" w:rsidRDefault="00BD53DC" w:rsidP="00BD53DC">
      <w:pPr>
        <w:jc w:val="both"/>
        <w:rPr>
          <w:rFonts w:cs="Times New Roman"/>
          <w:szCs w:val="24"/>
        </w:rPr>
      </w:pPr>
    </w:p>
    <w:p w14:paraId="3CB0883C" w14:textId="77777777" w:rsidR="004254BF" w:rsidRPr="00FD3029" w:rsidRDefault="00FE727F" w:rsidP="00FE727F">
      <w:pPr>
        <w:pStyle w:val="Heading3"/>
        <w:spacing w:before="0"/>
        <w:ind w:left="1439" w:hanging="645"/>
        <w:rPr>
          <w:rFonts w:cs="Times New Roman"/>
        </w:rPr>
      </w:pPr>
      <w:r w:rsidRPr="00FD3029">
        <w:rPr>
          <w:rFonts w:cs="Times New Roman"/>
        </w:rPr>
        <w:t>A.2</w:t>
      </w:r>
      <w:r w:rsidRPr="00FD3029">
        <w:rPr>
          <w:rFonts w:cs="Times New Roman"/>
        </w:rPr>
        <w:tab/>
      </w:r>
      <w:r w:rsidR="004254BF" w:rsidRPr="00FD3029">
        <w:rPr>
          <w:rFonts w:cs="Times New Roman"/>
        </w:rPr>
        <w:t>Non-State-based grievance mechanisms are viewed as a means by which flexibility and choice for rights-holders can and should be enhanced</w:t>
      </w:r>
    </w:p>
    <w:p w14:paraId="5B673897" w14:textId="77777777" w:rsidR="00BD53DC" w:rsidRPr="00FD3029" w:rsidRDefault="00BD53DC" w:rsidP="00BD53DC">
      <w:pPr>
        <w:jc w:val="both"/>
        <w:rPr>
          <w:rFonts w:cs="Times New Roman"/>
          <w:szCs w:val="24"/>
        </w:rPr>
      </w:pPr>
    </w:p>
    <w:p w14:paraId="21F2EE0C" w14:textId="77777777" w:rsidR="004254BF" w:rsidRPr="00FD3029" w:rsidRDefault="004254BF" w:rsidP="00BD53DC">
      <w:pPr>
        <w:jc w:val="both"/>
        <w:rPr>
          <w:rFonts w:cs="Times New Roman"/>
          <w:szCs w:val="24"/>
        </w:rPr>
      </w:pPr>
      <w:r w:rsidRPr="00FD3029">
        <w:rPr>
          <w:rFonts w:cs="Times New Roman"/>
          <w:szCs w:val="24"/>
        </w:rPr>
        <w:t>Many</w:t>
      </w:r>
      <w:r w:rsidR="00900404">
        <w:rPr>
          <w:rFonts w:cs="Times New Roman"/>
          <w:szCs w:val="24"/>
        </w:rPr>
        <w:t xml:space="preserve"> </w:t>
      </w:r>
      <w:r w:rsidR="00F15310">
        <w:rPr>
          <w:rFonts w:cs="Times New Roman"/>
          <w:szCs w:val="24"/>
        </w:rPr>
        <w:t xml:space="preserve">contributors </w:t>
      </w:r>
      <w:r w:rsidRPr="00FD3029">
        <w:rPr>
          <w:rFonts w:cs="Times New Roman"/>
          <w:szCs w:val="24"/>
        </w:rPr>
        <w:t xml:space="preserve">have highlighted the importance of maintaining, and enhancing, flexibility and choice for rights-holders.  The greater the number of </w:t>
      </w:r>
      <w:r w:rsidR="00B91DD0">
        <w:rPr>
          <w:rFonts w:cs="Times New Roman"/>
          <w:szCs w:val="24"/>
        </w:rPr>
        <w:t>viable options</w:t>
      </w:r>
      <w:r w:rsidRPr="00FD3029">
        <w:rPr>
          <w:rFonts w:cs="Times New Roman"/>
          <w:szCs w:val="24"/>
        </w:rPr>
        <w:t xml:space="preserve"> open to a remedy-seeker</w:t>
      </w:r>
      <w:r w:rsidR="00900404">
        <w:rPr>
          <w:rFonts w:cs="Times New Roman"/>
          <w:szCs w:val="24"/>
        </w:rPr>
        <w:t>,</w:t>
      </w:r>
      <w:r w:rsidRPr="00FD3029">
        <w:rPr>
          <w:rFonts w:cs="Times New Roman"/>
          <w:szCs w:val="24"/>
        </w:rPr>
        <w:t xml:space="preserve"> the better able remedy-seekers are to tailor a remedial strategy to their own needs and circumstances.</w:t>
      </w:r>
      <w:r w:rsidR="00B91DD0">
        <w:rPr>
          <w:rStyle w:val="FootnoteReference"/>
          <w:rFonts w:cs="Times New Roman"/>
          <w:szCs w:val="24"/>
        </w:rPr>
        <w:footnoteReference w:id="9"/>
      </w:r>
      <w:r w:rsidRPr="00FD3029">
        <w:rPr>
          <w:rFonts w:cs="Times New Roman"/>
          <w:szCs w:val="24"/>
        </w:rPr>
        <w:t xml:space="preserve">  This may mean pursuing a combination of remedies in both State-based and private settings.  In practice, the launch of a regulatory investigation or the initiation of court proceedings can generate momentum for parallel or overlapping complaints using company-based mechanisms</w:t>
      </w:r>
      <w:r w:rsidR="00B13121">
        <w:rPr>
          <w:rFonts w:cs="Times New Roman"/>
          <w:szCs w:val="24"/>
        </w:rPr>
        <w:t>,</w:t>
      </w:r>
      <w:r w:rsidRPr="00FD3029">
        <w:rPr>
          <w:rFonts w:cs="Times New Roman"/>
          <w:szCs w:val="24"/>
        </w:rPr>
        <w:t xml:space="preserve"> those administered by multi-stakeholder </w:t>
      </w:r>
      <w:r w:rsidR="00AB0EB6">
        <w:rPr>
          <w:rFonts w:cs="Times New Roman"/>
          <w:szCs w:val="24"/>
        </w:rPr>
        <w:t>initiatives</w:t>
      </w:r>
      <w:r w:rsidR="00B13121">
        <w:rPr>
          <w:rFonts w:cs="Times New Roman"/>
          <w:szCs w:val="24"/>
        </w:rPr>
        <w:t>,</w:t>
      </w:r>
      <w:r w:rsidRPr="00FD3029">
        <w:rPr>
          <w:rFonts w:cs="Times New Roman"/>
          <w:szCs w:val="24"/>
        </w:rPr>
        <w:t xml:space="preserve"> or</w:t>
      </w:r>
      <w:r w:rsidR="00B13121">
        <w:rPr>
          <w:rFonts w:cs="Times New Roman"/>
          <w:szCs w:val="24"/>
        </w:rPr>
        <w:t xml:space="preserve"> independent accountability mechanisms</w:t>
      </w:r>
      <w:r w:rsidRPr="00FD3029">
        <w:rPr>
          <w:rFonts w:cs="Times New Roman"/>
          <w:szCs w:val="24"/>
        </w:rPr>
        <w:t xml:space="preserve"> </w:t>
      </w:r>
      <w:r w:rsidR="00B13121">
        <w:rPr>
          <w:rFonts w:cs="Times New Roman"/>
          <w:szCs w:val="24"/>
        </w:rPr>
        <w:t>(</w:t>
      </w:r>
      <w:r w:rsidRPr="00FD3029">
        <w:rPr>
          <w:rFonts w:cs="Times New Roman"/>
          <w:szCs w:val="24"/>
        </w:rPr>
        <w:t>IAMs</w:t>
      </w:r>
      <w:r w:rsidR="00B13121">
        <w:rPr>
          <w:rFonts w:cs="Times New Roman"/>
          <w:szCs w:val="24"/>
        </w:rPr>
        <w:t>)</w:t>
      </w:r>
      <w:r w:rsidRPr="00FD3029">
        <w:rPr>
          <w:rFonts w:cs="Times New Roman"/>
          <w:szCs w:val="24"/>
        </w:rPr>
        <w:t xml:space="preserve">.  However, there are cases where this degree of flexibility is </w:t>
      </w:r>
      <w:r w:rsidR="00B13121">
        <w:rPr>
          <w:rFonts w:cs="Times New Roman"/>
          <w:szCs w:val="24"/>
        </w:rPr>
        <w:t>stifled</w:t>
      </w:r>
      <w:r w:rsidRPr="00FD3029">
        <w:rPr>
          <w:rFonts w:cs="Times New Roman"/>
          <w:szCs w:val="24"/>
        </w:rPr>
        <w:t xml:space="preserve">.  For instance, </w:t>
      </w:r>
      <w:r w:rsidR="00B13121">
        <w:rPr>
          <w:rFonts w:cs="Times New Roman"/>
          <w:szCs w:val="24"/>
        </w:rPr>
        <w:t xml:space="preserve">parties may refuse to engage in mediation </w:t>
      </w:r>
      <w:r w:rsidRPr="00FD3029">
        <w:rPr>
          <w:rFonts w:cs="Times New Roman"/>
          <w:szCs w:val="24"/>
        </w:rPr>
        <w:t xml:space="preserve">at the same time as </w:t>
      </w:r>
      <w:r w:rsidR="00B13121">
        <w:rPr>
          <w:rFonts w:cs="Times New Roman"/>
          <w:szCs w:val="24"/>
        </w:rPr>
        <w:t xml:space="preserve">ongoing </w:t>
      </w:r>
      <w:r w:rsidRPr="00FD3029">
        <w:rPr>
          <w:rFonts w:cs="Times New Roman"/>
          <w:szCs w:val="24"/>
        </w:rPr>
        <w:t xml:space="preserve">adversarial processes.  And </w:t>
      </w:r>
      <w:r w:rsidR="00B13121">
        <w:rPr>
          <w:rFonts w:cs="Times New Roman"/>
          <w:szCs w:val="24"/>
        </w:rPr>
        <w:t>grievances being resolved by</w:t>
      </w:r>
      <w:r w:rsidRPr="00FD3029">
        <w:rPr>
          <w:rFonts w:cs="Times New Roman"/>
          <w:szCs w:val="24"/>
        </w:rPr>
        <w:t xml:space="preserve"> private remedial mechanisms can get “stuck” pending resolution of some legal issue in the courts.</w:t>
      </w:r>
    </w:p>
    <w:p w14:paraId="7FA2F921" w14:textId="77777777" w:rsidR="00BD53DC" w:rsidRPr="00FD3029" w:rsidRDefault="00BD53DC" w:rsidP="00BD53DC">
      <w:pPr>
        <w:jc w:val="both"/>
        <w:rPr>
          <w:rFonts w:cs="Times New Roman"/>
          <w:szCs w:val="24"/>
        </w:rPr>
      </w:pPr>
    </w:p>
    <w:p w14:paraId="2A3C5EBA" w14:textId="77777777" w:rsidR="00A913A0" w:rsidRDefault="004254BF" w:rsidP="00BD53DC">
      <w:pPr>
        <w:jc w:val="both"/>
        <w:rPr>
          <w:rFonts w:cs="Times New Roman"/>
          <w:szCs w:val="24"/>
        </w:rPr>
      </w:pPr>
      <w:r w:rsidRPr="00FD3029">
        <w:rPr>
          <w:rFonts w:cs="Times New Roman"/>
          <w:szCs w:val="24"/>
        </w:rPr>
        <w:t>Cases in which remedy-seekers have been obliged to enter into agreements restricting their ability to pursue multiple remedy pathways raise obvious concerns, not least because of the power imbalances that exist between the remedy seeker and the business enterprise</w:t>
      </w:r>
      <w:r w:rsidR="00AB0EB6">
        <w:rPr>
          <w:rFonts w:cs="Times New Roman"/>
          <w:szCs w:val="24"/>
        </w:rPr>
        <w:t>(s)</w:t>
      </w:r>
      <w:r w:rsidRPr="00FD3029">
        <w:rPr>
          <w:rFonts w:cs="Times New Roman"/>
          <w:szCs w:val="24"/>
        </w:rPr>
        <w:t xml:space="preserve"> concerned.  </w:t>
      </w:r>
      <w:r w:rsidR="00C77FC1">
        <w:rPr>
          <w:rFonts w:cs="Times New Roman"/>
          <w:szCs w:val="24"/>
        </w:rPr>
        <w:t xml:space="preserve">The Commentary to </w:t>
      </w:r>
      <w:r w:rsidR="00546475">
        <w:rPr>
          <w:rFonts w:cs="Times New Roman"/>
          <w:szCs w:val="24"/>
        </w:rPr>
        <w:t xml:space="preserve">UNGP </w:t>
      </w:r>
      <w:r w:rsidR="00C77FC1">
        <w:rPr>
          <w:rFonts w:cs="Times New Roman"/>
          <w:szCs w:val="24"/>
        </w:rPr>
        <w:t xml:space="preserve">29 </w:t>
      </w:r>
      <w:r w:rsidR="00546475">
        <w:rPr>
          <w:rFonts w:cs="Times New Roman"/>
          <w:szCs w:val="24"/>
        </w:rPr>
        <w:t xml:space="preserve">states that operational-level grievance mechanisms </w:t>
      </w:r>
      <w:r w:rsidR="00655295">
        <w:rPr>
          <w:rFonts w:cs="Times New Roman"/>
          <w:szCs w:val="24"/>
        </w:rPr>
        <w:t>“</w:t>
      </w:r>
      <w:r w:rsidR="00546475">
        <w:rPr>
          <w:rFonts w:cs="Times New Roman"/>
          <w:szCs w:val="24"/>
        </w:rPr>
        <w:t>should not be used</w:t>
      </w:r>
      <w:r w:rsidR="00655295">
        <w:rPr>
          <w:rFonts w:cs="Times New Roman"/>
          <w:szCs w:val="24"/>
        </w:rPr>
        <w:t xml:space="preserve"> </w:t>
      </w:r>
      <w:r w:rsidR="00655295" w:rsidRPr="00655295">
        <w:rPr>
          <w:rFonts w:cs="Times New Roman"/>
          <w:szCs w:val="24"/>
        </w:rPr>
        <w:t>to undermine the role of legitimate trade unions in addressing labour-related disputes, nor to preclude access to judicial or other non-judicial grievance mechanisms</w:t>
      </w:r>
      <w:r w:rsidR="00A34816">
        <w:rPr>
          <w:rFonts w:cs="Times New Roman"/>
          <w:szCs w:val="24"/>
        </w:rPr>
        <w:t>.</w:t>
      </w:r>
      <w:r w:rsidR="00C77FC1">
        <w:rPr>
          <w:rFonts w:cs="Times New Roman"/>
          <w:szCs w:val="24"/>
        </w:rPr>
        <w:t xml:space="preserve">”  </w:t>
      </w:r>
      <w:r w:rsidR="00AB0EB6">
        <w:rPr>
          <w:rFonts w:cs="Times New Roman"/>
          <w:szCs w:val="24"/>
        </w:rPr>
        <w:t xml:space="preserve">There </w:t>
      </w:r>
      <w:r w:rsidR="00A913A0">
        <w:rPr>
          <w:rFonts w:cs="Times New Roman"/>
          <w:szCs w:val="24"/>
        </w:rPr>
        <w:t xml:space="preserve">appears </w:t>
      </w:r>
      <w:r w:rsidR="00AB0EB6">
        <w:rPr>
          <w:rFonts w:cs="Times New Roman"/>
          <w:szCs w:val="24"/>
        </w:rPr>
        <w:t xml:space="preserve">to be widespread support amongst contributors to ARP III </w:t>
      </w:r>
      <w:r w:rsidR="00A913A0">
        <w:rPr>
          <w:rFonts w:cs="Times New Roman"/>
          <w:szCs w:val="24"/>
        </w:rPr>
        <w:t xml:space="preserve">that </w:t>
      </w:r>
      <w:r w:rsidR="00C77FC1">
        <w:rPr>
          <w:rFonts w:cs="Times New Roman"/>
          <w:szCs w:val="24"/>
        </w:rPr>
        <w:t xml:space="preserve">waivers of legal rights should not be sought as a condition of </w:t>
      </w:r>
      <w:r w:rsidR="00C77FC1" w:rsidRPr="00AB0EB6">
        <w:rPr>
          <w:rFonts w:cs="Times New Roman"/>
          <w:i/>
          <w:szCs w:val="24"/>
        </w:rPr>
        <w:t>accessing</w:t>
      </w:r>
      <w:r w:rsidR="00C77FC1">
        <w:rPr>
          <w:rFonts w:cs="Times New Roman"/>
          <w:szCs w:val="24"/>
        </w:rPr>
        <w:t xml:space="preserve"> non-State</w:t>
      </w:r>
      <w:r w:rsidR="00AB0EB6">
        <w:rPr>
          <w:rFonts w:cs="Times New Roman"/>
          <w:szCs w:val="24"/>
        </w:rPr>
        <w:t>-based</w:t>
      </w:r>
      <w:r w:rsidR="00C77FC1">
        <w:rPr>
          <w:rFonts w:cs="Times New Roman"/>
          <w:szCs w:val="24"/>
        </w:rPr>
        <w:t xml:space="preserve"> grievance mechanisms</w:t>
      </w:r>
      <w:r w:rsidR="00A913A0">
        <w:rPr>
          <w:rFonts w:cs="Times New Roman"/>
          <w:szCs w:val="24"/>
        </w:rPr>
        <w:t>.</w:t>
      </w:r>
    </w:p>
    <w:p w14:paraId="690AC33C" w14:textId="77777777" w:rsidR="00A913A0" w:rsidRDefault="00A913A0" w:rsidP="00BD53DC">
      <w:pPr>
        <w:jc w:val="both"/>
        <w:rPr>
          <w:rFonts w:cs="Times New Roman"/>
          <w:szCs w:val="24"/>
        </w:rPr>
      </w:pPr>
    </w:p>
    <w:p w14:paraId="5CF0C171" w14:textId="0825C77A" w:rsidR="00BD53DC" w:rsidRDefault="00C77FC1" w:rsidP="0034319D">
      <w:pPr>
        <w:jc w:val="both"/>
        <w:rPr>
          <w:rFonts w:cs="Times New Roman"/>
          <w:szCs w:val="24"/>
        </w:rPr>
      </w:pPr>
      <w:r>
        <w:rPr>
          <w:rFonts w:cs="Times New Roman"/>
          <w:szCs w:val="24"/>
        </w:rPr>
        <w:t xml:space="preserve">However, </w:t>
      </w:r>
      <w:r w:rsidR="00AB0EB6">
        <w:rPr>
          <w:rFonts w:cs="Times New Roman"/>
          <w:szCs w:val="24"/>
        </w:rPr>
        <w:t xml:space="preserve">as part of a final settlement, </w:t>
      </w:r>
      <w:r>
        <w:rPr>
          <w:rFonts w:cs="Times New Roman"/>
          <w:szCs w:val="24"/>
        </w:rPr>
        <w:t>situations may arise where busin</w:t>
      </w:r>
      <w:r w:rsidR="00A913A0">
        <w:rPr>
          <w:rFonts w:cs="Times New Roman"/>
          <w:szCs w:val="24"/>
        </w:rPr>
        <w:t xml:space="preserve">esses </w:t>
      </w:r>
      <w:r>
        <w:rPr>
          <w:rFonts w:cs="Times New Roman"/>
          <w:szCs w:val="24"/>
        </w:rPr>
        <w:t xml:space="preserve">seek legal waivers </w:t>
      </w:r>
      <w:r w:rsidR="00A913A0">
        <w:rPr>
          <w:rFonts w:cs="Times New Roman"/>
          <w:szCs w:val="24"/>
        </w:rPr>
        <w:t xml:space="preserve">from remedy-seekers </w:t>
      </w:r>
      <w:r w:rsidR="00AB0EB6">
        <w:rPr>
          <w:rFonts w:cs="Times New Roman"/>
          <w:szCs w:val="24"/>
        </w:rPr>
        <w:t xml:space="preserve">to prevent future </w:t>
      </w:r>
      <w:r w:rsidR="00A34816">
        <w:rPr>
          <w:rFonts w:cs="Times New Roman"/>
          <w:szCs w:val="24"/>
        </w:rPr>
        <w:t>adjudication of a claim</w:t>
      </w:r>
      <w:r>
        <w:rPr>
          <w:rFonts w:cs="Times New Roman"/>
          <w:szCs w:val="24"/>
        </w:rPr>
        <w:t xml:space="preserve">, perhaps citing the need for legal certainty at the end of a binding </w:t>
      </w:r>
      <w:r w:rsidR="00A913A0">
        <w:rPr>
          <w:rFonts w:cs="Times New Roman"/>
          <w:szCs w:val="24"/>
        </w:rPr>
        <w:t xml:space="preserve">dispute resolution </w:t>
      </w:r>
      <w:r>
        <w:rPr>
          <w:rFonts w:cs="Times New Roman"/>
          <w:szCs w:val="24"/>
        </w:rPr>
        <w:t>process (see B.</w:t>
      </w:r>
      <w:r w:rsidR="00C5233D">
        <w:rPr>
          <w:rFonts w:cs="Times New Roman"/>
          <w:szCs w:val="24"/>
        </w:rPr>
        <w:t>4</w:t>
      </w:r>
      <w:r>
        <w:rPr>
          <w:rFonts w:cs="Times New Roman"/>
          <w:szCs w:val="24"/>
        </w:rPr>
        <w:t xml:space="preserve">).  </w:t>
      </w:r>
      <w:r w:rsidR="00AB0EB6">
        <w:rPr>
          <w:rFonts w:cs="Times New Roman"/>
          <w:szCs w:val="24"/>
        </w:rPr>
        <w:t xml:space="preserve">There are </w:t>
      </w:r>
      <w:r w:rsidR="00317A74">
        <w:rPr>
          <w:rFonts w:cs="Times New Roman"/>
          <w:szCs w:val="24"/>
        </w:rPr>
        <w:t xml:space="preserve">differing views about the circumstances in which such </w:t>
      </w:r>
      <w:r w:rsidR="00A913A0">
        <w:rPr>
          <w:rFonts w:cs="Times New Roman"/>
          <w:szCs w:val="24"/>
        </w:rPr>
        <w:t xml:space="preserve">legal </w:t>
      </w:r>
      <w:r w:rsidR="00317A74">
        <w:rPr>
          <w:rFonts w:cs="Times New Roman"/>
          <w:szCs w:val="24"/>
        </w:rPr>
        <w:t>waivers may be appropriate, the safeguards which may be needed to address inequalities in bargaining position</w:t>
      </w:r>
      <w:r w:rsidR="00A34816">
        <w:rPr>
          <w:rFonts w:cs="Times New Roman"/>
          <w:szCs w:val="24"/>
        </w:rPr>
        <w:t>s</w:t>
      </w:r>
      <w:r w:rsidR="00317A74">
        <w:rPr>
          <w:rFonts w:cs="Times New Roman"/>
          <w:szCs w:val="24"/>
        </w:rPr>
        <w:t>, and the acceptable scope of such waivers.</w:t>
      </w:r>
      <w:r w:rsidR="00A34816">
        <w:rPr>
          <w:rFonts w:cs="Times New Roman"/>
          <w:szCs w:val="24"/>
        </w:rPr>
        <w:t xml:space="preserve">  OHCHR has argued in the past that such waivers should not be sought, but in case they are, they should be as narrowly construed as possible, and in no circumstance should such a waiver seek to preclude criminal proceedings or prevent victims from participating in any criminal case.</w:t>
      </w:r>
      <w:r w:rsidR="0034319D">
        <w:rPr>
          <w:rStyle w:val="FootnoteReference"/>
          <w:rFonts w:cs="Times New Roman"/>
          <w:szCs w:val="24"/>
        </w:rPr>
        <w:footnoteReference w:id="10"/>
      </w:r>
    </w:p>
    <w:p w14:paraId="3777DB3F" w14:textId="77777777" w:rsidR="00613219" w:rsidRDefault="00613219" w:rsidP="00613219">
      <w:pPr>
        <w:jc w:val="both"/>
        <w:rPr>
          <w:rFonts w:cs="Times New Roman"/>
          <w:szCs w:val="24"/>
        </w:rPr>
      </w:pPr>
    </w:p>
    <w:tbl>
      <w:tblPr>
        <w:tblStyle w:val="TableGrid"/>
        <w:tblW w:w="0" w:type="auto"/>
        <w:tblLook w:val="04A0" w:firstRow="1" w:lastRow="0" w:firstColumn="1" w:lastColumn="0" w:noHBand="0" w:noVBand="1"/>
      </w:tblPr>
      <w:tblGrid>
        <w:gridCol w:w="9016"/>
      </w:tblGrid>
      <w:tr w:rsidR="00613219" w:rsidRPr="00FD3029" w14:paraId="37ECC016" w14:textId="77777777" w:rsidTr="00651E35">
        <w:trPr>
          <w:trHeight w:val="841"/>
        </w:trPr>
        <w:tc>
          <w:tcPr>
            <w:tcW w:w="9016" w:type="dxa"/>
            <w:shd w:val="clear" w:color="auto" w:fill="DEEAF6" w:themeFill="accent1" w:themeFillTint="33"/>
          </w:tcPr>
          <w:p w14:paraId="0C22DB27" w14:textId="77777777" w:rsidR="00613219" w:rsidRDefault="00613219" w:rsidP="00651E35">
            <w:pPr>
              <w:jc w:val="both"/>
              <w:rPr>
                <w:rFonts w:cs="Times New Roman"/>
                <w:b/>
                <w:i/>
                <w:szCs w:val="24"/>
              </w:rPr>
            </w:pPr>
            <w:r>
              <w:rPr>
                <w:rFonts w:cs="Times New Roman"/>
                <w:b/>
                <w:i/>
                <w:szCs w:val="24"/>
              </w:rPr>
              <w:t>Discussion Questions</w:t>
            </w:r>
          </w:p>
          <w:p w14:paraId="303E23C9" w14:textId="77777777" w:rsidR="00613219" w:rsidRDefault="00613219" w:rsidP="00651E35">
            <w:pPr>
              <w:pStyle w:val="ListParagraph"/>
              <w:numPr>
                <w:ilvl w:val="0"/>
                <w:numId w:val="49"/>
              </w:numPr>
              <w:jc w:val="both"/>
              <w:rPr>
                <w:rFonts w:cs="Times New Roman"/>
                <w:szCs w:val="24"/>
              </w:rPr>
            </w:pPr>
            <w:r w:rsidRPr="00BD52E4">
              <w:rPr>
                <w:rFonts w:cs="Times New Roman"/>
                <w:szCs w:val="24"/>
              </w:rPr>
              <w:t>Do you agree with the observations made in this section?  If not, why not?</w:t>
            </w:r>
          </w:p>
          <w:p w14:paraId="5AEFADD6" w14:textId="77777777" w:rsidR="00613219" w:rsidRPr="00BD52E4" w:rsidRDefault="00613219" w:rsidP="00651E35">
            <w:pPr>
              <w:pStyle w:val="ListParagraph"/>
              <w:numPr>
                <w:ilvl w:val="0"/>
                <w:numId w:val="49"/>
              </w:numPr>
              <w:jc w:val="both"/>
              <w:rPr>
                <w:rFonts w:cs="Times New Roman"/>
                <w:szCs w:val="24"/>
              </w:rPr>
            </w:pPr>
            <w:r w:rsidRPr="00BD52E4">
              <w:rPr>
                <w:rFonts w:cs="Times New Roman"/>
                <w:szCs w:val="24"/>
              </w:rPr>
              <w:t>Are there any further issues, challenges, trends</w:t>
            </w:r>
            <w:r>
              <w:rPr>
                <w:rFonts w:cs="Times New Roman"/>
                <w:szCs w:val="24"/>
              </w:rPr>
              <w:t>,</w:t>
            </w:r>
            <w:r w:rsidRPr="00BD52E4">
              <w:rPr>
                <w:rFonts w:cs="Times New Roman"/>
                <w:szCs w:val="24"/>
              </w:rPr>
              <w:t xml:space="preserve"> or opportunities that you would like to bring to the attention of the ARP III team?  If so, what are these?</w:t>
            </w:r>
          </w:p>
        </w:tc>
      </w:tr>
    </w:tbl>
    <w:p w14:paraId="1B39F46E" w14:textId="77777777" w:rsidR="0034319D" w:rsidRDefault="0034319D" w:rsidP="0034319D">
      <w:pPr>
        <w:jc w:val="both"/>
        <w:rPr>
          <w:rFonts w:cs="Times New Roman"/>
          <w:szCs w:val="24"/>
        </w:rPr>
      </w:pPr>
    </w:p>
    <w:p w14:paraId="7F7B9FAD" w14:textId="08F1D101" w:rsidR="0034319D" w:rsidRPr="0034319D" w:rsidRDefault="0034319D" w:rsidP="0034319D">
      <w:pPr>
        <w:jc w:val="both"/>
        <w:rPr>
          <w:rFonts w:cs="Times New Roman"/>
          <w:szCs w:val="24"/>
        </w:rPr>
      </w:pPr>
    </w:p>
    <w:p w14:paraId="44A9A064" w14:textId="77777777" w:rsidR="004254BF" w:rsidRPr="00FD3029" w:rsidRDefault="00FE727F" w:rsidP="00FE727F">
      <w:pPr>
        <w:pStyle w:val="Heading3"/>
        <w:spacing w:before="0"/>
        <w:ind w:left="1439" w:hanging="645"/>
        <w:rPr>
          <w:rFonts w:cs="Times New Roman"/>
        </w:rPr>
      </w:pPr>
      <w:r w:rsidRPr="00FD3029">
        <w:rPr>
          <w:rFonts w:cs="Times New Roman"/>
        </w:rPr>
        <w:t>A.3</w:t>
      </w:r>
      <w:r w:rsidRPr="00FD3029">
        <w:rPr>
          <w:rFonts w:cs="Times New Roman"/>
        </w:rPr>
        <w:tab/>
      </w:r>
      <w:r w:rsidR="004254BF" w:rsidRPr="00FD3029">
        <w:rPr>
          <w:rFonts w:cs="Times New Roman"/>
        </w:rPr>
        <w:t>The quality of stakeholder engagement with respect to the design</w:t>
      </w:r>
      <w:r w:rsidR="00AB16D9" w:rsidRPr="00FD3029">
        <w:rPr>
          <w:rFonts w:cs="Times New Roman"/>
        </w:rPr>
        <w:t xml:space="preserve"> </w:t>
      </w:r>
      <w:r w:rsidR="004254BF" w:rsidRPr="00FD3029">
        <w:rPr>
          <w:rFonts w:cs="Times New Roman"/>
        </w:rPr>
        <w:t>of a grievance mechanism</w:t>
      </w:r>
      <w:r w:rsidR="0034319D">
        <w:rPr>
          <w:rFonts w:cs="Times New Roman"/>
        </w:rPr>
        <w:t xml:space="preserve"> </w:t>
      </w:r>
      <w:r w:rsidR="004254BF" w:rsidRPr="00FD3029">
        <w:rPr>
          <w:rFonts w:cs="Times New Roman"/>
        </w:rPr>
        <w:t>is a strong indicator of that mechanism’s effectiveness</w:t>
      </w:r>
    </w:p>
    <w:p w14:paraId="3A7AEF93" w14:textId="77777777" w:rsidR="00BD53DC" w:rsidRPr="00FD3029" w:rsidRDefault="00BD53DC" w:rsidP="00BD53DC">
      <w:pPr>
        <w:jc w:val="both"/>
        <w:rPr>
          <w:rFonts w:cs="Times New Roman"/>
          <w:szCs w:val="24"/>
        </w:rPr>
      </w:pPr>
    </w:p>
    <w:p w14:paraId="1945ACAD" w14:textId="77777777" w:rsidR="003A778D" w:rsidRDefault="004254BF" w:rsidP="00BD53DC">
      <w:pPr>
        <w:jc w:val="both"/>
        <w:rPr>
          <w:rFonts w:cs="Times New Roman"/>
          <w:szCs w:val="24"/>
        </w:rPr>
      </w:pPr>
      <w:r w:rsidRPr="00FD3029">
        <w:rPr>
          <w:rFonts w:cs="Times New Roman"/>
          <w:szCs w:val="24"/>
        </w:rPr>
        <w:t xml:space="preserve">This is a proposition which seems widely recognised, with many </w:t>
      </w:r>
      <w:r w:rsidR="00F15310">
        <w:rPr>
          <w:rFonts w:cs="Times New Roman"/>
          <w:szCs w:val="24"/>
        </w:rPr>
        <w:t>contributors</w:t>
      </w:r>
      <w:r w:rsidR="00F15310" w:rsidRPr="00FD3029">
        <w:rPr>
          <w:rFonts w:cs="Times New Roman"/>
          <w:szCs w:val="24"/>
        </w:rPr>
        <w:t xml:space="preserve"> </w:t>
      </w:r>
      <w:r w:rsidRPr="00FD3029">
        <w:rPr>
          <w:rFonts w:cs="Times New Roman"/>
          <w:szCs w:val="24"/>
        </w:rPr>
        <w:t xml:space="preserve">from the design or administration side acknowledging the need to strengthen stakeholder engagement around at least some of their processes. In the course of research for ARP III, OHCHR has gathered information on a range of different techniques that have been used by </w:t>
      </w:r>
      <w:r w:rsidR="00D81A5E">
        <w:rPr>
          <w:rFonts w:cs="Times New Roman"/>
          <w:szCs w:val="24"/>
        </w:rPr>
        <w:t>those designing and administering</w:t>
      </w:r>
      <w:r w:rsidRPr="00FD3029">
        <w:rPr>
          <w:rFonts w:cs="Times New Roman"/>
          <w:szCs w:val="24"/>
        </w:rPr>
        <w:t xml:space="preserve"> grievance mechanisms to help them</w:t>
      </w:r>
      <w:r w:rsidR="00D10E62">
        <w:rPr>
          <w:rFonts w:cs="Times New Roman"/>
          <w:szCs w:val="24"/>
        </w:rPr>
        <w:t>,</w:t>
      </w:r>
      <w:r w:rsidRPr="00FD3029">
        <w:rPr>
          <w:rFonts w:cs="Times New Roman"/>
          <w:szCs w:val="24"/>
        </w:rPr>
        <w:t xml:space="preserve"> </w:t>
      </w:r>
      <w:r w:rsidR="00DE3DCA">
        <w:rPr>
          <w:rFonts w:cs="Times New Roman"/>
          <w:szCs w:val="24"/>
        </w:rPr>
        <w:t>among other things</w:t>
      </w:r>
      <w:r w:rsidR="00D81A5E">
        <w:rPr>
          <w:rFonts w:cs="Times New Roman"/>
          <w:szCs w:val="24"/>
        </w:rPr>
        <w:t>,</w:t>
      </w:r>
      <w:r w:rsidR="00BE179F">
        <w:rPr>
          <w:rFonts w:cs="Times New Roman"/>
          <w:szCs w:val="24"/>
        </w:rPr>
        <w:t xml:space="preserve"> to:</w:t>
      </w:r>
    </w:p>
    <w:p w14:paraId="20FE2D42" w14:textId="2F2F7764" w:rsidR="00D95E1B" w:rsidRDefault="00DF4F0F">
      <w:pPr>
        <w:pStyle w:val="ListParagraph"/>
        <w:numPr>
          <w:ilvl w:val="0"/>
          <w:numId w:val="42"/>
        </w:numPr>
        <w:jc w:val="both"/>
        <w:rPr>
          <w:rFonts w:cs="Times New Roman"/>
          <w:szCs w:val="24"/>
        </w:rPr>
      </w:pPr>
      <w:r w:rsidRPr="00DF4F0F">
        <w:rPr>
          <w:rFonts w:cs="Times New Roman"/>
          <w:szCs w:val="24"/>
        </w:rPr>
        <w:t>understand user perspectives and needs (see further B.</w:t>
      </w:r>
      <w:r w:rsidR="00F15310">
        <w:rPr>
          <w:rFonts w:cs="Times New Roman"/>
          <w:szCs w:val="24"/>
        </w:rPr>
        <w:t>1</w:t>
      </w:r>
      <w:r w:rsidRPr="00DF4F0F">
        <w:rPr>
          <w:rFonts w:cs="Times New Roman"/>
          <w:szCs w:val="24"/>
        </w:rPr>
        <w:t xml:space="preserve">), </w:t>
      </w:r>
    </w:p>
    <w:p w14:paraId="521B1099" w14:textId="77777777" w:rsidR="00D95E1B" w:rsidRDefault="00DF4F0F">
      <w:pPr>
        <w:pStyle w:val="ListParagraph"/>
        <w:numPr>
          <w:ilvl w:val="0"/>
          <w:numId w:val="42"/>
        </w:numPr>
        <w:jc w:val="both"/>
        <w:rPr>
          <w:rFonts w:cs="Times New Roman"/>
          <w:szCs w:val="24"/>
        </w:rPr>
      </w:pPr>
      <w:r w:rsidRPr="00DF4F0F">
        <w:rPr>
          <w:rFonts w:cs="Times New Roman"/>
          <w:szCs w:val="24"/>
        </w:rPr>
        <w:t>gain feedback that can then be used for continuous learning,</w:t>
      </w:r>
      <w:r w:rsidR="00D81A5E">
        <w:rPr>
          <w:rStyle w:val="FootnoteReference"/>
          <w:rFonts w:cs="Times New Roman"/>
          <w:szCs w:val="24"/>
        </w:rPr>
        <w:footnoteReference w:id="11"/>
      </w:r>
      <w:r w:rsidRPr="00DF4F0F">
        <w:rPr>
          <w:rFonts w:cs="Times New Roman"/>
          <w:szCs w:val="24"/>
        </w:rPr>
        <w:t xml:space="preserve"> </w:t>
      </w:r>
    </w:p>
    <w:p w14:paraId="73588C54" w14:textId="077447B9" w:rsidR="00D95E1B" w:rsidRDefault="00DF4F0F">
      <w:pPr>
        <w:pStyle w:val="ListParagraph"/>
        <w:numPr>
          <w:ilvl w:val="0"/>
          <w:numId w:val="42"/>
        </w:numPr>
        <w:jc w:val="both"/>
        <w:rPr>
          <w:rFonts w:cs="Times New Roman"/>
          <w:szCs w:val="24"/>
        </w:rPr>
      </w:pPr>
      <w:r w:rsidRPr="00DF4F0F">
        <w:rPr>
          <w:rFonts w:cs="Times New Roman"/>
          <w:szCs w:val="24"/>
        </w:rPr>
        <w:t>help address imbalances in power and resources (see further B.</w:t>
      </w:r>
      <w:r w:rsidR="00C5233D">
        <w:rPr>
          <w:rFonts w:cs="Times New Roman"/>
          <w:szCs w:val="24"/>
        </w:rPr>
        <w:t>2</w:t>
      </w:r>
      <w:r w:rsidRPr="00DF4F0F">
        <w:rPr>
          <w:rFonts w:cs="Times New Roman"/>
          <w:szCs w:val="24"/>
        </w:rPr>
        <w:t>)</w:t>
      </w:r>
      <w:r w:rsidR="00D81A5E">
        <w:rPr>
          <w:rFonts w:cs="Times New Roman"/>
          <w:szCs w:val="24"/>
        </w:rPr>
        <w:t>,</w:t>
      </w:r>
      <w:r w:rsidRPr="00DF4F0F">
        <w:rPr>
          <w:rFonts w:cs="Times New Roman"/>
          <w:szCs w:val="24"/>
        </w:rPr>
        <w:t xml:space="preserve"> and </w:t>
      </w:r>
    </w:p>
    <w:p w14:paraId="270C6F0C" w14:textId="77777777" w:rsidR="003A778D" w:rsidRDefault="00DF4F0F">
      <w:pPr>
        <w:pStyle w:val="ListParagraph"/>
        <w:numPr>
          <w:ilvl w:val="0"/>
          <w:numId w:val="42"/>
        </w:numPr>
        <w:jc w:val="both"/>
        <w:rPr>
          <w:rFonts w:cs="Times New Roman"/>
          <w:szCs w:val="24"/>
        </w:rPr>
      </w:pPr>
      <w:r w:rsidRPr="00DF4F0F">
        <w:rPr>
          <w:rFonts w:cs="Times New Roman"/>
          <w:szCs w:val="24"/>
        </w:rPr>
        <w:t>help build stakeholder trust (see further section D).</w:t>
      </w:r>
    </w:p>
    <w:p w14:paraId="230CF501" w14:textId="77777777" w:rsidR="00D95E1B" w:rsidRPr="00250C81" w:rsidRDefault="00DF4F0F" w:rsidP="00250C81">
      <w:pPr>
        <w:jc w:val="both"/>
        <w:rPr>
          <w:rFonts w:cs="Times New Roman"/>
          <w:szCs w:val="24"/>
        </w:rPr>
      </w:pPr>
      <w:r w:rsidRPr="00250C81">
        <w:rPr>
          <w:rFonts w:cs="Times New Roman"/>
          <w:szCs w:val="24"/>
        </w:rPr>
        <w:t xml:space="preserve"> </w:t>
      </w:r>
    </w:p>
    <w:p w14:paraId="431FF271" w14:textId="77777777" w:rsidR="004254BF" w:rsidRPr="00D81A5E" w:rsidRDefault="00DF4F0F">
      <w:pPr>
        <w:jc w:val="both"/>
        <w:rPr>
          <w:rFonts w:cs="Times New Roman"/>
          <w:szCs w:val="24"/>
        </w:rPr>
      </w:pPr>
      <w:r w:rsidRPr="00DF4F0F">
        <w:rPr>
          <w:rFonts w:cs="Times New Roman"/>
          <w:szCs w:val="24"/>
        </w:rPr>
        <w:t xml:space="preserve">On the other hand, </w:t>
      </w:r>
      <w:r w:rsidR="00F15310">
        <w:rPr>
          <w:rFonts w:cs="Times New Roman"/>
          <w:szCs w:val="24"/>
        </w:rPr>
        <w:t xml:space="preserve">contributors </w:t>
      </w:r>
      <w:r w:rsidRPr="00DF4F0F">
        <w:rPr>
          <w:rFonts w:cs="Times New Roman"/>
          <w:szCs w:val="24"/>
        </w:rPr>
        <w:t>have also shared examples where a lack of attention to user needs ha</w:t>
      </w:r>
      <w:r w:rsidR="00D81A5E">
        <w:rPr>
          <w:rFonts w:cs="Times New Roman"/>
          <w:szCs w:val="24"/>
        </w:rPr>
        <w:t>s</w:t>
      </w:r>
      <w:r w:rsidRPr="00DF4F0F">
        <w:rPr>
          <w:rFonts w:cs="Times New Roman"/>
          <w:szCs w:val="24"/>
        </w:rPr>
        <w:t xml:space="preserve"> resulted in sub-optimal </w:t>
      </w:r>
      <w:r w:rsidR="00D81A5E">
        <w:rPr>
          <w:rFonts w:cs="Times New Roman"/>
          <w:szCs w:val="24"/>
        </w:rPr>
        <w:t xml:space="preserve">grievance </w:t>
      </w:r>
      <w:r w:rsidRPr="00DF4F0F">
        <w:rPr>
          <w:rFonts w:cs="Times New Roman"/>
          <w:szCs w:val="24"/>
        </w:rPr>
        <w:t xml:space="preserve">processes which are difficult to access and navigate and which fail to engender stakeholder trust.  An observation frequently made in this context is that prioritising </w:t>
      </w:r>
      <w:r w:rsidRPr="00DF4F0F">
        <w:rPr>
          <w:rFonts w:cs="Times New Roman"/>
          <w:i/>
          <w:szCs w:val="24"/>
        </w:rPr>
        <w:t xml:space="preserve">institutional </w:t>
      </w:r>
      <w:r w:rsidRPr="00DF4F0F">
        <w:rPr>
          <w:rFonts w:cs="Times New Roman"/>
          <w:szCs w:val="24"/>
        </w:rPr>
        <w:t xml:space="preserve">needs over </w:t>
      </w:r>
      <w:r w:rsidRPr="00DF4F0F">
        <w:rPr>
          <w:rFonts w:cs="Times New Roman"/>
          <w:i/>
          <w:szCs w:val="24"/>
        </w:rPr>
        <w:t xml:space="preserve">remedy-seeker </w:t>
      </w:r>
      <w:r w:rsidRPr="00DF4F0F">
        <w:rPr>
          <w:rFonts w:cs="Times New Roman"/>
          <w:szCs w:val="24"/>
        </w:rPr>
        <w:t>needs remains a problem.</w:t>
      </w:r>
    </w:p>
    <w:p w14:paraId="3BA4B30A" w14:textId="77777777" w:rsidR="00BD53DC" w:rsidRPr="00FD3029" w:rsidRDefault="00BD53DC" w:rsidP="00BD53DC">
      <w:pPr>
        <w:jc w:val="both"/>
        <w:rPr>
          <w:rFonts w:cs="Times New Roman"/>
          <w:szCs w:val="24"/>
        </w:rPr>
      </w:pPr>
    </w:p>
    <w:p w14:paraId="3875663E" w14:textId="375B0B50" w:rsidR="004254BF" w:rsidRPr="00FD3029" w:rsidRDefault="004254BF" w:rsidP="00BD53DC">
      <w:pPr>
        <w:jc w:val="both"/>
        <w:rPr>
          <w:rFonts w:cs="Times New Roman"/>
          <w:szCs w:val="24"/>
        </w:rPr>
      </w:pPr>
      <w:r w:rsidRPr="00FD3029">
        <w:rPr>
          <w:rFonts w:cs="Times New Roman"/>
          <w:szCs w:val="24"/>
        </w:rPr>
        <w:t>There a</w:t>
      </w:r>
      <w:r w:rsidR="00D81A5E">
        <w:rPr>
          <w:rFonts w:cs="Times New Roman"/>
          <w:szCs w:val="24"/>
        </w:rPr>
        <w:t>re a</w:t>
      </w:r>
      <w:r w:rsidRPr="00FD3029">
        <w:rPr>
          <w:rFonts w:cs="Times New Roman"/>
          <w:szCs w:val="24"/>
        </w:rPr>
        <w:t xml:space="preserve"> number of </w:t>
      </w:r>
      <w:r w:rsidR="00BE179F">
        <w:rPr>
          <w:rFonts w:cs="Times New Roman"/>
          <w:szCs w:val="24"/>
        </w:rPr>
        <w:t>reasons why stakeholder engagement can prove challenging in practice</w:t>
      </w:r>
      <w:r w:rsidRPr="00FD3029">
        <w:rPr>
          <w:rFonts w:cs="Times New Roman"/>
          <w:szCs w:val="24"/>
        </w:rPr>
        <w:t>.  In some cases, for example, for “global” mechanisms</w:t>
      </w:r>
      <w:r w:rsidR="00A848AA">
        <w:rPr>
          <w:rFonts w:cs="Times New Roman"/>
          <w:szCs w:val="24"/>
        </w:rPr>
        <w:t xml:space="preserve"> </w:t>
      </w:r>
      <w:r w:rsidRPr="00FD3029">
        <w:rPr>
          <w:rFonts w:cs="Times New Roman"/>
          <w:szCs w:val="24"/>
        </w:rPr>
        <w:t>covering multiple issues</w:t>
      </w:r>
      <w:r w:rsidR="00250C81" w:rsidRPr="00FD3029">
        <w:rPr>
          <w:rFonts w:cs="Times New Roman"/>
          <w:szCs w:val="24"/>
        </w:rPr>
        <w:t xml:space="preserve"> (see further C.4)</w:t>
      </w:r>
      <w:r w:rsidRPr="00FD3029">
        <w:rPr>
          <w:rFonts w:cs="Times New Roman"/>
          <w:szCs w:val="24"/>
        </w:rPr>
        <w:t>, prospective user groups may be difficult to identify in advance and may have wildly different expectations and needs.  Where people live in remote locations, it can be difficult to locate and engage meaningfully with the relevant people.  Cultural differences can get in the way of proper understanding of day</w:t>
      </w:r>
      <w:r w:rsidR="00A848AA">
        <w:rPr>
          <w:rFonts w:cs="Times New Roman"/>
          <w:szCs w:val="24"/>
        </w:rPr>
        <w:t>-</w:t>
      </w:r>
      <w:r w:rsidRPr="00FD3029">
        <w:rPr>
          <w:rFonts w:cs="Times New Roman"/>
          <w:szCs w:val="24"/>
        </w:rPr>
        <w:t>to</w:t>
      </w:r>
      <w:r w:rsidR="00A848AA">
        <w:rPr>
          <w:rFonts w:cs="Times New Roman"/>
          <w:szCs w:val="24"/>
        </w:rPr>
        <w:t>-</w:t>
      </w:r>
      <w:r w:rsidRPr="00FD3029">
        <w:rPr>
          <w:rFonts w:cs="Times New Roman"/>
          <w:szCs w:val="24"/>
        </w:rPr>
        <w:t>day realities, risks, inequalities, vulnerabilities</w:t>
      </w:r>
      <w:r w:rsidR="006801FD">
        <w:rPr>
          <w:rFonts w:cs="Times New Roman"/>
          <w:szCs w:val="24"/>
        </w:rPr>
        <w:t>,</w:t>
      </w:r>
      <w:r w:rsidRPr="00FD3029">
        <w:rPr>
          <w:rFonts w:cs="Times New Roman"/>
          <w:szCs w:val="24"/>
        </w:rPr>
        <w:t xml:space="preserve"> and practical needs.  </w:t>
      </w:r>
      <w:r w:rsidR="00DF3904" w:rsidRPr="00FD3029">
        <w:rPr>
          <w:rFonts w:cs="Times New Roman"/>
          <w:szCs w:val="24"/>
        </w:rPr>
        <w:t xml:space="preserve">Ensuring that different perspectives are properly represented in stakeholder discussions </w:t>
      </w:r>
      <w:r w:rsidR="00DF3904">
        <w:rPr>
          <w:rFonts w:cs="Times New Roman"/>
          <w:szCs w:val="24"/>
        </w:rPr>
        <w:t>–</w:t>
      </w:r>
      <w:r w:rsidR="00DF3904" w:rsidRPr="00FD3029">
        <w:rPr>
          <w:rFonts w:cs="Times New Roman"/>
          <w:szCs w:val="24"/>
        </w:rPr>
        <w:t xml:space="preserve"> such as the perspectives of </w:t>
      </w:r>
      <w:r w:rsidR="00DF3904">
        <w:rPr>
          <w:rFonts w:cs="Times New Roman"/>
          <w:szCs w:val="24"/>
        </w:rPr>
        <w:t xml:space="preserve">those </w:t>
      </w:r>
      <w:r w:rsidR="00DF3904" w:rsidRPr="00FD3029">
        <w:rPr>
          <w:rFonts w:cs="Times New Roman"/>
          <w:szCs w:val="24"/>
        </w:rPr>
        <w:t xml:space="preserve">who may be at </w:t>
      </w:r>
      <w:r w:rsidR="00DF3904">
        <w:rPr>
          <w:rFonts w:cs="Times New Roman"/>
          <w:szCs w:val="24"/>
        </w:rPr>
        <w:t xml:space="preserve">heightened </w:t>
      </w:r>
      <w:r w:rsidR="00DF3904" w:rsidRPr="00FD3029">
        <w:rPr>
          <w:rFonts w:cs="Times New Roman"/>
          <w:szCs w:val="24"/>
        </w:rPr>
        <w:t xml:space="preserve">risk of vulnerability </w:t>
      </w:r>
      <w:r w:rsidR="00DF3904">
        <w:rPr>
          <w:rFonts w:cs="Times New Roman"/>
          <w:szCs w:val="24"/>
        </w:rPr>
        <w:t>or</w:t>
      </w:r>
      <w:r w:rsidR="00DF3904" w:rsidRPr="00FD3029">
        <w:rPr>
          <w:rFonts w:cs="Times New Roman"/>
          <w:szCs w:val="24"/>
        </w:rPr>
        <w:t xml:space="preserve"> marginalisation – can be a further practical challenge.</w:t>
      </w:r>
      <w:r w:rsidR="00DF3904">
        <w:rPr>
          <w:rFonts w:cs="Times New Roman"/>
          <w:szCs w:val="24"/>
        </w:rPr>
        <w:t xml:space="preserve">  </w:t>
      </w:r>
      <w:r w:rsidR="00D10E62">
        <w:rPr>
          <w:rFonts w:cs="Times New Roman"/>
          <w:szCs w:val="24"/>
        </w:rPr>
        <w:t xml:space="preserve">Designers and administrators of non-State-based grievance mechanisms should </w:t>
      </w:r>
      <w:r w:rsidR="00DF3904">
        <w:rPr>
          <w:rFonts w:cs="Times New Roman"/>
          <w:szCs w:val="24"/>
        </w:rPr>
        <w:t xml:space="preserve">in particular </w:t>
      </w:r>
      <w:r w:rsidR="00956010">
        <w:rPr>
          <w:rFonts w:cs="Times New Roman"/>
          <w:szCs w:val="24"/>
        </w:rPr>
        <w:t xml:space="preserve">be </w:t>
      </w:r>
      <w:r w:rsidR="00D10E62">
        <w:rPr>
          <w:rFonts w:cs="Times New Roman"/>
          <w:szCs w:val="24"/>
        </w:rPr>
        <w:t xml:space="preserve">alert to the </w:t>
      </w:r>
      <w:r w:rsidR="009722A0">
        <w:rPr>
          <w:rFonts w:cs="Times New Roman"/>
          <w:szCs w:val="24"/>
        </w:rPr>
        <w:t xml:space="preserve">economic, </w:t>
      </w:r>
      <w:r w:rsidR="00D10E62">
        <w:rPr>
          <w:rFonts w:cs="Times New Roman"/>
          <w:szCs w:val="24"/>
        </w:rPr>
        <w:t>social</w:t>
      </w:r>
      <w:r w:rsidR="00DF3904">
        <w:rPr>
          <w:rFonts w:cs="Times New Roman"/>
          <w:szCs w:val="24"/>
        </w:rPr>
        <w:t>,</w:t>
      </w:r>
      <w:r w:rsidR="00D10E62">
        <w:rPr>
          <w:rFonts w:cs="Times New Roman"/>
          <w:szCs w:val="24"/>
        </w:rPr>
        <w:t xml:space="preserve"> and cultural pressures that can hamper the ability of women to </w:t>
      </w:r>
      <w:r w:rsidR="009722A0">
        <w:rPr>
          <w:rFonts w:cs="Times New Roman"/>
          <w:szCs w:val="24"/>
        </w:rPr>
        <w:t xml:space="preserve">contribute to discussions about the design of mechanisms, to raise complaints about the harms they may have suffered, or to participate in </w:t>
      </w:r>
      <w:r w:rsidR="00DF3904">
        <w:rPr>
          <w:rFonts w:cs="Times New Roman"/>
          <w:szCs w:val="24"/>
        </w:rPr>
        <w:t>remediation processes</w:t>
      </w:r>
      <w:r w:rsidR="009722A0">
        <w:rPr>
          <w:rFonts w:cs="Times New Roman"/>
          <w:szCs w:val="24"/>
        </w:rPr>
        <w:t>.</w:t>
      </w:r>
      <w:r w:rsidR="009722A0">
        <w:rPr>
          <w:rStyle w:val="FootnoteReference"/>
          <w:rFonts w:cs="Times New Roman"/>
          <w:szCs w:val="24"/>
        </w:rPr>
        <w:footnoteReference w:id="12"/>
      </w:r>
      <w:r w:rsidR="009722A0">
        <w:rPr>
          <w:rFonts w:cs="Times New Roman"/>
          <w:szCs w:val="24"/>
        </w:rPr>
        <w:t xml:space="preserve"> </w:t>
      </w:r>
    </w:p>
    <w:p w14:paraId="0AE029AD" w14:textId="77777777" w:rsidR="00BD53DC" w:rsidRPr="00FD3029" w:rsidRDefault="00BD53DC" w:rsidP="00BD53DC">
      <w:pPr>
        <w:jc w:val="both"/>
        <w:rPr>
          <w:rFonts w:cs="Times New Roman"/>
          <w:szCs w:val="24"/>
        </w:rPr>
      </w:pPr>
    </w:p>
    <w:p w14:paraId="54AB7A75" w14:textId="38C9725B" w:rsidR="004254BF" w:rsidRDefault="004254BF" w:rsidP="00BD53DC">
      <w:pPr>
        <w:jc w:val="both"/>
        <w:rPr>
          <w:rFonts w:cs="Times New Roman"/>
          <w:szCs w:val="24"/>
        </w:rPr>
      </w:pPr>
      <w:r w:rsidRPr="00FD3029">
        <w:rPr>
          <w:rFonts w:cs="Times New Roman"/>
          <w:szCs w:val="24"/>
        </w:rPr>
        <w:t xml:space="preserve">The strong message from </w:t>
      </w:r>
      <w:r w:rsidR="00F15310">
        <w:rPr>
          <w:rFonts w:cs="Times New Roman"/>
          <w:szCs w:val="24"/>
        </w:rPr>
        <w:t xml:space="preserve">contributors </w:t>
      </w:r>
      <w:r w:rsidRPr="00FD3029">
        <w:rPr>
          <w:rFonts w:cs="Times New Roman"/>
          <w:szCs w:val="24"/>
        </w:rPr>
        <w:t xml:space="preserve">has been that </w:t>
      </w:r>
      <w:r w:rsidRPr="00FD3029">
        <w:rPr>
          <w:rFonts w:cs="Times New Roman"/>
          <w:i/>
          <w:szCs w:val="24"/>
        </w:rPr>
        <w:t>meaningful</w:t>
      </w:r>
      <w:r w:rsidRPr="00FD3029">
        <w:rPr>
          <w:rFonts w:cs="Times New Roman"/>
          <w:szCs w:val="24"/>
        </w:rPr>
        <w:t xml:space="preserve"> stakeholder engagement takes time, effort, patience, and commitment.  It cannot be glossed over or rushed</w:t>
      </w:r>
      <w:r w:rsidR="00A848AA">
        <w:rPr>
          <w:rFonts w:cs="Times New Roman"/>
          <w:szCs w:val="24"/>
        </w:rPr>
        <w:t>,</w:t>
      </w:r>
      <w:r w:rsidRPr="00FD3029">
        <w:rPr>
          <w:rFonts w:cs="Times New Roman"/>
          <w:szCs w:val="24"/>
        </w:rPr>
        <w:t xml:space="preserve"> and “tick-box” type processes do not work.  The aim should be for dynamic processes, which give voice to a range of perspectives, and which encourage a fair, informed</w:t>
      </w:r>
      <w:r w:rsidR="00A848AA">
        <w:rPr>
          <w:rFonts w:cs="Times New Roman"/>
          <w:szCs w:val="24"/>
        </w:rPr>
        <w:t>,</w:t>
      </w:r>
      <w:r w:rsidRPr="00FD3029">
        <w:rPr>
          <w:rFonts w:cs="Times New Roman"/>
          <w:szCs w:val="24"/>
        </w:rPr>
        <w:t xml:space="preserve"> and constructive exchange of views.  In some cases</w:t>
      </w:r>
      <w:r w:rsidR="00A848AA">
        <w:rPr>
          <w:rFonts w:cs="Times New Roman"/>
          <w:szCs w:val="24"/>
        </w:rPr>
        <w:t>,</w:t>
      </w:r>
      <w:r w:rsidRPr="00FD3029">
        <w:rPr>
          <w:rFonts w:cs="Times New Roman"/>
          <w:szCs w:val="24"/>
        </w:rPr>
        <w:t xml:space="preserve"> creative solutions are called for, for example to ensure that local traditions are respected and to help bridge cultural differences between developers of grievance mechanisms and those individuals and communities for whom they are intended.  </w:t>
      </w:r>
      <w:r w:rsidR="00A848AA">
        <w:rPr>
          <w:rFonts w:cs="Times New Roman"/>
          <w:szCs w:val="24"/>
        </w:rPr>
        <w:t>T</w:t>
      </w:r>
      <w:r w:rsidRPr="00FD3029">
        <w:rPr>
          <w:rFonts w:cs="Times New Roman"/>
          <w:szCs w:val="24"/>
        </w:rPr>
        <w:t>hese efforts frequently pay dividends in the longer term, in the form of enhanced stakeholder awareness, capacity</w:t>
      </w:r>
      <w:r w:rsidR="00A848AA">
        <w:rPr>
          <w:rFonts w:cs="Times New Roman"/>
          <w:szCs w:val="24"/>
        </w:rPr>
        <w:t>,</w:t>
      </w:r>
      <w:r w:rsidRPr="00FD3029">
        <w:rPr>
          <w:rFonts w:cs="Times New Roman"/>
          <w:szCs w:val="24"/>
        </w:rPr>
        <w:t xml:space="preserve"> and trust.</w:t>
      </w:r>
    </w:p>
    <w:p w14:paraId="3F40BB8D" w14:textId="77777777" w:rsidR="00613219" w:rsidRDefault="00613219" w:rsidP="00613219">
      <w:pPr>
        <w:jc w:val="both"/>
        <w:rPr>
          <w:rFonts w:cs="Times New Roman"/>
          <w:szCs w:val="24"/>
        </w:rPr>
      </w:pPr>
    </w:p>
    <w:tbl>
      <w:tblPr>
        <w:tblStyle w:val="TableGrid"/>
        <w:tblW w:w="0" w:type="auto"/>
        <w:tblLook w:val="04A0" w:firstRow="1" w:lastRow="0" w:firstColumn="1" w:lastColumn="0" w:noHBand="0" w:noVBand="1"/>
      </w:tblPr>
      <w:tblGrid>
        <w:gridCol w:w="9016"/>
      </w:tblGrid>
      <w:tr w:rsidR="00613219" w:rsidRPr="00FD3029" w14:paraId="68630CBB" w14:textId="77777777" w:rsidTr="00651E35">
        <w:trPr>
          <w:trHeight w:val="841"/>
        </w:trPr>
        <w:tc>
          <w:tcPr>
            <w:tcW w:w="9016" w:type="dxa"/>
            <w:shd w:val="clear" w:color="auto" w:fill="DEEAF6" w:themeFill="accent1" w:themeFillTint="33"/>
          </w:tcPr>
          <w:p w14:paraId="3167EC16" w14:textId="77777777" w:rsidR="00613219" w:rsidRDefault="00613219" w:rsidP="00651E35">
            <w:pPr>
              <w:jc w:val="both"/>
              <w:rPr>
                <w:rFonts w:cs="Times New Roman"/>
                <w:b/>
                <w:i/>
                <w:szCs w:val="24"/>
              </w:rPr>
            </w:pPr>
            <w:r>
              <w:rPr>
                <w:rFonts w:cs="Times New Roman"/>
                <w:b/>
                <w:i/>
                <w:szCs w:val="24"/>
              </w:rPr>
              <w:t>Discussion Questions</w:t>
            </w:r>
          </w:p>
          <w:p w14:paraId="7AD8E174" w14:textId="77777777" w:rsidR="00613219" w:rsidRDefault="00613219" w:rsidP="00651E35">
            <w:pPr>
              <w:pStyle w:val="ListParagraph"/>
              <w:numPr>
                <w:ilvl w:val="0"/>
                <w:numId w:val="49"/>
              </w:numPr>
              <w:jc w:val="both"/>
              <w:rPr>
                <w:rFonts w:cs="Times New Roman"/>
                <w:szCs w:val="24"/>
              </w:rPr>
            </w:pPr>
            <w:r w:rsidRPr="00BD52E4">
              <w:rPr>
                <w:rFonts w:cs="Times New Roman"/>
                <w:szCs w:val="24"/>
              </w:rPr>
              <w:t>Do you agree with the observations made in this section?  If not, why not?</w:t>
            </w:r>
          </w:p>
          <w:p w14:paraId="6D4E1AB2" w14:textId="77777777" w:rsidR="00613219" w:rsidRPr="00BD52E4" w:rsidRDefault="00613219" w:rsidP="00651E35">
            <w:pPr>
              <w:pStyle w:val="ListParagraph"/>
              <w:numPr>
                <w:ilvl w:val="0"/>
                <w:numId w:val="49"/>
              </w:numPr>
              <w:jc w:val="both"/>
              <w:rPr>
                <w:rFonts w:cs="Times New Roman"/>
                <w:szCs w:val="24"/>
              </w:rPr>
            </w:pPr>
            <w:r w:rsidRPr="00BD52E4">
              <w:rPr>
                <w:rFonts w:cs="Times New Roman"/>
                <w:szCs w:val="24"/>
              </w:rPr>
              <w:t>Are there any further issues, challenges, trends</w:t>
            </w:r>
            <w:r>
              <w:rPr>
                <w:rFonts w:cs="Times New Roman"/>
                <w:szCs w:val="24"/>
              </w:rPr>
              <w:t>,</w:t>
            </w:r>
            <w:r w:rsidRPr="00BD52E4">
              <w:rPr>
                <w:rFonts w:cs="Times New Roman"/>
                <w:szCs w:val="24"/>
              </w:rPr>
              <w:t xml:space="preserve"> or opportunities that you would like to bring to the attention of the ARP III team?  If so, what are these?</w:t>
            </w:r>
          </w:p>
        </w:tc>
      </w:tr>
    </w:tbl>
    <w:p w14:paraId="5185C593" w14:textId="77777777" w:rsidR="00BD53DC" w:rsidRPr="00FD3029" w:rsidRDefault="00BD53DC" w:rsidP="00613219">
      <w:pPr>
        <w:pStyle w:val="Heading3"/>
        <w:spacing w:before="0"/>
        <w:ind w:left="0"/>
        <w:rPr>
          <w:rFonts w:cs="Times New Roman"/>
        </w:rPr>
      </w:pPr>
    </w:p>
    <w:p w14:paraId="13F987E6" w14:textId="77777777" w:rsidR="00BD53DC" w:rsidRPr="00FD3029" w:rsidRDefault="00BD53DC" w:rsidP="00BD53DC">
      <w:pPr>
        <w:pStyle w:val="Heading3"/>
        <w:spacing w:before="0"/>
        <w:rPr>
          <w:rFonts w:cs="Times New Roman"/>
        </w:rPr>
      </w:pPr>
    </w:p>
    <w:p w14:paraId="66DF40D1" w14:textId="77777777" w:rsidR="004254BF" w:rsidRPr="00FD3029" w:rsidRDefault="00FE727F" w:rsidP="00FE727F">
      <w:pPr>
        <w:pStyle w:val="Heading3"/>
        <w:spacing w:before="0"/>
        <w:ind w:left="1439" w:hanging="645"/>
        <w:rPr>
          <w:rFonts w:cs="Times New Roman"/>
        </w:rPr>
      </w:pPr>
      <w:r w:rsidRPr="00FD3029">
        <w:rPr>
          <w:rFonts w:cs="Times New Roman"/>
        </w:rPr>
        <w:t>A.4</w:t>
      </w:r>
      <w:r w:rsidRPr="00FD3029">
        <w:rPr>
          <w:rFonts w:cs="Times New Roman"/>
        </w:rPr>
        <w:tab/>
      </w:r>
      <w:r w:rsidR="004254BF" w:rsidRPr="00FD3029">
        <w:rPr>
          <w:rFonts w:cs="Times New Roman"/>
        </w:rPr>
        <w:t>Non-State-based grievance mechanisms tend to be limited in the types of remedies they can provide</w:t>
      </w:r>
    </w:p>
    <w:p w14:paraId="1DC68FF5" w14:textId="77777777" w:rsidR="00BD53DC" w:rsidRPr="00FD3029" w:rsidRDefault="00BD53DC" w:rsidP="00BD53DC">
      <w:pPr>
        <w:jc w:val="both"/>
        <w:rPr>
          <w:rFonts w:cs="Times New Roman"/>
          <w:szCs w:val="24"/>
        </w:rPr>
      </w:pPr>
    </w:p>
    <w:p w14:paraId="658D7169" w14:textId="77777777" w:rsidR="004254BF" w:rsidRPr="00FD3029" w:rsidRDefault="004254BF" w:rsidP="00BD53DC">
      <w:pPr>
        <w:jc w:val="both"/>
        <w:rPr>
          <w:rFonts w:cs="Times New Roman"/>
          <w:szCs w:val="24"/>
        </w:rPr>
      </w:pPr>
      <w:r w:rsidRPr="00FD3029">
        <w:rPr>
          <w:rFonts w:cs="Times New Roman"/>
          <w:szCs w:val="24"/>
        </w:rPr>
        <w:t>In many cases, the remedies that may be obtained from non-State-based grievance mechanisms are only partial</w:t>
      </w:r>
      <w:r w:rsidR="003C3B0C">
        <w:rPr>
          <w:rFonts w:cs="Times New Roman"/>
          <w:szCs w:val="24"/>
        </w:rPr>
        <w:t xml:space="preserve"> (e.g., </w:t>
      </w:r>
      <w:r w:rsidR="00543FDA">
        <w:rPr>
          <w:rFonts w:cs="Times New Roman"/>
          <w:szCs w:val="24"/>
        </w:rPr>
        <w:t xml:space="preserve">because they can </w:t>
      </w:r>
      <w:r w:rsidR="003C3B0C">
        <w:rPr>
          <w:rFonts w:cs="Times New Roman"/>
          <w:szCs w:val="24"/>
        </w:rPr>
        <w:t xml:space="preserve">address only </w:t>
      </w:r>
      <w:r w:rsidRPr="00FD3029">
        <w:rPr>
          <w:rFonts w:cs="Times New Roman"/>
          <w:szCs w:val="24"/>
        </w:rPr>
        <w:t xml:space="preserve">the future conduct of the company concerned, or because </w:t>
      </w:r>
      <w:r w:rsidR="00543FDA">
        <w:rPr>
          <w:rFonts w:cs="Times New Roman"/>
          <w:szCs w:val="24"/>
        </w:rPr>
        <w:t>the mechanism has insufficient leverage over the company in question)</w:t>
      </w:r>
      <w:r w:rsidRPr="00FD3029">
        <w:rPr>
          <w:rFonts w:cs="Times New Roman"/>
          <w:szCs w:val="24"/>
        </w:rPr>
        <w:t xml:space="preserve">.   </w:t>
      </w:r>
      <w:r w:rsidR="003C3B0C">
        <w:rPr>
          <w:rFonts w:cs="Times New Roman"/>
          <w:szCs w:val="24"/>
        </w:rPr>
        <w:t xml:space="preserve">Users of such mechanisms and their representatives have highlighted </w:t>
      </w:r>
      <w:r w:rsidRPr="00FD3029">
        <w:rPr>
          <w:rFonts w:cs="Times New Roman"/>
          <w:szCs w:val="24"/>
        </w:rPr>
        <w:t>the limited mandates of many non-State-</w:t>
      </w:r>
      <w:r w:rsidR="003C3B0C">
        <w:rPr>
          <w:rFonts w:cs="Times New Roman"/>
          <w:szCs w:val="24"/>
        </w:rPr>
        <w:t xml:space="preserve">based </w:t>
      </w:r>
      <w:r w:rsidRPr="00FD3029">
        <w:rPr>
          <w:rFonts w:cs="Times New Roman"/>
          <w:szCs w:val="24"/>
        </w:rPr>
        <w:t xml:space="preserve">grievance mechanisms (particularly those associated with certification bodies) and the implications that this has on the types of remedies that can be </w:t>
      </w:r>
      <w:r w:rsidR="003C3B0C">
        <w:rPr>
          <w:rFonts w:cs="Times New Roman"/>
          <w:szCs w:val="24"/>
        </w:rPr>
        <w:t>obtained and implemented</w:t>
      </w:r>
      <w:r w:rsidRPr="00FD3029">
        <w:rPr>
          <w:rFonts w:cs="Times New Roman"/>
          <w:szCs w:val="24"/>
        </w:rPr>
        <w:t xml:space="preserve">.  </w:t>
      </w:r>
      <w:r w:rsidR="003073A8">
        <w:rPr>
          <w:rFonts w:cs="Times New Roman"/>
          <w:szCs w:val="24"/>
        </w:rPr>
        <w:t xml:space="preserve">This is not to imply that </w:t>
      </w:r>
      <w:r w:rsidRPr="00FD3029">
        <w:rPr>
          <w:rFonts w:cs="Times New Roman"/>
          <w:szCs w:val="24"/>
        </w:rPr>
        <w:t>private grievance mechanisms</w:t>
      </w:r>
      <w:r w:rsidR="003073A8">
        <w:rPr>
          <w:rFonts w:cs="Times New Roman"/>
          <w:szCs w:val="24"/>
        </w:rPr>
        <w:t xml:space="preserve"> with limitations such as these do not have value</w:t>
      </w:r>
      <w:r w:rsidRPr="00FD3029">
        <w:rPr>
          <w:rFonts w:cs="Times New Roman"/>
          <w:szCs w:val="24"/>
        </w:rPr>
        <w:t xml:space="preserve"> </w:t>
      </w:r>
      <w:r w:rsidR="003C3B0C">
        <w:rPr>
          <w:rFonts w:cs="Times New Roman"/>
          <w:szCs w:val="24"/>
        </w:rPr>
        <w:t xml:space="preserve">as </w:t>
      </w:r>
      <w:r w:rsidRPr="00FD3029">
        <w:rPr>
          <w:rFonts w:cs="Times New Roman"/>
          <w:szCs w:val="24"/>
        </w:rPr>
        <w:t>part of a multi-pronged remedial strategy</w:t>
      </w:r>
      <w:r w:rsidR="003073A8">
        <w:rPr>
          <w:rFonts w:cs="Times New Roman"/>
          <w:szCs w:val="24"/>
        </w:rPr>
        <w:t>.  Nevertheless</w:t>
      </w:r>
      <w:r w:rsidRPr="00FD3029">
        <w:rPr>
          <w:rFonts w:cs="Times New Roman"/>
          <w:szCs w:val="24"/>
        </w:rPr>
        <w:t>, these comments should prompt some reflection about whether the mandates and resources of many of these mechanisms are sufficient to meet the challenges in front of them</w:t>
      </w:r>
      <w:r w:rsidR="003C3B0C">
        <w:rPr>
          <w:rFonts w:cs="Times New Roman"/>
          <w:szCs w:val="24"/>
        </w:rPr>
        <w:t>.</w:t>
      </w:r>
      <w:r w:rsidRPr="00FD3029">
        <w:rPr>
          <w:rFonts w:cs="Times New Roman"/>
          <w:szCs w:val="24"/>
        </w:rPr>
        <w:t xml:space="preserve"> </w:t>
      </w:r>
      <w:r w:rsidR="003C3B0C">
        <w:rPr>
          <w:rFonts w:cs="Times New Roman"/>
          <w:szCs w:val="24"/>
        </w:rPr>
        <w:t>I</w:t>
      </w:r>
      <w:r w:rsidRPr="00FD3029">
        <w:rPr>
          <w:rFonts w:cs="Times New Roman"/>
          <w:szCs w:val="24"/>
        </w:rPr>
        <w:t xml:space="preserve">f not, further development </w:t>
      </w:r>
      <w:r w:rsidR="003C3B0C">
        <w:rPr>
          <w:rFonts w:cs="Times New Roman"/>
          <w:szCs w:val="24"/>
        </w:rPr>
        <w:t xml:space="preserve">is </w:t>
      </w:r>
      <w:r w:rsidRPr="00FD3029">
        <w:rPr>
          <w:rFonts w:cs="Times New Roman"/>
          <w:szCs w:val="24"/>
        </w:rPr>
        <w:t>needed to bridge any present gaps between stakeholder expectations and what is deliverable in practice.</w:t>
      </w:r>
    </w:p>
    <w:p w14:paraId="7E44A6F4" w14:textId="77777777" w:rsidR="009165C7" w:rsidRDefault="009165C7" w:rsidP="009165C7">
      <w:pPr>
        <w:jc w:val="both"/>
        <w:rPr>
          <w:rFonts w:cs="Times New Roman"/>
          <w:szCs w:val="24"/>
        </w:rPr>
      </w:pPr>
    </w:p>
    <w:tbl>
      <w:tblPr>
        <w:tblStyle w:val="TableGrid"/>
        <w:tblW w:w="0" w:type="auto"/>
        <w:tblLook w:val="04A0" w:firstRow="1" w:lastRow="0" w:firstColumn="1" w:lastColumn="0" w:noHBand="0" w:noVBand="1"/>
      </w:tblPr>
      <w:tblGrid>
        <w:gridCol w:w="9016"/>
      </w:tblGrid>
      <w:tr w:rsidR="009165C7" w:rsidRPr="00FD3029" w14:paraId="1F03C2E2" w14:textId="77777777" w:rsidTr="00B93E3D">
        <w:trPr>
          <w:trHeight w:val="841"/>
        </w:trPr>
        <w:tc>
          <w:tcPr>
            <w:tcW w:w="9016" w:type="dxa"/>
            <w:shd w:val="clear" w:color="auto" w:fill="DEEAF6" w:themeFill="accent1" w:themeFillTint="33"/>
          </w:tcPr>
          <w:p w14:paraId="2AC5C85E" w14:textId="77777777" w:rsidR="009165C7" w:rsidRDefault="009165C7" w:rsidP="00B93E3D">
            <w:pPr>
              <w:jc w:val="both"/>
              <w:rPr>
                <w:rFonts w:cs="Times New Roman"/>
                <w:b/>
                <w:i/>
                <w:szCs w:val="24"/>
              </w:rPr>
            </w:pPr>
            <w:r>
              <w:rPr>
                <w:rFonts w:cs="Times New Roman"/>
                <w:b/>
                <w:i/>
                <w:szCs w:val="24"/>
              </w:rPr>
              <w:t>Discussion Questions</w:t>
            </w:r>
          </w:p>
          <w:p w14:paraId="00A47D04" w14:textId="77777777" w:rsidR="009165C7" w:rsidRDefault="009165C7" w:rsidP="00B93E3D">
            <w:pPr>
              <w:pStyle w:val="ListParagraph"/>
              <w:numPr>
                <w:ilvl w:val="0"/>
                <w:numId w:val="49"/>
              </w:numPr>
              <w:jc w:val="both"/>
              <w:rPr>
                <w:rFonts w:cs="Times New Roman"/>
                <w:szCs w:val="24"/>
              </w:rPr>
            </w:pPr>
            <w:r w:rsidRPr="00BD52E4">
              <w:rPr>
                <w:rFonts w:cs="Times New Roman"/>
                <w:szCs w:val="24"/>
              </w:rPr>
              <w:t>Do you agree with the observations made in this section?  If not, why not?</w:t>
            </w:r>
          </w:p>
          <w:p w14:paraId="415CC524" w14:textId="77777777" w:rsidR="009165C7" w:rsidRPr="00BD52E4" w:rsidRDefault="009165C7" w:rsidP="00B93E3D">
            <w:pPr>
              <w:pStyle w:val="ListParagraph"/>
              <w:numPr>
                <w:ilvl w:val="0"/>
                <w:numId w:val="49"/>
              </w:numPr>
              <w:jc w:val="both"/>
              <w:rPr>
                <w:rFonts w:cs="Times New Roman"/>
                <w:szCs w:val="24"/>
              </w:rPr>
            </w:pPr>
            <w:r w:rsidRPr="00BD52E4">
              <w:rPr>
                <w:rFonts w:cs="Times New Roman"/>
                <w:szCs w:val="24"/>
              </w:rPr>
              <w:t>Are there any further issues, challenges, trends</w:t>
            </w:r>
            <w:r>
              <w:rPr>
                <w:rFonts w:cs="Times New Roman"/>
                <w:szCs w:val="24"/>
              </w:rPr>
              <w:t>,</w:t>
            </w:r>
            <w:r w:rsidRPr="00BD52E4">
              <w:rPr>
                <w:rFonts w:cs="Times New Roman"/>
                <w:szCs w:val="24"/>
              </w:rPr>
              <w:t xml:space="preserve"> or opportunities that you would like to bring to the attention of the ARP III team?  If so, what are these?</w:t>
            </w:r>
          </w:p>
        </w:tc>
      </w:tr>
    </w:tbl>
    <w:p w14:paraId="6E581E02" w14:textId="77777777" w:rsidR="004254BF" w:rsidRDefault="004254BF" w:rsidP="00BD53DC">
      <w:pPr>
        <w:jc w:val="both"/>
        <w:rPr>
          <w:rFonts w:cs="Times New Roman"/>
          <w:szCs w:val="24"/>
        </w:rPr>
      </w:pPr>
    </w:p>
    <w:p w14:paraId="45841EA0" w14:textId="77777777" w:rsidR="000F3764" w:rsidRPr="00FD3029" w:rsidRDefault="000F3764" w:rsidP="00BD53DC">
      <w:pPr>
        <w:jc w:val="both"/>
        <w:rPr>
          <w:rFonts w:cs="Times New Roman"/>
          <w:szCs w:val="24"/>
        </w:rPr>
      </w:pPr>
    </w:p>
    <w:p w14:paraId="7897A92D" w14:textId="77777777" w:rsidR="00FE727F" w:rsidRPr="005422D3" w:rsidRDefault="004254BF" w:rsidP="005422D3">
      <w:pPr>
        <w:pStyle w:val="Heading2"/>
        <w:spacing w:before="0"/>
        <w:rPr>
          <w:rFonts w:cs="Times New Roman"/>
        </w:rPr>
      </w:pPr>
      <w:bookmarkStart w:id="12" w:name="_Toc25057785"/>
      <w:r w:rsidRPr="00FD3029">
        <w:rPr>
          <w:rFonts w:cs="Times New Roman"/>
        </w:rPr>
        <w:t xml:space="preserve">Notable trends </w:t>
      </w:r>
      <w:r w:rsidR="00C64B00">
        <w:rPr>
          <w:rFonts w:cs="Times New Roman"/>
        </w:rPr>
        <w:t xml:space="preserve">relating </w:t>
      </w:r>
      <w:r w:rsidRPr="00FD3029">
        <w:rPr>
          <w:rFonts w:cs="Times New Roman"/>
        </w:rPr>
        <w:t>to the design and performance of non-State-based grievance mechanisms</w:t>
      </w:r>
      <w:bookmarkEnd w:id="12"/>
    </w:p>
    <w:p w14:paraId="6D42275E" w14:textId="77777777" w:rsidR="00FE727F" w:rsidRDefault="00FE727F" w:rsidP="00BD53DC">
      <w:pPr>
        <w:rPr>
          <w:rFonts w:cs="Times New Roman"/>
        </w:rPr>
      </w:pPr>
    </w:p>
    <w:p w14:paraId="1DED4373" w14:textId="77777777" w:rsidR="002F1F50" w:rsidRDefault="00B53C78" w:rsidP="00FE727F">
      <w:pPr>
        <w:pStyle w:val="Heading3"/>
        <w:spacing w:before="0"/>
        <w:ind w:left="1439" w:hanging="645"/>
        <w:rPr>
          <w:rFonts w:cs="Times New Roman"/>
        </w:rPr>
      </w:pPr>
      <w:r>
        <w:rPr>
          <w:rFonts w:cs="Times New Roman"/>
        </w:rPr>
        <w:t>B.1</w:t>
      </w:r>
      <w:r w:rsidR="002F1F50">
        <w:rPr>
          <w:rFonts w:cs="Times New Roman"/>
        </w:rPr>
        <w:tab/>
      </w:r>
      <w:r w:rsidR="0034319D">
        <w:rPr>
          <w:rFonts w:cs="Times New Roman"/>
        </w:rPr>
        <w:t>Growing sophistication of methodologies aimed at giving closer attention to the needs and perspectives of users</w:t>
      </w:r>
    </w:p>
    <w:p w14:paraId="324167D2" w14:textId="77777777" w:rsidR="002F1F50" w:rsidRDefault="002F1F50" w:rsidP="002F1F50">
      <w:pPr>
        <w:rPr>
          <w:rFonts w:cs="Times New Roman"/>
          <w:szCs w:val="24"/>
        </w:rPr>
      </w:pPr>
    </w:p>
    <w:p w14:paraId="1238C35A" w14:textId="1F65A6D6" w:rsidR="0034319D" w:rsidRPr="00FD3029" w:rsidRDefault="0034319D" w:rsidP="0034319D">
      <w:pPr>
        <w:jc w:val="both"/>
        <w:rPr>
          <w:rFonts w:cs="Times New Roman"/>
          <w:szCs w:val="24"/>
        </w:rPr>
      </w:pPr>
      <w:r w:rsidRPr="00FD3029">
        <w:rPr>
          <w:rFonts w:cs="Times New Roman"/>
          <w:szCs w:val="24"/>
        </w:rPr>
        <w:t xml:space="preserve">Although proper stakeholder engagement is recognised as key to the establishment of effective grievance mechanisms (see A.3), there seems </w:t>
      </w:r>
      <w:r>
        <w:rPr>
          <w:rFonts w:cs="Times New Roman"/>
          <w:szCs w:val="24"/>
        </w:rPr>
        <w:t xml:space="preserve">to be </w:t>
      </w:r>
      <w:r w:rsidRPr="00FD3029">
        <w:rPr>
          <w:rFonts w:cs="Times New Roman"/>
          <w:szCs w:val="24"/>
        </w:rPr>
        <w:t xml:space="preserve">less agreement about what constitutes meaningful stakeholder engagement </w:t>
      </w:r>
      <w:r w:rsidRPr="00FD3029">
        <w:rPr>
          <w:rFonts w:cs="Times New Roman"/>
          <w:i/>
          <w:szCs w:val="24"/>
        </w:rPr>
        <w:t>in practice</w:t>
      </w:r>
      <w:r w:rsidRPr="00FD3029">
        <w:rPr>
          <w:rFonts w:cs="Times New Roman"/>
          <w:szCs w:val="24"/>
        </w:rPr>
        <w:t xml:space="preserve">. To help inform discussions around this important issue, ARP III researchers have been gathering information about practical strategies adopted by </w:t>
      </w:r>
      <w:r>
        <w:rPr>
          <w:rFonts w:cs="Times New Roman"/>
          <w:szCs w:val="24"/>
        </w:rPr>
        <w:t>non-State-based grievance mechanisms</w:t>
      </w:r>
      <w:r w:rsidRPr="00FD3029">
        <w:rPr>
          <w:rFonts w:cs="Times New Roman"/>
          <w:szCs w:val="24"/>
        </w:rPr>
        <w:t xml:space="preserve"> to better understand the needs and perspectives of stakeholders</w:t>
      </w:r>
      <w:r>
        <w:rPr>
          <w:rFonts w:cs="Times New Roman"/>
          <w:szCs w:val="24"/>
        </w:rPr>
        <w:t>.</w:t>
      </w:r>
      <w:r w:rsidRPr="00FD3029">
        <w:rPr>
          <w:rFonts w:cs="Times New Roman"/>
          <w:szCs w:val="24"/>
        </w:rPr>
        <w:t xml:space="preserve"> </w:t>
      </w:r>
      <w:r>
        <w:rPr>
          <w:rFonts w:cs="Times New Roman"/>
          <w:szCs w:val="24"/>
        </w:rPr>
        <w:t xml:space="preserve"> Such strategies can help to improve the experience of users, enhance stakeholder trust</w:t>
      </w:r>
      <w:r w:rsidR="00E0215C">
        <w:rPr>
          <w:rFonts w:cs="Times New Roman"/>
          <w:szCs w:val="24"/>
        </w:rPr>
        <w:t xml:space="preserve">, and ensure that there is </w:t>
      </w:r>
      <w:r>
        <w:rPr>
          <w:rFonts w:cs="Times New Roman"/>
          <w:szCs w:val="24"/>
        </w:rPr>
        <w:t xml:space="preserve">a shared interest in </w:t>
      </w:r>
      <w:r w:rsidR="00E0215C">
        <w:rPr>
          <w:rFonts w:cs="Times New Roman"/>
          <w:szCs w:val="24"/>
        </w:rPr>
        <w:t>the mechanism’s</w:t>
      </w:r>
      <w:r>
        <w:rPr>
          <w:rFonts w:cs="Times New Roman"/>
          <w:szCs w:val="24"/>
        </w:rPr>
        <w:t xml:space="preserve"> success</w:t>
      </w:r>
      <w:r w:rsidRPr="00FD3029">
        <w:rPr>
          <w:rFonts w:cs="Times New Roman"/>
          <w:szCs w:val="24"/>
        </w:rPr>
        <w:t>.</w:t>
      </w:r>
      <w:r>
        <w:rPr>
          <w:rStyle w:val="FootnoteReference"/>
          <w:rFonts w:cs="Times New Roman"/>
          <w:szCs w:val="24"/>
        </w:rPr>
        <w:footnoteReference w:id="13"/>
      </w:r>
    </w:p>
    <w:p w14:paraId="26AB01EE" w14:textId="77777777" w:rsidR="0034319D" w:rsidRPr="00FD3029" w:rsidRDefault="0034319D" w:rsidP="0034319D">
      <w:pPr>
        <w:jc w:val="both"/>
        <w:rPr>
          <w:rFonts w:cs="Times New Roman"/>
          <w:szCs w:val="24"/>
        </w:rPr>
      </w:pPr>
    </w:p>
    <w:p w14:paraId="0975BDB6" w14:textId="77777777" w:rsidR="0034319D" w:rsidRDefault="0034319D" w:rsidP="0034319D">
      <w:pPr>
        <w:jc w:val="both"/>
        <w:rPr>
          <w:rFonts w:cs="Times New Roman"/>
          <w:szCs w:val="24"/>
        </w:rPr>
      </w:pPr>
      <w:r>
        <w:rPr>
          <w:rFonts w:cs="Times New Roman"/>
          <w:szCs w:val="24"/>
        </w:rPr>
        <w:t>A number of contributors have highlighted a growing interest among practitioners in “user-centred</w:t>
      </w:r>
      <w:r w:rsidRPr="00FD3029">
        <w:rPr>
          <w:rFonts w:cs="Times New Roman"/>
          <w:szCs w:val="24"/>
        </w:rPr>
        <w:t xml:space="preserve"> </w:t>
      </w:r>
      <w:r>
        <w:rPr>
          <w:rFonts w:cs="Times New Roman"/>
          <w:szCs w:val="24"/>
        </w:rPr>
        <w:t>design” methodologies</w:t>
      </w:r>
      <w:r w:rsidR="00944E2F">
        <w:rPr>
          <w:rFonts w:cs="Times New Roman"/>
          <w:szCs w:val="24"/>
        </w:rPr>
        <w:t>, which ensure that the</w:t>
      </w:r>
      <w:r w:rsidRPr="00677F28">
        <w:rPr>
          <w:rFonts w:cs="Times New Roman"/>
          <w:szCs w:val="24"/>
        </w:rPr>
        <w:t xml:space="preserve"> needs and perspectives of prospective users of the grievance mechanism are given close attention at each stage, from inception to launch.</w:t>
      </w:r>
      <w:r w:rsidR="00944E2F">
        <w:rPr>
          <w:rStyle w:val="FootnoteReference"/>
          <w:rFonts w:cs="Times New Roman"/>
          <w:szCs w:val="24"/>
        </w:rPr>
        <w:footnoteReference w:id="14"/>
      </w:r>
      <w:r w:rsidRPr="00677F28">
        <w:rPr>
          <w:rFonts w:cs="Times New Roman"/>
          <w:szCs w:val="24"/>
        </w:rPr>
        <w:t xml:space="preserve">  Although methodologies will vary according to context and need, their common feature is that they are highly interactive </w:t>
      </w:r>
      <w:r>
        <w:rPr>
          <w:rFonts w:cs="Times New Roman"/>
          <w:szCs w:val="24"/>
        </w:rPr>
        <w:t>processes that</w:t>
      </w:r>
      <w:r w:rsidRPr="00FD3029">
        <w:rPr>
          <w:rFonts w:cs="Times New Roman"/>
          <w:szCs w:val="24"/>
        </w:rPr>
        <w:t xml:space="preserve"> aim to give rights-holders a more active, ongoing</w:t>
      </w:r>
      <w:r w:rsidR="00EA72BB">
        <w:rPr>
          <w:rFonts w:cs="Times New Roman"/>
          <w:szCs w:val="24"/>
        </w:rPr>
        <w:t>,</w:t>
      </w:r>
      <w:r w:rsidRPr="00FD3029">
        <w:rPr>
          <w:rFonts w:cs="Times New Roman"/>
          <w:szCs w:val="24"/>
        </w:rPr>
        <w:t xml:space="preserve"> and collaborative role in the development of griev</w:t>
      </w:r>
      <w:r>
        <w:rPr>
          <w:rFonts w:cs="Times New Roman"/>
          <w:szCs w:val="24"/>
        </w:rPr>
        <w:t>ance mechanisms, resulting in</w:t>
      </w:r>
      <w:r w:rsidRPr="00FD3029">
        <w:rPr>
          <w:rFonts w:cs="Times New Roman"/>
          <w:szCs w:val="24"/>
        </w:rPr>
        <w:t xml:space="preserve"> mechanisms that better serve </w:t>
      </w:r>
      <w:r w:rsidRPr="00B7443F">
        <w:rPr>
          <w:rFonts w:cs="Times New Roman"/>
          <w:i/>
          <w:szCs w:val="24"/>
        </w:rPr>
        <w:t>both</w:t>
      </w:r>
      <w:r w:rsidRPr="00677F28">
        <w:rPr>
          <w:rFonts w:cs="Times New Roman"/>
          <w:szCs w:val="24"/>
        </w:rPr>
        <w:t xml:space="preserve"> </w:t>
      </w:r>
      <w:r>
        <w:rPr>
          <w:rFonts w:cs="Times New Roman"/>
          <w:szCs w:val="24"/>
        </w:rPr>
        <w:t>institutional</w:t>
      </w:r>
      <w:r w:rsidRPr="00FD3029">
        <w:rPr>
          <w:rFonts w:cs="Times New Roman"/>
          <w:szCs w:val="24"/>
        </w:rPr>
        <w:t xml:space="preserve"> and user needs.  Although these methodologies are still at an early stage</w:t>
      </w:r>
      <w:r>
        <w:rPr>
          <w:rFonts w:cs="Times New Roman"/>
          <w:szCs w:val="24"/>
        </w:rPr>
        <w:t xml:space="preserve"> of development</w:t>
      </w:r>
      <w:r w:rsidRPr="00FD3029">
        <w:rPr>
          <w:rFonts w:cs="Times New Roman"/>
          <w:szCs w:val="24"/>
        </w:rPr>
        <w:t xml:space="preserve">, </w:t>
      </w:r>
      <w:r>
        <w:rPr>
          <w:rFonts w:cs="Times New Roman"/>
          <w:szCs w:val="24"/>
        </w:rPr>
        <w:t xml:space="preserve">they seem to help </w:t>
      </w:r>
      <w:r w:rsidRPr="00FD3029">
        <w:rPr>
          <w:rFonts w:cs="Times New Roman"/>
          <w:szCs w:val="24"/>
        </w:rPr>
        <w:t xml:space="preserve">uncover and challenge widely-held preconceptions (including misconceptions) about the needs and priorities of different stakeholder groups which can undermine the effectiveness of remedial efforts in practice.  </w:t>
      </w:r>
    </w:p>
    <w:p w14:paraId="04FBB614" w14:textId="77777777" w:rsidR="00EA72BB" w:rsidRPr="00FD3029" w:rsidRDefault="00EA72BB" w:rsidP="0034319D">
      <w:pPr>
        <w:jc w:val="both"/>
        <w:rPr>
          <w:rFonts w:cs="Times New Roman"/>
          <w:szCs w:val="24"/>
        </w:rPr>
      </w:pPr>
    </w:p>
    <w:p w14:paraId="4784D144" w14:textId="276EB112" w:rsidR="00876D94" w:rsidRDefault="00AA57C7" w:rsidP="0034319D">
      <w:pPr>
        <w:jc w:val="both"/>
        <w:rPr>
          <w:rFonts w:cs="Times New Roman"/>
          <w:szCs w:val="24"/>
        </w:rPr>
      </w:pPr>
      <w:r>
        <w:rPr>
          <w:rFonts w:cs="Times New Roman"/>
          <w:szCs w:val="24"/>
        </w:rPr>
        <w:t>Some contributors have shared information about grievance mechanisms which have been proposed, developed</w:t>
      </w:r>
      <w:r w:rsidR="00EA72BB">
        <w:rPr>
          <w:rFonts w:cs="Times New Roman"/>
          <w:szCs w:val="24"/>
        </w:rPr>
        <w:t>,</w:t>
      </w:r>
      <w:r>
        <w:rPr>
          <w:rFonts w:cs="Times New Roman"/>
          <w:szCs w:val="24"/>
        </w:rPr>
        <w:t xml:space="preserve"> and implemented</w:t>
      </w:r>
      <w:r w:rsidRPr="00876731">
        <w:rPr>
          <w:rFonts w:cs="Times New Roman"/>
          <w:i/>
          <w:szCs w:val="24"/>
        </w:rPr>
        <w:t xml:space="preserve"> </w:t>
      </w:r>
      <w:r w:rsidRPr="00EA72BB">
        <w:rPr>
          <w:rFonts w:cs="Times New Roman"/>
          <w:szCs w:val="24"/>
        </w:rPr>
        <w:t>by rights-holders themselves</w:t>
      </w:r>
      <w:r>
        <w:rPr>
          <w:rFonts w:cs="Times New Roman"/>
          <w:szCs w:val="24"/>
        </w:rPr>
        <w:t xml:space="preserve">.  </w:t>
      </w:r>
      <w:r w:rsidR="00376BB2">
        <w:rPr>
          <w:rFonts w:cs="Times New Roman"/>
          <w:szCs w:val="24"/>
        </w:rPr>
        <w:t>“Worker-driven”</w:t>
      </w:r>
      <w:r w:rsidR="00CF1B8E">
        <w:rPr>
          <w:rFonts w:cs="Times New Roman"/>
          <w:szCs w:val="24"/>
        </w:rPr>
        <w:t xml:space="preserve"> </w:t>
      </w:r>
      <w:r w:rsidR="00882615">
        <w:rPr>
          <w:rFonts w:cs="Times New Roman"/>
          <w:szCs w:val="24"/>
        </w:rPr>
        <w:t xml:space="preserve">compliance and </w:t>
      </w:r>
      <w:r w:rsidR="00CF1B8E">
        <w:rPr>
          <w:rFonts w:cs="Times New Roman"/>
          <w:szCs w:val="24"/>
        </w:rPr>
        <w:t>remedial systems</w:t>
      </w:r>
      <w:r w:rsidR="00376BB2">
        <w:rPr>
          <w:rFonts w:cs="Times New Roman"/>
          <w:szCs w:val="24"/>
        </w:rPr>
        <w:t xml:space="preserve"> appear to be gaining traction in the agri</w:t>
      </w:r>
      <w:r>
        <w:rPr>
          <w:rFonts w:cs="Times New Roman"/>
          <w:szCs w:val="24"/>
        </w:rPr>
        <w:t xml:space="preserve">cultural </w:t>
      </w:r>
      <w:r w:rsidR="00376BB2">
        <w:rPr>
          <w:rFonts w:cs="Times New Roman"/>
          <w:szCs w:val="24"/>
        </w:rPr>
        <w:t>sector</w:t>
      </w:r>
      <w:r w:rsidR="00EA72BB">
        <w:rPr>
          <w:rFonts w:cs="Times New Roman"/>
          <w:szCs w:val="24"/>
        </w:rPr>
        <w:t>,</w:t>
      </w:r>
      <w:r w:rsidR="00376BB2">
        <w:rPr>
          <w:rFonts w:cs="Times New Roman"/>
          <w:szCs w:val="24"/>
        </w:rPr>
        <w:t xml:space="preserve"> in particular.</w:t>
      </w:r>
      <w:r w:rsidR="00904E13">
        <w:rPr>
          <w:rFonts w:cs="Times New Roman"/>
          <w:szCs w:val="24"/>
        </w:rPr>
        <w:t xml:space="preserve">  Developed </w:t>
      </w:r>
      <w:r w:rsidR="00432CA3">
        <w:rPr>
          <w:rFonts w:cs="Times New Roman"/>
          <w:szCs w:val="24"/>
        </w:rPr>
        <w:t xml:space="preserve">by </w:t>
      </w:r>
      <w:r w:rsidR="005C545C">
        <w:rPr>
          <w:rFonts w:cs="Times New Roman"/>
          <w:szCs w:val="24"/>
        </w:rPr>
        <w:t xml:space="preserve">workers’ rights </w:t>
      </w:r>
      <w:r w:rsidR="00882615">
        <w:rPr>
          <w:rFonts w:cs="Times New Roman"/>
          <w:szCs w:val="24"/>
        </w:rPr>
        <w:t>advocates</w:t>
      </w:r>
      <w:r w:rsidR="005C545C">
        <w:rPr>
          <w:rFonts w:cs="Times New Roman"/>
          <w:szCs w:val="24"/>
        </w:rPr>
        <w:t xml:space="preserve"> </w:t>
      </w:r>
      <w:r w:rsidR="00904E13">
        <w:rPr>
          <w:rFonts w:cs="Times New Roman"/>
          <w:szCs w:val="24"/>
        </w:rPr>
        <w:t xml:space="preserve">in response to serious and endemic human rights abuses, these initiatives rest on legally binding commitments </w:t>
      </w:r>
      <w:r w:rsidR="00CF1B8E">
        <w:rPr>
          <w:rFonts w:cs="Times New Roman"/>
          <w:szCs w:val="24"/>
        </w:rPr>
        <w:t xml:space="preserve">by retailers </w:t>
      </w:r>
      <w:r w:rsidR="00904E13">
        <w:rPr>
          <w:rFonts w:cs="Times New Roman"/>
          <w:szCs w:val="24"/>
        </w:rPr>
        <w:t xml:space="preserve">to purchase </w:t>
      </w:r>
      <w:r w:rsidR="00CF1B8E">
        <w:rPr>
          <w:rFonts w:cs="Times New Roman"/>
          <w:szCs w:val="24"/>
        </w:rPr>
        <w:t xml:space="preserve">certain products only </w:t>
      </w:r>
      <w:r w:rsidR="00904E13">
        <w:rPr>
          <w:rFonts w:cs="Times New Roman"/>
          <w:szCs w:val="24"/>
        </w:rPr>
        <w:t>from certified producers</w:t>
      </w:r>
      <w:r w:rsidR="00CF1B8E">
        <w:rPr>
          <w:rFonts w:cs="Times New Roman"/>
          <w:szCs w:val="24"/>
        </w:rPr>
        <w:t>.  Those familiar with this particular model</w:t>
      </w:r>
      <w:r w:rsidR="00882615">
        <w:rPr>
          <w:rFonts w:cs="Times New Roman"/>
          <w:szCs w:val="24"/>
        </w:rPr>
        <w:t xml:space="preserve"> – </w:t>
      </w:r>
      <w:r w:rsidR="00432CA3">
        <w:rPr>
          <w:rFonts w:cs="Times New Roman"/>
          <w:szCs w:val="24"/>
        </w:rPr>
        <w:t>which</w:t>
      </w:r>
      <w:r w:rsidR="00882615">
        <w:rPr>
          <w:rFonts w:cs="Times New Roman"/>
          <w:szCs w:val="24"/>
        </w:rPr>
        <w:t xml:space="preserve"> </w:t>
      </w:r>
      <w:r w:rsidR="00432CA3">
        <w:rPr>
          <w:rFonts w:cs="Times New Roman"/>
          <w:szCs w:val="24"/>
        </w:rPr>
        <w:t xml:space="preserve">relies for its effectiveness on a combination of binding contractual commitments by </w:t>
      </w:r>
      <w:r w:rsidR="00882615">
        <w:rPr>
          <w:rFonts w:cs="Times New Roman"/>
          <w:szCs w:val="24"/>
        </w:rPr>
        <w:t>retailers</w:t>
      </w:r>
      <w:r w:rsidR="00432CA3">
        <w:rPr>
          <w:rFonts w:cs="Times New Roman"/>
          <w:szCs w:val="24"/>
        </w:rPr>
        <w:t xml:space="preserve"> (see further B.4), close monitoring, a range of opportunities for </w:t>
      </w:r>
      <w:r w:rsidR="00882615">
        <w:rPr>
          <w:rFonts w:cs="Times New Roman"/>
          <w:szCs w:val="24"/>
        </w:rPr>
        <w:t xml:space="preserve">direct </w:t>
      </w:r>
      <w:r w:rsidR="00432CA3">
        <w:rPr>
          <w:rFonts w:cs="Times New Roman"/>
          <w:szCs w:val="24"/>
        </w:rPr>
        <w:t xml:space="preserve">input by workers </w:t>
      </w:r>
      <w:r w:rsidR="00882615">
        <w:rPr>
          <w:rFonts w:cs="Times New Roman"/>
          <w:szCs w:val="24"/>
        </w:rPr>
        <w:t>(</w:t>
      </w:r>
      <w:r w:rsidR="00432CA3">
        <w:rPr>
          <w:rFonts w:cs="Times New Roman"/>
          <w:szCs w:val="24"/>
        </w:rPr>
        <w:t xml:space="preserve">both structured and </w:t>
      </w:r>
      <w:r w:rsidR="00432CA3" w:rsidRPr="00726FAC">
        <w:rPr>
          <w:rFonts w:cs="Times New Roman"/>
          <w:i/>
          <w:szCs w:val="24"/>
        </w:rPr>
        <w:t>ad hoc</w:t>
      </w:r>
      <w:r w:rsidR="00432CA3">
        <w:rPr>
          <w:rFonts w:cs="Times New Roman"/>
          <w:szCs w:val="24"/>
        </w:rPr>
        <w:t>), and market incentives for its enforcement</w:t>
      </w:r>
      <w:r w:rsidR="00882615">
        <w:rPr>
          <w:rFonts w:cs="Times New Roman"/>
          <w:szCs w:val="24"/>
        </w:rPr>
        <w:t xml:space="preserve"> – </w:t>
      </w:r>
      <w:r w:rsidR="00CF1B8E">
        <w:rPr>
          <w:rFonts w:cs="Times New Roman"/>
          <w:szCs w:val="24"/>
        </w:rPr>
        <w:t>report</w:t>
      </w:r>
      <w:r w:rsidR="00882615">
        <w:rPr>
          <w:rFonts w:cs="Times New Roman"/>
          <w:szCs w:val="24"/>
        </w:rPr>
        <w:t xml:space="preserve"> </w:t>
      </w:r>
      <w:r w:rsidR="00CF1B8E">
        <w:rPr>
          <w:rFonts w:cs="Times New Roman"/>
          <w:szCs w:val="24"/>
        </w:rPr>
        <w:t>high levels of confidence and satisfaction among users of the mechanism</w:t>
      </w:r>
      <w:r w:rsidR="00726FAC">
        <w:rPr>
          <w:rFonts w:cs="Times New Roman"/>
          <w:szCs w:val="24"/>
        </w:rPr>
        <w:t>s</w:t>
      </w:r>
      <w:r w:rsidR="00CF1B8E">
        <w:rPr>
          <w:rFonts w:cs="Times New Roman"/>
          <w:szCs w:val="24"/>
        </w:rPr>
        <w:t>.</w:t>
      </w:r>
    </w:p>
    <w:p w14:paraId="4D5CF9CA" w14:textId="77777777" w:rsidR="00876D94" w:rsidRDefault="00876D94" w:rsidP="0034319D">
      <w:pPr>
        <w:jc w:val="both"/>
        <w:rPr>
          <w:rFonts w:cs="Times New Roman"/>
          <w:szCs w:val="24"/>
        </w:rPr>
      </w:pPr>
    </w:p>
    <w:p w14:paraId="02E79D4B" w14:textId="2404C652" w:rsidR="0034319D" w:rsidRDefault="00CE686B" w:rsidP="0034319D">
      <w:pPr>
        <w:jc w:val="both"/>
        <w:rPr>
          <w:rFonts w:cs="Times New Roman"/>
          <w:szCs w:val="24"/>
        </w:rPr>
      </w:pPr>
      <w:r>
        <w:rPr>
          <w:rFonts w:cs="Times New Roman"/>
          <w:szCs w:val="24"/>
        </w:rPr>
        <w:t xml:space="preserve">Contributors have also drawn attention to recent </w:t>
      </w:r>
      <w:r w:rsidR="00876731">
        <w:rPr>
          <w:rFonts w:cs="Times New Roman"/>
          <w:szCs w:val="24"/>
        </w:rPr>
        <w:t>attempts at</w:t>
      </w:r>
      <w:r>
        <w:rPr>
          <w:rFonts w:cs="Times New Roman"/>
          <w:szCs w:val="24"/>
        </w:rPr>
        <w:t xml:space="preserve"> </w:t>
      </w:r>
      <w:r w:rsidR="0034319D">
        <w:rPr>
          <w:rFonts w:cs="Times New Roman"/>
          <w:szCs w:val="24"/>
        </w:rPr>
        <w:t xml:space="preserve">“community-driven” </w:t>
      </w:r>
      <w:r>
        <w:rPr>
          <w:rFonts w:cs="Times New Roman"/>
          <w:szCs w:val="24"/>
        </w:rPr>
        <w:t xml:space="preserve">models, </w:t>
      </w:r>
      <w:r w:rsidR="0034319D">
        <w:rPr>
          <w:rFonts w:cs="Times New Roman"/>
          <w:szCs w:val="24"/>
        </w:rPr>
        <w:t xml:space="preserve">in which </w:t>
      </w:r>
      <w:r w:rsidR="00944E2F">
        <w:rPr>
          <w:rFonts w:cs="Times New Roman"/>
          <w:szCs w:val="24"/>
        </w:rPr>
        <w:t xml:space="preserve">potentially </w:t>
      </w:r>
      <w:r w:rsidR="0034319D">
        <w:rPr>
          <w:rFonts w:cs="Times New Roman"/>
          <w:szCs w:val="24"/>
        </w:rPr>
        <w:t xml:space="preserve">affected </w:t>
      </w:r>
      <w:r>
        <w:rPr>
          <w:rFonts w:cs="Times New Roman"/>
          <w:szCs w:val="24"/>
        </w:rPr>
        <w:t xml:space="preserve">communities </w:t>
      </w:r>
      <w:r w:rsidR="0034319D">
        <w:rPr>
          <w:rFonts w:cs="Times New Roman"/>
          <w:szCs w:val="24"/>
        </w:rPr>
        <w:t xml:space="preserve">take on the responsibility </w:t>
      </w:r>
      <w:r>
        <w:rPr>
          <w:rFonts w:cs="Times New Roman"/>
          <w:szCs w:val="24"/>
        </w:rPr>
        <w:t xml:space="preserve">for (at the very least) the initial design </w:t>
      </w:r>
      <w:r w:rsidR="00A960C9">
        <w:rPr>
          <w:rFonts w:cs="Times New Roman"/>
          <w:szCs w:val="24"/>
        </w:rPr>
        <w:t xml:space="preserve">of </w:t>
      </w:r>
      <w:r w:rsidR="0034319D">
        <w:rPr>
          <w:rFonts w:cs="Times New Roman"/>
          <w:szCs w:val="24"/>
        </w:rPr>
        <w:t xml:space="preserve">grievance mechanisms </w:t>
      </w:r>
      <w:r>
        <w:rPr>
          <w:rFonts w:cs="Times New Roman"/>
          <w:szCs w:val="24"/>
        </w:rPr>
        <w:t xml:space="preserve">for </w:t>
      </w:r>
      <w:r w:rsidR="00876731">
        <w:rPr>
          <w:rFonts w:cs="Times New Roman"/>
          <w:szCs w:val="24"/>
        </w:rPr>
        <w:t xml:space="preserve">projects posing </w:t>
      </w:r>
      <w:r>
        <w:rPr>
          <w:rFonts w:cs="Times New Roman"/>
          <w:szCs w:val="24"/>
        </w:rPr>
        <w:t>human rights-related risks</w:t>
      </w:r>
      <w:r w:rsidR="0034319D">
        <w:rPr>
          <w:rFonts w:cs="Times New Roman"/>
          <w:szCs w:val="24"/>
        </w:rPr>
        <w:t xml:space="preserve">.  </w:t>
      </w:r>
      <w:r w:rsidR="00876731">
        <w:rPr>
          <w:rFonts w:cs="Times New Roman"/>
          <w:szCs w:val="24"/>
        </w:rPr>
        <w:t>A</w:t>
      </w:r>
      <w:r w:rsidR="000E5EC8">
        <w:rPr>
          <w:rFonts w:cs="Times New Roman"/>
          <w:szCs w:val="24"/>
        </w:rPr>
        <w:t>dvocates of th</w:t>
      </w:r>
      <w:r w:rsidR="00876731">
        <w:rPr>
          <w:rFonts w:cs="Times New Roman"/>
          <w:szCs w:val="24"/>
        </w:rPr>
        <w:t xml:space="preserve">ese models argue </w:t>
      </w:r>
      <w:r w:rsidR="000E5EC8">
        <w:rPr>
          <w:rFonts w:cs="Times New Roman"/>
          <w:szCs w:val="24"/>
        </w:rPr>
        <w:t xml:space="preserve">that communities are more likely to get a grievance mechanism which they can trust and </w:t>
      </w:r>
      <w:r w:rsidR="00876731">
        <w:rPr>
          <w:rFonts w:cs="Times New Roman"/>
          <w:szCs w:val="24"/>
        </w:rPr>
        <w:t xml:space="preserve">confidently </w:t>
      </w:r>
      <w:r w:rsidR="000E5EC8">
        <w:rPr>
          <w:rFonts w:cs="Times New Roman"/>
          <w:szCs w:val="24"/>
        </w:rPr>
        <w:t>access, and companies can have the benefit of a grievance mechanism for which there is built in “community buy-in</w:t>
      </w:r>
      <w:r w:rsidR="005B5D6A">
        <w:rPr>
          <w:rFonts w:cs="Times New Roman"/>
          <w:szCs w:val="24"/>
        </w:rPr>
        <w:t>.</w:t>
      </w:r>
      <w:r w:rsidR="000E5EC8">
        <w:rPr>
          <w:rFonts w:cs="Times New Roman"/>
          <w:szCs w:val="24"/>
        </w:rPr>
        <w:t>”</w:t>
      </w:r>
    </w:p>
    <w:p w14:paraId="0A89F0BC" w14:textId="77777777" w:rsidR="0034319D" w:rsidRDefault="0034319D" w:rsidP="0034319D">
      <w:pPr>
        <w:jc w:val="both"/>
        <w:rPr>
          <w:rFonts w:cs="Times New Roman"/>
          <w:szCs w:val="24"/>
        </w:rPr>
      </w:pPr>
    </w:p>
    <w:p w14:paraId="68E50F66" w14:textId="3B53EAD6" w:rsidR="0034319D" w:rsidRDefault="0034319D" w:rsidP="0034319D">
      <w:pPr>
        <w:jc w:val="both"/>
        <w:rPr>
          <w:rFonts w:cs="Times New Roman"/>
          <w:szCs w:val="24"/>
        </w:rPr>
      </w:pPr>
      <w:r w:rsidRPr="002F1F50">
        <w:rPr>
          <w:rFonts w:cs="Times New Roman"/>
          <w:szCs w:val="24"/>
        </w:rPr>
        <w:t xml:space="preserve">At the same time, </w:t>
      </w:r>
      <w:r w:rsidR="005B5D6A">
        <w:rPr>
          <w:rFonts w:cs="Times New Roman"/>
          <w:szCs w:val="24"/>
        </w:rPr>
        <w:t xml:space="preserve">there remains </w:t>
      </w:r>
      <w:r w:rsidRPr="002F1F50">
        <w:rPr>
          <w:rFonts w:cs="Times New Roman"/>
          <w:szCs w:val="24"/>
        </w:rPr>
        <w:t>a number of practical challenges</w:t>
      </w:r>
      <w:r w:rsidR="005B5D6A">
        <w:rPr>
          <w:rFonts w:cs="Times New Roman"/>
          <w:szCs w:val="24"/>
        </w:rPr>
        <w:t xml:space="preserve"> with these models</w:t>
      </w:r>
      <w:r w:rsidRPr="002F1F50">
        <w:rPr>
          <w:rFonts w:cs="Times New Roman"/>
          <w:szCs w:val="24"/>
        </w:rPr>
        <w:t>.  Significant among these is the amount of time it can take to complete the groundwork needed to develop a grievance mechanism that has the support of the community and which the relevant people can confidently use.  As well as being resource-intensive, this can be problematic in a fast</w:t>
      </w:r>
      <w:r>
        <w:rPr>
          <w:rFonts w:cs="Times New Roman"/>
          <w:szCs w:val="24"/>
        </w:rPr>
        <w:t>-</w:t>
      </w:r>
      <w:r w:rsidRPr="002F1F50">
        <w:rPr>
          <w:rFonts w:cs="Times New Roman"/>
          <w:szCs w:val="24"/>
        </w:rPr>
        <w:t>moving commercial and regulatory situation, for instance where licences have been, or are about to be</w:t>
      </w:r>
      <w:r>
        <w:rPr>
          <w:rFonts w:cs="Times New Roman"/>
          <w:szCs w:val="24"/>
        </w:rPr>
        <w:t>,</w:t>
      </w:r>
      <w:r w:rsidRPr="002F1F50">
        <w:rPr>
          <w:rFonts w:cs="Times New Roman"/>
          <w:szCs w:val="24"/>
        </w:rPr>
        <w:t xml:space="preserve"> granted.  Other </w:t>
      </w:r>
      <w:r>
        <w:rPr>
          <w:rFonts w:cs="Times New Roman"/>
          <w:szCs w:val="24"/>
        </w:rPr>
        <w:t>challenges include:</w:t>
      </w:r>
    </w:p>
    <w:p w14:paraId="368CA83E" w14:textId="77777777" w:rsidR="0034319D" w:rsidRDefault="0034319D" w:rsidP="0034319D">
      <w:pPr>
        <w:pStyle w:val="ListParagraph"/>
        <w:numPr>
          <w:ilvl w:val="0"/>
          <w:numId w:val="44"/>
        </w:numPr>
        <w:jc w:val="both"/>
        <w:rPr>
          <w:rFonts w:cs="Times New Roman"/>
          <w:szCs w:val="24"/>
        </w:rPr>
      </w:pPr>
      <w:r>
        <w:rPr>
          <w:rFonts w:cs="Times New Roman"/>
          <w:szCs w:val="24"/>
        </w:rPr>
        <w:t xml:space="preserve">assessing </w:t>
      </w:r>
      <w:r w:rsidRPr="00DF4F0F">
        <w:rPr>
          <w:rFonts w:cs="Times New Roman"/>
          <w:szCs w:val="24"/>
        </w:rPr>
        <w:t xml:space="preserve">when and how to seek and secure the “buy-in” of the relevant company (a question which will usually be bound up with the extent to which the community or workers enjoy leverage with respect to the company’s planned activities); </w:t>
      </w:r>
    </w:p>
    <w:p w14:paraId="4D1F282A" w14:textId="77777777" w:rsidR="000E5EC8" w:rsidRDefault="0034319D" w:rsidP="0034319D">
      <w:pPr>
        <w:pStyle w:val="ListParagraph"/>
        <w:numPr>
          <w:ilvl w:val="0"/>
          <w:numId w:val="44"/>
        </w:numPr>
        <w:jc w:val="both"/>
        <w:rPr>
          <w:rFonts w:cs="Times New Roman"/>
          <w:szCs w:val="24"/>
        </w:rPr>
      </w:pPr>
      <w:r w:rsidRPr="00DF4F0F">
        <w:rPr>
          <w:rFonts w:cs="Times New Roman"/>
          <w:szCs w:val="24"/>
        </w:rPr>
        <w:t>how to ensure that different viewpoints within a community</w:t>
      </w:r>
      <w:r>
        <w:rPr>
          <w:rFonts w:cs="Times New Roman"/>
          <w:szCs w:val="24"/>
        </w:rPr>
        <w:t>, or between affected communities</w:t>
      </w:r>
      <w:r w:rsidR="005B5D6A">
        <w:rPr>
          <w:rFonts w:cs="Times New Roman"/>
          <w:szCs w:val="24"/>
        </w:rPr>
        <w:t>,</w:t>
      </w:r>
      <w:r w:rsidRPr="00DF4F0F">
        <w:rPr>
          <w:rFonts w:cs="Times New Roman"/>
          <w:szCs w:val="24"/>
        </w:rPr>
        <w:t xml:space="preserve"> are properly represented and taken into account (see further C.6);</w:t>
      </w:r>
    </w:p>
    <w:p w14:paraId="3F54C4B3" w14:textId="77777777" w:rsidR="0034319D" w:rsidRDefault="000E5EC8" w:rsidP="0034319D">
      <w:pPr>
        <w:pStyle w:val="ListParagraph"/>
        <w:numPr>
          <w:ilvl w:val="0"/>
          <w:numId w:val="44"/>
        </w:numPr>
        <w:jc w:val="both"/>
        <w:rPr>
          <w:rFonts w:cs="Times New Roman"/>
          <w:szCs w:val="24"/>
        </w:rPr>
      </w:pPr>
      <w:r>
        <w:rPr>
          <w:rFonts w:cs="Times New Roman"/>
          <w:szCs w:val="24"/>
        </w:rPr>
        <w:t>ensuring that gender perspectives are properly represented and taken into account;</w:t>
      </w:r>
      <w:r w:rsidR="0034319D" w:rsidRPr="00DF4F0F">
        <w:rPr>
          <w:rFonts w:cs="Times New Roman"/>
          <w:szCs w:val="24"/>
        </w:rPr>
        <w:t xml:space="preserve">  </w:t>
      </w:r>
    </w:p>
    <w:p w14:paraId="320AE104" w14:textId="0389EF54" w:rsidR="0034319D" w:rsidRDefault="0034319D" w:rsidP="0034319D">
      <w:pPr>
        <w:pStyle w:val="ListParagraph"/>
        <w:numPr>
          <w:ilvl w:val="0"/>
          <w:numId w:val="44"/>
        </w:numPr>
        <w:jc w:val="both"/>
        <w:rPr>
          <w:rFonts w:cs="Times New Roman"/>
          <w:szCs w:val="24"/>
        </w:rPr>
      </w:pPr>
      <w:r w:rsidRPr="00DF4F0F">
        <w:rPr>
          <w:rFonts w:cs="Times New Roman"/>
          <w:szCs w:val="24"/>
        </w:rPr>
        <w:t>the best ways to give “teeth” to remedial agreements and settlements (see B.</w:t>
      </w:r>
      <w:r w:rsidR="00C5233D">
        <w:rPr>
          <w:rFonts w:cs="Times New Roman"/>
          <w:szCs w:val="24"/>
        </w:rPr>
        <w:t>4</w:t>
      </w:r>
      <w:r w:rsidRPr="00DF4F0F">
        <w:rPr>
          <w:rFonts w:cs="Times New Roman"/>
          <w:szCs w:val="24"/>
        </w:rPr>
        <w:t xml:space="preserve">); </w:t>
      </w:r>
    </w:p>
    <w:p w14:paraId="6667360F" w14:textId="77777777" w:rsidR="0034319D" w:rsidRDefault="0034319D" w:rsidP="0034319D">
      <w:pPr>
        <w:pStyle w:val="ListParagraph"/>
        <w:numPr>
          <w:ilvl w:val="0"/>
          <w:numId w:val="44"/>
        </w:numPr>
        <w:jc w:val="both"/>
        <w:rPr>
          <w:rFonts w:cs="Times New Roman"/>
          <w:szCs w:val="24"/>
        </w:rPr>
      </w:pPr>
      <w:r w:rsidRPr="00DF4F0F">
        <w:rPr>
          <w:rFonts w:cs="Times New Roman"/>
          <w:szCs w:val="24"/>
        </w:rPr>
        <w:t>how to link the mechanisms effectively and appropriately with relevant regulatory processes (see further C.2 and C.3)</w:t>
      </w:r>
      <w:r>
        <w:rPr>
          <w:rFonts w:cs="Times New Roman"/>
          <w:szCs w:val="24"/>
        </w:rPr>
        <w:t>;</w:t>
      </w:r>
      <w:r w:rsidRPr="00DF4F0F">
        <w:rPr>
          <w:rFonts w:cs="Times New Roman"/>
          <w:szCs w:val="24"/>
        </w:rPr>
        <w:t xml:space="preserve"> and </w:t>
      </w:r>
    </w:p>
    <w:p w14:paraId="2091D4F6" w14:textId="77777777" w:rsidR="0034319D" w:rsidRDefault="0034319D" w:rsidP="0034319D">
      <w:pPr>
        <w:pStyle w:val="ListParagraph"/>
        <w:numPr>
          <w:ilvl w:val="0"/>
          <w:numId w:val="44"/>
        </w:numPr>
        <w:jc w:val="both"/>
        <w:rPr>
          <w:rFonts w:cs="Times New Roman"/>
          <w:szCs w:val="24"/>
        </w:rPr>
      </w:pPr>
      <w:r w:rsidRPr="00DF4F0F">
        <w:rPr>
          <w:rFonts w:cs="Times New Roman"/>
          <w:szCs w:val="24"/>
        </w:rPr>
        <w:t>how to ensure that the opportunities for further capacity-building associated with the mechanism are recognised and capitalised upon, consistent with the goals of “continuous improvement</w:t>
      </w:r>
      <w:r>
        <w:rPr>
          <w:rFonts w:cs="Times New Roman"/>
          <w:szCs w:val="24"/>
        </w:rPr>
        <w:t>.</w:t>
      </w:r>
      <w:r w:rsidRPr="00DF4F0F">
        <w:rPr>
          <w:rFonts w:cs="Times New Roman"/>
          <w:szCs w:val="24"/>
        </w:rPr>
        <w:t>”</w:t>
      </w:r>
      <w:r>
        <w:rPr>
          <w:rStyle w:val="FootnoteReference"/>
          <w:rFonts w:cs="Times New Roman"/>
          <w:szCs w:val="24"/>
        </w:rPr>
        <w:footnoteReference w:id="15"/>
      </w:r>
    </w:p>
    <w:p w14:paraId="6380A418" w14:textId="77777777" w:rsidR="001234D5" w:rsidRDefault="001234D5" w:rsidP="001234D5">
      <w:pPr>
        <w:jc w:val="both"/>
        <w:rPr>
          <w:rFonts w:cs="Times New Roman"/>
          <w:szCs w:val="24"/>
        </w:rPr>
      </w:pPr>
    </w:p>
    <w:tbl>
      <w:tblPr>
        <w:tblStyle w:val="TableGrid"/>
        <w:tblW w:w="0" w:type="auto"/>
        <w:tblLook w:val="04A0" w:firstRow="1" w:lastRow="0" w:firstColumn="1" w:lastColumn="0" w:noHBand="0" w:noVBand="1"/>
      </w:tblPr>
      <w:tblGrid>
        <w:gridCol w:w="9016"/>
      </w:tblGrid>
      <w:tr w:rsidR="001234D5" w:rsidRPr="00FD3029" w14:paraId="63EFFCED" w14:textId="77777777" w:rsidTr="00651E35">
        <w:trPr>
          <w:trHeight w:val="841"/>
        </w:trPr>
        <w:tc>
          <w:tcPr>
            <w:tcW w:w="9016" w:type="dxa"/>
            <w:shd w:val="clear" w:color="auto" w:fill="DEEAF6" w:themeFill="accent1" w:themeFillTint="33"/>
          </w:tcPr>
          <w:p w14:paraId="59240F9F" w14:textId="77777777" w:rsidR="001234D5" w:rsidRDefault="001234D5" w:rsidP="00651E35">
            <w:pPr>
              <w:jc w:val="both"/>
              <w:rPr>
                <w:rFonts w:cs="Times New Roman"/>
                <w:b/>
                <w:i/>
                <w:szCs w:val="24"/>
              </w:rPr>
            </w:pPr>
            <w:r>
              <w:rPr>
                <w:rFonts w:cs="Times New Roman"/>
                <w:b/>
                <w:i/>
                <w:szCs w:val="24"/>
              </w:rPr>
              <w:t>Discussion Questions</w:t>
            </w:r>
          </w:p>
          <w:p w14:paraId="57783DF9" w14:textId="77777777" w:rsidR="001234D5" w:rsidRDefault="001234D5" w:rsidP="00651E35">
            <w:pPr>
              <w:pStyle w:val="ListParagraph"/>
              <w:numPr>
                <w:ilvl w:val="0"/>
                <w:numId w:val="49"/>
              </w:numPr>
              <w:jc w:val="both"/>
              <w:rPr>
                <w:rFonts w:cs="Times New Roman"/>
                <w:szCs w:val="24"/>
              </w:rPr>
            </w:pPr>
            <w:r w:rsidRPr="00BD52E4">
              <w:rPr>
                <w:rFonts w:cs="Times New Roman"/>
                <w:szCs w:val="24"/>
              </w:rPr>
              <w:t>Do you agree with the observations made in this section?  If not, why not?</w:t>
            </w:r>
          </w:p>
          <w:p w14:paraId="3AEE52EC" w14:textId="77777777" w:rsidR="001234D5" w:rsidRPr="00BD52E4" w:rsidRDefault="001234D5" w:rsidP="00651E35">
            <w:pPr>
              <w:pStyle w:val="ListParagraph"/>
              <w:numPr>
                <w:ilvl w:val="0"/>
                <w:numId w:val="49"/>
              </w:numPr>
              <w:jc w:val="both"/>
              <w:rPr>
                <w:rFonts w:cs="Times New Roman"/>
                <w:szCs w:val="24"/>
              </w:rPr>
            </w:pPr>
            <w:r w:rsidRPr="00BD52E4">
              <w:rPr>
                <w:rFonts w:cs="Times New Roman"/>
                <w:szCs w:val="24"/>
              </w:rPr>
              <w:t>Are there any further issues, challenges, trends</w:t>
            </w:r>
            <w:r>
              <w:rPr>
                <w:rFonts w:cs="Times New Roman"/>
                <w:szCs w:val="24"/>
              </w:rPr>
              <w:t>,</w:t>
            </w:r>
            <w:r w:rsidRPr="00BD52E4">
              <w:rPr>
                <w:rFonts w:cs="Times New Roman"/>
                <w:szCs w:val="24"/>
              </w:rPr>
              <w:t xml:space="preserve"> or opportunities that you would like to bring to the attention of the ARP III team?  If so, what are these?</w:t>
            </w:r>
          </w:p>
        </w:tc>
      </w:tr>
    </w:tbl>
    <w:p w14:paraId="15A3B058" w14:textId="02646952" w:rsidR="002F1F50" w:rsidRPr="002F1F50" w:rsidRDefault="002F1F50" w:rsidP="002F1F50">
      <w:pPr>
        <w:rPr>
          <w:rFonts w:cs="Times New Roman"/>
          <w:szCs w:val="24"/>
        </w:rPr>
      </w:pPr>
    </w:p>
    <w:p w14:paraId="43B0E4AE" w14:textId="77777777" w:rsidR="001D4672" w:rsidRPr="001D4672" w:rsidRDefault="001D4672" w:rsidP="001D4672"/>
    <w:p w14:paraId="7441B057" w14:textId="2BEEBE27" w:rsidR="004254BF" w:rsidRPr="00FD3029" w:rsidRDefault="00B53C78" w:rsidP="00FE727F">
      <w:pPr>
        <w:pStyle w:val="Heading3"/>
        <w:spacing w:before="0"/>
        <w:ind w:left="1439" w:hanging="645"/>
        <w:rPr>
          <w:rFonts w:cs="Times New Roman"/>
        </w:rPr>
      </w:pPr>
      <w:r>
        <w:rPr>
          <w:rFonts w:cs="Times New Roman"/>
        </w:rPr>
        <w:t>B.</w:t>
      </w:r>
      <w:r w:rsidR="00D341B0">
        <w:rPr>
          <w:rFonts w:cs="Times New Roman"/>
        </w:rPr>
        <w:t>2</w:t>
      </w:r>
      <w:r w:rsidR="00FE727F" w:rsidRPr="00FD3029">
        <w:rPr>
          <w:rFonts w:cs="Times New Roman"/>
        </w:rPr>
        <w:tab/>
      </w:r>
      <w:r w:rsidR="00A960C9">
        <w:rPr>
          <w:rFonts w:cs="Times New Roman"/>
        </w:rPr>
        <w:t xml:space="preserve">Recognition of the importance and value of </w:t>
      </w:r>
      <w:r w:rsidR="00676A7E">
        <w:rPr>
          <w:rFonts w:cs="Times New Roman"/>
        </w:rPr>
        <w:t xml:space="preserve">educational and training </w:t>
      </w:r>
      <w:r w:rsidR="004254BF" w:rsidRPr="00FD3029">
        <w:rPr>
          <w:rFonts w:cs="Times New Roman"/>
        </w:rPr>
        <w:t>activities</w:t>
      </w:r>
      <w:r w:rsidR="00824B50">
        <w:rPr>
          <w:rFonts w:cs="Times New Roman"/>
        </w:rPr>
        <w:t xml:space="preserve"> as an integral part of outreach</w:t>
      </w:r>
      <w:r w:rsidR="004254BF" w:rsidRPr="00FD3029">
        <w:rPr>
          <w:rFonts w:cs="Times New Roman"/>
        </w:rPr>
        <w:t xml:space="preserve"> </w:t>
      </w:r>
    </w:p>
    <w:p w14:paraId="1716DE3D" w14:textId="77777777" w:rsidR="00BD53DC" w:rsidRPr="00FD3029" w:rsidRDefault="00BD53DC" w:rsidP="00BD53DC">
      <w:pPr>
        <w:jc w:val="both"/>
        <w:rPr>
          <w:rFonts w:cs="Times New Roman"/>
          <w:szCs w:val="24"/>
        </w:rPr>
      </w:pPr>
    </w:p>
    <w:p w14:paraId="63587B89" w14:textId="77777777" w:rsidR="004254BF" w:rsidRPr="00FD3029" w:rsidRDefault="00E37484" w:rsidP="00BD53DC">
      <w:pPr>
        <w:jc w:val="both"/>
        <w:rPr>
          <w:rFonts w:cs="Times New Roman"/>
          <w:szCs w:val="24"/>
        </w:rPr>
      </w:pPr>
      <w:r>
        <w:rPr>
          <w:rFonts w:cs="Times New Roman"/>
          <w:szCs w:val="24"/>
        </w:rPr>
        <w:t>T</w:t>
      </w:r>
      <w:r w:rsidR="004254BF" w:rsidRPr="00FD3029">
        <w:rPr>
          <w:rFonts w:cs="Times New Roman"/>
          <w:szCs w:val="24"/>
        </w:rPr>
        <w:t xml:space="preserve">raining programmes </w:t>
      </w:r>
      <w:r>
        <w:rPr>
          <w:rFonts w:cs="Times New Roman"/>
          <w:szCs w:val="24"/>
        </w:rPr>
        <w:t xml:space="preserve">aimed at raising awareness among stakeholders about the existence and purpose of a grievance mechanism, and how to use it, </w:t>
      </w:r>
      <w:r w:rsidR="004254BF" w:rsidRPr="00FD3029">
        <w:rPr>
          <w:rFonts w:cs="Times New Roman"/>
          <w:szCs w:val="24"/>
        </w:rPr>
        <w:t xml:space="preserve">can be </w:t>
      </w:r>
      <w:r>
        <w:rPr>
          <w:rFonts w:cs="Times New Roman"/>
          <w:szCs w:val="24"/>
        </w:rPr>
        <w:t xml:space="preserve">a </w:t>
      </w:r>
      <w:r w:rsidR="004254BF" w:rsidRPr="00FD3029">
        <w:rPr>
          <w:rFonts w:cs="Times New Roman"/>
          <w:szCs w:val="24"/>
        </w:rPr>
        <w:t xml:space="preserve">valuable way of building stakeholder trust.  For instance, it is reasonably common to see an upswing in contact between workers in a factory and the relevant grievance mechanism immediately following a training exercise involving factory staff.  The nature of the training, and the mode of delivery, varies according to need and will often involve awareness raising with respect to the substance of rights (e.g. worker rights), and the various ways in which the mechanism can </w:t>
      </w:r>
      <w:r w:rsidR="006244D7">
        <w:rPr>
          <w:rFonts w:cs="Times New Roman"/>
          <w:szCs w:val="24"/>
        </w:rPr>
        <w:t xml:space="preserve">enforce these rights and </w:t>
      </w:r>
      <w:r w:rsidR="004254BF" w:rsidRPr="00FD3029">
        <w:rPr>
          <w:rFonts w:cs="Times New Roman"/>
          <w:szCs w:val="24"/>
        </w:rPr>
        <w:t xml:space="preserve">help resolve </w:t>
      </w:r>
      <w:r w:rsidR="006244D7">
        <w:rPr>
          <w:rFonts w:cs="Times New Roman"/>
          <w:szCs w:val="24"/>
        </w:rPr>
        <w:t>grievances</w:t>
      </w:r>
      <w:r w:rsidR="004254BF" w:rsidRPr="00FD3029">
        <w:rPr>
          <w:rFonts w:cs="Times New Roman"/>
          <w:szCs w:val="24"/>
        </w:rPr>
        <w:t xml:space="preserve">.  </w:t>
      </w:r>
      <w:r w:rsidR="006244D7">
        <w:rPr>
          <w:rFonts w:cs="Times New Roman"/>
          <w:szCs w:val="24"/>
        </w:rPr>
        <w:t>I</w:t>
      </w:r>
      <w:r w:rsidR="004254BF" w:rsidRPr="00FD3029">
        <w:rPr>
          <w:rFonts w:cs="Times New Roman"/>
          <w:szCs w:val="24"/>
        </w:rPr>
        <w:t xml:space="preserve">nvolving peers </w:t>
      </w:r>
      <w:r w:rsidR="006244D7">
        <w:rPr>
          <w:rFonts w:cs="Times New Roman"/>
          <w:szCs w:val="24"/>
        </w:rPr>
        <w:t>or</w:t>
      </w:r>
      <w:r w:rsidR="004254BF" w:rsidRPr="00FD3029">
        <w:rPr>
          <w:rFonts w:cs="Times New Roman"/>
          <w:szCs w:val="24"/>
        </w:rPr>
        <w:t xml:space="preserve"> fellow </w:t>
      </w:r>
      <w:r w:rsidR="006244D7">
        <w:rPr>
          <w:rFonts w:cs="Times New Roman"/>
          <w:szCs w:val="24"/>
        </w:rPr>
        <w:t xml:space="preserve">community </w:t>
      </w:r>
      <w:r w:rsidR="004254BF" w:rsidRPr="00FD3029">
        <w:rPr>
          <w:rFonts w:cs="Times New Roman"/>
          <w:szCs w:val="24"/>
        </w:rPr>
        <w:t xml:space="preserve">members </w:t>
      </w:r>
      <w:r w:rsidR="006244D7">
        <w:rPr>
          <w:rFonts w:cs="Times New Roman"/>
          <w:szCs w:val="24"/>
        </w:rPr>
        <w:t xml:space="preserve">in </w:t>
      </w:r>
      <w:r w:rsidR="004254BF" w:rsidRPr="00FD3029">
        <w:rPr>
          <w:rFonts w:cs="Times New Roman"/>
          <w:szCs w:val="24"/>
        </w:rPr>
        <w:t>awareness raising activities</w:t>
      </w:r>
      <w:r w:rsidR="006244D7">
        <w:rPr>
          <w:rFonts w:cs="Times New Roman"/>
          <w:szCs w:val="24"/>
        </w:rPr>
        <w:t xml:space="preserve"> appears to be more effective</w:t>
      </w:r>
      <w:r w:rsidR="004254BF" w:rsidRPr="00FD3029">
        <w:rPr>
          <w:rFonts w:cs="Times New Roman"/>
          <w:szCs w:val="24"/>
        </w:rPr>
        <w:t xml:space="preserve"> than relying on experts from remote places.</w:t>
      </w:r>
    </w:p>
    <w:p w14:paraId="54882B82" w14:textId="77777777" w:rsidR="00BD53DC" w:rsidRPr="00FD3029" w:rsidRDefault="00BD53DC" w:rsidP="00BD53DC">
      <w:pPr>
        <w:jc w:val="both"/>
        <w:rPr>
          <w:rFonts w:cs="Times New Roman"/>
          <w:szCs w:val="24"/>
        </w:rPr>
      </w:pPr>
    </w:p>
    <w:p w14:paraId="06F9F3EB" w14:textId="77777777" w:rsidR="00C22031" w:rsidRDefault="004254BF" w:rsidP="00BD53DC">
      <w:pPr>
        <w:jc w:val="both"/>
        <w:rPr>
          <w:rFonts w:cs="Times New Roman"/>
          <w:szCs w:val="24"/>
        </w:rPr>
      </w:pPr>
      <w:r w:rsidRPr="00FD3029">
        <w:rPr>
          <w:rFonts w:cs="Times New Roman"/>
          <w:szCs w:val="24"/>
        </w:rPr>
        <w:t xml:space="preserve">In addition to having a positive effect on accessibility and stakeholder trust, </w:t>
      </w:r>
      <w:r w:rsidR="00676A7E">
        <w:rPr>
          <w:rFonts w:cs="Times New Roman"/>
          <w:szCs w:val="24"/>
        </w:rPr>
        <w:t>such</w:t>
      </w:r>
      <w:r w:rsidRPr="00FD3029">
        <w:rPr>
          <w:rFonts w:cs="Times New Roman"/>
          <w:szCs w:val="24"/>
        </w:rPr>
        <w:t xml:space="preserve"> activities can also enhance the effectiveness of grievance mechanisms in other ways, for instance in terms of the predictability of mechanisms</w:t>
      </w:r>
      <w:r w:rsidR="006244D7">
        <w:rPr>
          <w:rFonts w:cs="Times New Roman"/>
          <w:szCs w:val="24"/>
        </w:rPr>
        <w:t xml:space="preserve"> (e.g.</w:t>
      </w:r>
      <w:r w:rsidRPr="00FD3029">
        <w:rPr>
          <w:rFonts w:cs="Times New Roman"/>
          <w:szCs w:val="24"/>
        </w:rPr>
        <w:t xml:space="preserve">, through </w:t>
      </w:r>
      <w:r w:rsidR="006244D7">
        <w:rPr>
          <w:rFonts w:cs="Times New Roman"/>
          <w:szCs w:val="24"/>
        </w:rPr>
        <w:t xml:space="preserve">providing </w:t>
      </w:r>
      <w:r w:rsidRPr="00FD3029">
        <w:rPr>
          <w:rFonts w:cs="Times New Roman"/>
          <w:szCs w:val="24"/>
        </w:rPr>
        <w:t>technical support</w:t>
      </w:r>
      <w:r w:rsidR="006244D7">
        <w:rPr>
          <w:rFonts w:cs="Times New Roman"/>
          <w:szCs w:val="24"/>
        </w:rPr>
        <w:t xml:space="preserve"> or</w:t>
      </w:r>
      <w:r w:rsidRPr="00FD3029">
        <w:rPr>
          <w:rFonts w:cs="Times New Roman"/>
          <w:szCs w:val="24"/>
        </w:rPr>
        <w:t xml:space="preserve"> free advisory services</w:t>
      </w:r>
      <w:r w:rsidR="006244D7">
        <w:rPr>
          <w:rFonts w:cs="Times New Roman"/>
          <w:szCs w:val="24"/>
        </w:rPr>
        <w:t>)</w:t>
      </w:r>
      <w:r w:rsidRPr="00FD3029">
        <w:rPr>
          <w:rFonts w:cs="Times New Roman"/>
          <w:szCs w:val="24"/>
        </w:rPr>
        <w:t xml:space="preserve">.  When directed towards addressing power imbalances, </w:t>
      </w:r>
      <w:r w:rsidR="00676A7E">
        <w:rPr>
          <w:rFonts w:cs="Times New Roman"/>
          <w:szCs w:val="24"/>
        </w:rPr>
        <w:t>such</w:t>
      </w:r>
      <w:r w:rsidR="006244D7">
        <w:rPr>
          <w:rFonts w:cs="Times New Roman"/>
          <w:szCs w:val="24"/>
        </w:rPr>
        <w:t xml:space="preserve"> activities</w:t>
      </w:r>
      <w:r w:rsidR="006244D7" w:rsidRPr="00FD3029">
        <w:rPr>
          <w:rFonts w:cs="Times New Roman"/>
          <w:szCs w:val="24"/>
        </w:rPr>
        <w:t xml:space="preserve"> </w:t>
      </w:r>
      <w:r w:rsidRPr="00FD3029">
        <w:rPr>
          <w:rFonts w:cs="Times New Roman"/>
          <w:szCs w:val="24"/>
        </w:rPr>
        <w:t>play a vital role in improving the equitability of grievance mechanism</w:t>
      </w:r>
      <w:r w:rsidR="006244D7">
        <w:rPr>
          <w:rFonts w:cs="Times New Roman"/>
          <w:szCs w:val="24"/>
        </w:rPr>
        <w:t>s</w:t>
      </w:r>
      <w:r w:rsidRPr="00FD3029">
        <w:rPr>
          <w:rFonts w:cs="Times New Roman"/>
          <w:szCs w:val="24"/>
        </w:rPr>
        <w:t xml:space="preserve"> (see further C.6).</w:t>
      </w:r>
    </w:p>
    <w:p w14:paraId="3E0F421B" w14:textId="77777777" w:rsidR="00C22031" w:rsidRDefault="00C22031" w:rsidP="00BD53DC">
      <w:pPr>
        <w:jc w:val="both"/>
        <w:rPr>
          <w:rFonts w:cs="Times New Roman"/>
          <w:szCs w:val="24"/>
        </w:rPr>
      </w:pPr>
    </w:p>
    <w:p w14:paraId="6A67E770" w14:textId="77777777" w:rsidR="004254BF" w:rsidRPr="00FD3029" w:rsidRDefault="00A86F97" w:rsidP="00BD53DC">
      <w:pPr>
        <w:jc w:val="both"/>
        <w:rPr>
          <w:rFonts w:cs="Times New Roman"/>
          <w:szCs w:val="24"/>
        </w:rPr>
      </w:pPr>
      <w:r>
        <w:rPr>
          <w:rFonts w:cs="Times New Roman"/>
          <w:szCs w:val="24"/>
        </w:rPr>
        <w:t>However, while there seems to be</w:t>
      </w:r>
      <w:r w:rsidR="00C22031">
        <w:rPr>
          <w:rFonts w:cs="Times New Roman"/>
          <w:szCs w:val="24"/>
        </w:rPr>
        <w:t xml:space="preserve"> wid</w:t>
      </w:r>
      <w:r>
        <w:rPr>
          <w:rFonts w:cs="Times New Roman"/>
          <w:szCs w:val="24"/>
        </w:rPr>
        <w:t xml:space="preserve">espread agreement about the importance of </w:t>
      </w:r>
      <w:r w:rsidR="003120D9">
        <w:rPr>
          <w:rFonts w:cs="Times New Roman"/>
          <w:szCs w:val="24"/>
        </w:rPr>
        <w:t xml:space="preserve">educational and training </w:t>
      </w:r>
      <w:r>
        <w:rPr>
          <w:rFonts w:cs="Times New Roman"/>
          <w:szCs w:val="24"/>
        </w:rPr>
        <w:t xml:space="preserve">exercises in principle, some </w:t>
      </w:r>
      <w:r w:rsidR="00A66166">
        <w:rPr>
          <w:rFonts w:cs="Times New Roman"/>
          <w:szCs w:val="24"/>
        </w:rPr>
        <w:t xml:space="preserve">contributors </w:t>
      </w:r>
      <w:r>
        <w:rPr>
          <w:rFonts w:cs="Times New Roman"/>
          <w:szCs w:val="24"/>
        </w:rPr>
        <w:t xml:space="preserve">have raised concerns about the </w:t>
      </w:r>
      <w:r w:rsidR="003120D9">
        <w:rPr>
          <w:rFonts w:cs="Times New Roman"/>
          <w:szCs w:val="24"/>
        </w:rPr>
        <w:t>manner</w:t>
      </w:r>
      <w:r>
        <w:rPr>
          <w:rFonts w:cs="Times New Roman"/>
          <w:szCs w:val="24"/>
        </w:rPr>
        <w:t xml:space="preserve"> in which these programmes are delivered in practice</w:t>
      </w:r>
      <w:r w:rsidR="00A66166">
        <w:rPr>
          <w:rFonts w:cs="Times New Roman"/>
          <w:szCs w:val="24"/>
        </w:rPr>
        <w:t xml:space="preserve">.  In particular, </w:t>
      </w:r>
      <w:r w:rsidR="00A25DF4">
        <w:rPr>
          <w:rFonts w:cs="Times New Roman"/>
          <w:szCs w:val="24"/>
        </w:rPr>
        <w:t>criticisms have been lodged regarding</w:t>
      </w:r>
      <w:r>
        <w:rPr>
          <w:rFonts w:cs="Times New Roman"/>
          <w:szCs w:val="24"/>
        </w:rPr>
        <w:t xml:space="preserve"> a lack of cultural awareness and sensitivity in some cases, and a lack of awareness of structural challenges</w:t>
      </w:r>
      <w:r w:rsidR="00A25DF4">
        <w:rPr>
          <w:rFonts w:cs="Times New Roman"/>
          <w:szCs w:val="24"/>
        </w:rPr>
        <w:t xml:space="preserve">, </w:t>
      </w:r>
      <w:r w:rsidR="00C22031">
        <w:rPr>
          <w:rFonts w:cs="Times New Roman"/>
          <w:szCs w:val="24"/>
        </w:rPr>
        <w:t xml:space="preserve">resulting in simplistic and unrealistic advice </w:t>
      </w:r>
      <w:r w:rsidR="00A25DF4">
        <w:rPr>
          <w:rFonts w:cs="Times New Roman"/>
          <w:szCs w:val="24"/>
        </w:rPr>
        <w:t xml:space="preserve">that </w:t>
      </w:r>
      <w:r>
        <w:rPr>
          <w:rFonts w:cs="Times New Roman"/>
          <w:szCs w:val="24"/>
        </w:rPr>
        <w:t>undermine</w:t>
      </w:r>
      <w:r w:rsidR="00C22031">
        <w:rPr>
          <w:rFonts w:cs="Times New Roman"/>
          <w:szCs w:val="24"/>
        </w:rPr>
        <w:t>s, rather than enhances</w:t>
      </w:r>
      <w:r>
        <w:rPr>
          <w:rFonts w:cs="Times New Roman"/>
          <w:szCs w:val="24"/>
        </w:rPr>
        <w:t>, stakeholder confidence.</w:t>
      </w:r>
    </w:p>
    <w:p w14:paraId="406CD222" w14:textId="77777777" w:rsidR="001234D5" w:rsidRDefault="001234D5" w:rsidP="001234D5">
      <w:pPr>
        <w:jc w:val="both"/>
        <w:rPr>
          <w:rFonts w:cs="Times New Roman"/>
          <w:szCs w:val="24"/>
        </w:rPr>
      </w:pPr>
    </w:p>
    <w:tbl>
      <w:tblPr>
        <w:tblStyle w:val="TableGrid"/>
        <w:tblW w:w="0" w:type="auto"/>
        <w:tblLook w:val="04A0" w:firstRow="1" w:lastRow="0" w:firstColumn="1" w:lastColumn="0" w:noHBand="0" w:noVBand="1"/>
      </w:tblPr>
      <w:tblGrid>
        <w:gridCol w:w="9016"/>
      </w:tblGrid>
      <w:tr w:rsidR="001234D5" w:rsidRPr="00FD3029" w14:paraId="2C0A6D42" w14:textId="77777777" w:rsidTr="00651E35">
        <w:trPr>
          <w:trHeight w:val="841"/>
        </w:trPr>
        <w:tc>
          <w:tcPr>
            <w:tcW w:w="9016" w:type="dxa"/>
            <w:shd w:val="clear" w:color="auto" w:fill="DEEAF6" w:themeFill="accent1" w:themeFillTint="33"/>
          </w:tcPr>
          <w:p w14:paraId="29C6293C" w14:textId="77777777" w:rsidR="001234D5" w:rsidRDefault="001234D5" w:rsidP="00651E35">
            <w:pPr>
              <w:jc w:val="both"/>
              <w:rPr>
                <w:rFonts w:cs="Times New Roman"/>
                <w:b/>
                <w:i/>
                <w:szCs w:val="24"/>
              </w:rPr>
            </w:pPr>
            <w:r>
              <w:rPr>
                <w:rFonts w:cs="Times New Roman"/>
                <w:b/>
                <w:i/>
                <w:szCs w:val="24"/>
              </w:rPr>
              <w:t>Discussion Questions</w:t>
            </w:r>
          </w:p>
          <w:p w14:paraId="3228B631" w14:textId="77777777" w:rsidR="001234D5" w:rsidRDefault="001234D5" w:rsidP="00651E35">
            <w:pPr>
              <w:pStyle w:val="ListParagraph"/>
              <w:numPr>
                <w:ilvl w:val="0"/>
                <w:numId w:val="49"/>
              </w:numPr>
              <w:jc w:val="both"/>
              <w:rPr>
                <w:rFonts w:cs="Times New Roman"/>
                <w:szCs w:val="24"/>
              </w:rPr>
            </w:pPr>
            <w:r w:rsidRPr="00BD52E4">
              <w:rPr>
                <w:rFonts w:cs="Times New Roman"/>
                <w:szCs w:val="24"/>
              </w:rPr>
              <w:t>Do you agree with the observations made in this section?  If not, why not?</w:t>
            </w:r>
          </w:p>
          <w:p w14:paraId="5EE25602" w14:textId="77777777" w:rsidR="001234D5" w:rsidRPr="00BD52E4" w:rsidRDefault="001234D5" w:rsidP="00651E35">
            <w:pPr>
              <w:pStyle w:val="ListParagraph"/>
              <w:numPr>
                <w:ilvl w:val="0"/>
                <w:numId w:val="49"/>
              </w:numPr>
              <w:jc w:val="both"/>
              <w:rPr>
                <w:rFonts w:cs="Times New Roman"/>
                <w:szCs w:val="24"/>
              </w:rPr>
            </w:pPr>
            <w:r w:rsidRPr="00BD52E4">
              <w:rPr>
                <w:rFonts w:cs="Times New Roman"/>
                <w:szCs w:val="24"/>
              </w:rPr>
              <w:t>Are there any further issues, challenges, trends</w:t>
            </w:r>
            <w:r>
              <w:rPr>
                <w:rFonts w:cs="Times New Roman"/>
                <w:szCs w:val="24"/>
              </w:rPr>
              <w:t>,</w:t>
            </w:r>
            <w:r w:rsidRPr="00BD52E4">
              <w:rPr>
                <w:rFonts w:cs="Times New Roman"/>
                <w:szCs w:val="24"/>
              </w:rPr>
              <w:t xml:space="preserve"> or opportunities that you would like to bring to the attention of the ARP III team?  If so, what are these?</w:t>
            </w:r>
          </w:p>
        </w:tc>
      </w:tr>
    </w:tbl>
    <w:p w14:paraId="2F26A787" w14:textId="494F1877" w:rsidR="004254BF" w:rsidRPr="00FD3029" w:rsidRDefault="004254BF" w:rsidP="001234D5"/>
    <w:p w14:paraId="78F5B8D6" w14:textId="77777777" w:rsidR="00FE727F" w:rsidRPr="00FD3029" w:rsidRDefault="00FE727F" w:rsidP="00BD53DC">
      <w:pPr>
        <w:pStyle w:val="Heading3"/>
        <w:spacing w:before="0"/>
        <w:rPr>
          <w:rFonts w:cs="Times New Roman"/>
        </w:rPr>
      </w:pPr>
    </w:p>
    <w:p w14:paraId="05C0DEEF" w14:textId="77777777" w:rsidR="004254BF" w:rsidRPr="00FD3029" w:rsidRDefault="00FE727F" w:rsidP="00FE727F">
      <w:pPr>
        <w:pStyle w:val="Heading3"/>
        <w:spacing w:before="0"/>
        <w:ind w:left="1439" w:hanging="645"/>
        <w:rPr>
          <w:rFonts w:cs="Times New Roman"/>
        </w:rPr>
      </w:pPr>
      <w:r w:rsidRPr="00FD3029">
        <w:rPr>
          <w:rFonts w:cs="Times New Roman"/>
        </w:rPr>
        <w:t>B.</w:t>
      </w:r>
      <w:r w:rsidR="003120D9">
        <w:rPr>
          <w:rFonts w:cs="Times New Roman"/>
        </w:rPr>
        <w:t>3</w:t>
      </w:r>
      <w:r w:rsidRPr="00FD3029">
        <w:rPr>
          <w:rFonts w:cs="Times New Roman"/>
        </w:rPr>
        <w:tab/>
      </w:r>
      <w:r w:rsidR="004254BF" w:rsidRPr="00FD3029">
        <w:rPr>
          <w:rFonts w:cs="Times New Roman"/>
        </w:rPr>
        <w:t>Intensification of demands by rights-holders for “independent” grievance mechanisms</w:t>
      </w:r>
    </w:p>
    <w:p w14:paraId="53352D99" w14:textId="77777777" w:rsidR="00BD53DC" w:rsidRPr="00FD3029" w:rsidRDefault="00BD53DC" w:rsidP="00BD53DC">
      <w:pPr>
        <w:jc w:val="both"/>
        <w:rPr>
          <w:rFonts w:cs="Times New Roman"/>
          <w:szCs w:val="24"/>
        </w:rPr>
      </w:pPr>
    </w:p>
    <w:p w14:paraId="3A2317F4" w14:textId="77777777" w:rsidR="004254BF" w:rsidRPr="00FD3029" w:rsidRDefault="004254BF" w:rsidP="00BD53DC">
      <w:pPr>
        <w:jc w:val="both"/>
        <w:rPr>
          <w:rFonts w:cs="Times New Roman"/>
          <w:szCs w:val="24"/>
        </w:rPr>
      </w:pPr>
      <w:r w:rsidRPr="00FD3029">
        <w:rPr>
          <w:rFonts w:cs="Times New Roman"/>
          <w:szCs w:val="24"/>
        </w:rPr>
        <w:t>The degree of independence of a grievance mechanism from relevant business interests clearly has a significant bearing on its credibility with stakeholders.  Civil society organisations have long voiced concerns about the potential for these mechanisms to be a front for “corporate whitewash</w:t>
      </w:r>
      <w:r w:rsidR="0038181F">
        <w:rPr>
          <w:rFonts w:cs="Times New Roman"/>
          <w:szCs w:val="24"/>
        </w:rPr>
        <w:t>.</w:t>
      </w:r>
      <w:r w:rsidRPr="00FD3029">
        <w:rPr>
          <w:rFonts w:cs="Times New Roman"/>
          <w:szCs w:val="24"/>
        </w:rPr>
        <w:t xml:space="preserve">”  This is particularly the case for company-based mechanisms, about which there is widespread scepticism about their ability to pursue a matter seriously and impartially (on the basis that the company is effectively being called upon to </w:t>
      </w:r>
      <w:r w:rsidR="001D4672">
        <w:rPr>
          <w:rFonts w:cs="Times New Roman"/>
          <w:szCs w:val="24"/>
        </w:rPr>
        <w:t>sit in judgment of its own conduct</w:t>
      </w:r>
      <w:r w:rsidRPr="00FD3029">
        <w:rPr>
          <w:rFonts w:cs="Times New Roman"/>
          <w:szCs w:val="24"/>
        </w:rPr>
        <w:t>).</w:t>
      </w:r>
      <w:r w:rsidR="0017109E">
        <w:rPr>
          <w:rStyle w:val="FootnoteReference"/>
          <w:rFonts w:cs="Times New Roman"/>
          <w:szCs w:val="24"/>
        </w:rPr>
        <w:footnoteReference w:id="16"/>
      </w:r>
    </w:p>
    <w:p w14:paraId="6F5ACF84" w14:textId="77777777" w:rsidR="00BD53DC" w:rsidRPr="00FD3029" w:rsidRDefault="00BD53DC" w:rsidP="00BD53DC">
      <w:pPr>
        <w:jc w:val="both"/>
        <w:rPr>
          <w:rFonts w:cs="Times New Roman"/>
          <w:szCs w:val="24"/>
        </w:rPr>
      </w:pPr>
    </w:p>
    <w:p w14:paraId="09D80008" w14:textId="77777777" w:rsidR="004254BF" w:rsidRPr="00FD3029" w:rsidRDefault="004254BF" w:rsidP="00BD53DC">
      <w:pPr>
        <w:jc w:val="both"/>
        <w:rPr>
          <w:rFonts w:cs="Times New Roman"/>
          <w:szCs w:val="24"/>
        </w:rPr>
      </w:pPr>
      <w:r w:rsidRPr="00FD3029">
        <w:rPr>
          <w:rFonts w:cs="Times New Roman"/>
          <w:szCs w:val="24"/>
        </w:rPr>
        <w:t xml:space="preserve">In response, many mechanisms have been exploring ways to introduce a degree of separation between grievance decision-making processes and the companies, corporate departments and/or management functions likely to be, or which could potentially be, implicated in relevant complaints.  </w:t>
      </w:r>
      <w:r w:rsidR="00A509CE">
        <w:rPr>
          <w:rFonts w:cs="Times New Roman"/>
          <w:szCs w:val="24"/>
        </w:rPr>
        <w:t>Contributors</w:t>
      </w:r>
      <w:r w:rsidR="0038181F">
        <w:rPr>
          <w:rFonts w:cs="Times New Roman"/>
          <w:szCs w:val="24"/>
        </w:rPr>
        <w:t xml:space="preserve"> have identified a</w:t>
      </w:r>
      <w:r w:rsidRPr="00FD3029">
        <w:rPr>
          <w:rFonts w:cs="Times New Roman"/>
          <w:szCs w:val="24"/>
        </w:rPr>
        <w:t xml:space="preserve"> range of ways that this can be done, from setting up independent advisory boards (</w:t>
      </w:r>
      <w:r w:rsidR="0038181F">
        <w:rPr>
          <w:rFonts w:cs="Times New Roman"/>
          <w:szCs w:val="24"/>
        </w:rPr>
        <w:t>e.g.,</w:t>
      </w:r>
      <w:r w:rsidRPr="00FD3029">
        <w:rPr>
          <w:rFonts w:cs="Times New Roman"/>
          <w:szCs w:val="24"/>
        </w:rPr>
        <w:t xml:space="preserve"> to advise a dispute resolution panel), to delegating dispute resolution and decision-making to external expert bodies.</w:t>
      </w:r>
    </w:p>
    <w:p w14:paraId="3E85D6CC" w14:textId="77777777" w:rsidR="00BD53DC" w:rsidRPr="00FD3029" w:rsidRDefault="00BD53DC" w:rsidP="00BD53DC">
      <w:pPr>
        <w:jc w:val="both"/>
        <w:rPr>
          <w:rFonts w:cs="Times New Roman"/>
          <w:szCs w:val="24"/>
        </w:rPr>
      </w:pPr>
    </w:p>
    <w:p w14:paraId="2F8E2A2D" w14:textId="53086112" w:rsidR="00A509CE" w:rsidRDefault="004254BF" w:rsidP="00BD53DC">
      <w:pPr>
        <w:jc w:val="both"/>
        <w:rPr>
          <w:rFonts w:cs="Times New Roman"/>
          <w:szCs w:val="24"/>
        </w:rPr>
      </w:pPr>
      <w:r w:rsidRPr="00FD3029">
        <w:rPr>
          <w:rFonts w:cs="Times New Roman"/>
          <w:szCs w:val="24"/>
        </w:rPr>
        <w:t xml:space="preserve">Other features which </w:t>
      </w:r>
      <w:r w:rsidR="00A509CE">
        <w:rPr>
          <w:rFonts w:cs="Times New Roman"/>
          <w:szCs w:val="24"/>
        </w:rPr>
        <w:t xml:space="preserve">may </w:t>
      </w:r>
      <w:r w:rsidRPr="00FD3029">
        <w:rPr>
          <w:rFonts w:cs="Times New Roman"/>
          <w:szCs w:val="24"/>
        </w:rPr>
        <w:t>have a bearing on the level of independence of grievance mechanisms include</w:t>
      </w:r>
      <w:r w:rsidR="00102ED1">
        <w:rPr>
          <w:rFonts w:cs="Times New Roman"/>
          <w:szCs w:val="24"/>
        </w:rPr>
        <w:t>:</w:t>
      </w:r>
    </w:p>
    <w:p w14:paraId="7BF4C08F" w14:textId="77777777" w:rsidR="00D95E1B" w:rsidRDefault="00DF4F0F">
      <w:pPr>
        <w:pStyle w:val="ListParagraph"/>
        <w:numPr>
          <w:ilvl w:val="0"/>
          <w:numId w:val="45"/>
        </w:numPr>
        <w:jc w:val="both"/>
        <w:rPr>
          <w:rFonts w:cs="Times New Roman"/>
          <w:szCs w:val="24"/>
        </w:rPr>
      </w:pPr>
      <w:r w:rsidRPr="00DF4F0F">
        <w:rPr>
          <w:rFonts w:cs="Times New Roman"/>
          <w:szCs w:val="24"/>
        </w:rPr>
        <w:t xml:space="preserve">processes for recruitment of grievance mechanism personnel (e.g. whether such activities are carried out by company management or external stakeholders), </w:t>
      </w:r>
    </w:p>
    <w:p w14:paraId="778C2156" w14:textId="77777777" w:rsidR="00D95E1B" w:rsidRDefault="00DF4F0F">
      <w:pPr>
        <w:pStyle w:val="ListParagraph"/>
        <w:numPr>
          <w:ilvl w:val="0"/>
          <w:numId w:val="45"/>
        </w:numPr>
        <w:jc w:val="both"/>
        <w:rPr>
          <w:rFonts w:cs="Times New Roman"/>
          <w:szCs w:val="24"/>
        </w:rPr>
      </w:pPr>
      <w:r w:rsidRPr="00DF4F0F">
        <w:rPr>
          <w:rFonts w:cs="Times New Roman"/>
          <w:szCs w:val="24"/>
        </w:rPr>
        <w:t>bans on staff moving directly from the relevant business enterprise to the grievance mechanism</w:t>
      </w:r>
      <w:r w:rsidR="00614615">
        <w:rPr>
          <w:rFonts w:cs="Times New Roman"/>
          <w:szCs w:val="24"/>
        </w:rPr>
        <w:t xml:space="preserve"> (and vice versa)</w:t>
      </w:r>
      <w:r w:rsidRPr="00DF4F0F">
        <w:rPr>
          <w:rFonts w:cs="Times New Roman"/>
          <w:szCs w:val="24"/>
        </w:rPr>
        <w:t xml:space="preserve">, </w:t>
      </w:r>
    </w:p>
    <w:p w14:paraId="55E7D5F4" w14:textId="77777777" w:rsidR="00D95E1B" w:rsidRDefault="00DF4F0F">
      <w:pPr>
        <w:pStyle w:val="ListParagraph"/>
        <w:numPr>
          <w:ilvl w:val="0"/>
          <w:numId w:val="45"/>
        </w:numPr>
        <w:jc w:val="both"/>
        <w:rPr>
          <w:rFonts w:cs="Times New Roman"/>
          <w:szCs w:val="24"/>
        </w:rPr>
      </w:pPr>
      <w:r w:rsidRPr="00DF4F0F">
        <w:rPr>
          <w:rFonts w:cs="Times New Roman"/>
          <w:szCs w:val="24"/>
        </w:rPr>
        <w:t xml:space="preserve">reporting lines (e.g. whether the grievance mechanism reports directly to management or the </w:t>
      </w:r>
      <w:r w:rsidR="00614615">
        <w:rPr>
          <w:rFonts w:cs="Times New Roman"/>
          <w:szCs w:val="24"/>
        </w:rPr>
        <w:t>b</w:t>
      </w:r>
      <w:r w:rsidRPr="00DF4F0F">
        <w:rPr>
          <w:rFonts w:cs="Times New Roman"/>
          <w:szCs w:val="24"/>
        </w:rPr>
        <w:t xml:space="preserve">oard of the relevant company), </w:t>
      </w:r>
    </w:p>
    <w:p w14:paraId="3A07D944" w14:textId="77777777" w:rsidR="00D95E1B" w:rsidRDefault="00DF4F0F">
      <w:pPr>
        <w:pStyle w:val="ListParagraph"/>
        <w:numPr>
          <w:ilvl w:val="0"/>
          <w:numId w:val="45"/>
        </w:numPr>
        <w:jc w:val="both"/>
        <w:rPr>
          <w:rFonts w:cs="Times New Roman"/>
          <w:szCs w:val="24"/>
        </w:rPr>
      </w:pPr>
      <w:r w:rsidRPr="00DF4F0F">
        <w:rPr>
          <w:rFonts w:cs="Times New Roman"/>
          <w:szCs w:val="24"/>
        </w:rPr>
        <w:t xml:space="preserve">policies for removal of grievance mechanism personnel (e.g. whether removable by management or the company </w:t>
      </w:r>
      <w:r w:rsidR="002963EE">
        <w:rPr>
          <w:rFonts w:cs="Times New Roman"/>
          <w:szCs w:val="24"/>
        </w:rPr>
        <w:t>b</w:t>
      </w:r>
      <w:r w:rsidRPr="00DF4F0F">
        <w:rPr>
          <w:rFonts w:cs="Times New Roman"/>
          <w:szCs w:val="24"/>
        </w:rPr>
        <w:t>oard only)</w:t>
      </w:r>
      <w:r w:rsidR="00614615">
        <w:rPr>
          <w:rFonts w:cs="Times New Roman"/>
          <w:szCs w:val="24"/>
        </w:rPr>
        <w:t>,</w:t>
      </w:r>
      <w:r w:rsidRPr="00DF4F0F">
        <w:rPr>
          <w:rFonts w:cs="Times New Roman"/>
          <w:szCs w:val="24"/>
        </w:rPr>
        <w:t xml:space="preserve"> and </w:t>
      </w:r>
    </w:p>
    <w:p w14:paraId="5A26E78F" w14:textId="77777777" w:rsidR="00D95E1B" w:rsidRDefault="00DF4F0F">
      <w:pPr>
        <w:pStyle w:val="ListParagraph"/>
        <w:numPr>
          <w:ilvl w:val="0"/>
          <w:numId w:val="45"/>
        </w:numPr>
        <w:jc w:val="both"/>
        <w:rPr>
          <w:rFonts w:cs="Times New Roman"/>
          <w:szCs w:val="24"/>
        </w:rPr>
      </w:pPr>
      <w:r w:rsidRPr="00DF4F0F">
        <w:rPr>
          <w:rFonts w:cs="Times New Roman"/>
          <w:szCs w:val="24"/>
        </w:rPr>
        <w:t>policies on conflict</w:t>
      </w:r>
      <w:r w:rsidR="00614615">
        <w:rPr>
          <w:rFonts w:cs="Times New Roman"/>
          <w:szCs w:val="24"/>
        </w:rPr>
        <w:t>s</w:t>
      </w:r>
      <w:r w:rsidRPr="00DF4F0F">
        <w:rPr>
          <w:rFonts w:cs="Times New Roman"/>
          <w:szCs w:val="24"/>
        </w:rPr>
        <w:t xml:space="preserve"> of interest.</w:t>
      </w:r>
    </w:p>
    <w:p w14:paraId="20E6B609" w14:textId="77777777" w:rsidR="001234D5" w:rsidRDefault="001234D5" w:rsidP="001234D5">
      <w:pPr>
        <w:jc w:val="both"/>
        <w:rPr>
          <w:rFonts w:cs="Times New Roman"/>
          <w:szCs w:val="24"/>
        </w:rPr>
      </w:pPr>
    </w:p>
    <w:tbl>
      <w:tblPr>
        <w:tblStyle w:val="TableGrid"/>
        <w:tblW w:w="0" w:type="auto"/>
        <w:tblLook w:val="04A0" w:firstRow="1" w:lastRow="0" w:firstColumn="1" w:lastColumn="0" w:noHBand="0" w:noVBand="1"/>
      </w:tblPr>
      <w:tblGrid>
        <w:gridCol w:w="9016"/>
      </w:tblGrid>
      <w:tr w:rsidR="001234D5" w:rsidRPr="00FD3029" w14:paraId="7D951CD0" w14:textId="77777777" w:rsidTr="00651E35">
        <w:trPr>
          <w:trHeight w:val="841"/>
        </w:trPr>
        <w:tc>
          <w:tcPr>
            <w:tcW w:w="9016" w:type="dxa"/>
            <w:shd w:val="clear" w:color="auto" w:fill="DEEAF6" w:themeFill="accent1" w:themeFillTint="33"/>
          </w:tcPr>
          <w:p w14:paraId="4DE237DB" w14:textId="77777777" w:rsidR="001234D5" w:rsidRDefault="001234D5" w:rsidP="00651E35">
            <w:pPr>
              <w:jc w:val="both"/>
              <w:rPr>
                <w:rFonts w:cs="Times New Roman"/>
                <w:b/>
                <w:i/>
                <w:szCs w:val="24"/>
              </w:rPr>
            </w:pPr>
            <w:r>
              <w:rPr>
                <w:rFonts w:cs="Times New Roman"/>
                <w:b/>
                <w:i/>
                <w:szCs w:val="24"/>
              </w:rPr>
              <w:t>Discussion Questions</w:t>
            </w:r>
          </w:p>
          <w:p w14:paraId="7A85BC6C" w14:textId="77777777" w:rsidR="001234D5" w:rsidRDefault="001234D5" w:rsidP="00651E35">
            <w:pPr>
              <w:pStyle w:val="ListParagraph"/>
              <w:numPr>
                <w:ilvl w:val="0"/>
                <w:numId w:val="49"/>
              </w:numPr>
              <w:jc w:val="both"/>
              <w:rPr>
                <w:rFonts w:cs="Times New Roman"/>
                <w:szCs w:val="24"/>
              </w:rPr>
            </w:pPr>
            <w:r w:rsidRPr="00BD52E4">
              <w:rPr>
                <w:rFonts w:cs="Times New Roman"/>
                <w:szCs w:val="24"/>
              </w:rPr>
              <w:t>Do you agree with the observations made in this section?  If not, why not?</w:t>
            </w:r>
          </w:p>
          <w:p w14:paraId="779A82B4" w14:textId="77777777" w:rsidR="001234D5" w:rsidRPr="00BD52E4" w:rsidRDefault="001234D5" w:rsidP="00651E35">
            <w:pPr>
              <w:pStyle w:val="ListParagraph"/>
              <w:numPr>
                <w:ilvl w:val="0"/>
                <w:numId w:val="49"/>
              </w:numPr>
              <w:jc w:val="both"/>
              <w:rPr>
                <w:rFonts w:cs="Times New Roman"/>
                <w:szCs w:val="24"/>
              </w:rPr>
            </w:pPr>
            <w:r w:rsidRPr="00BD52E4">
              <w:rPr>
                <w:rFonts w:cs="Times New Roman"/>
                <w:szCs w:val="24"/>
              </w:rPr>
              <w:t>Are there any further issues, challenges, trends</w:t>
            </w:r>
            <w:r>
              <w:rPr>
                <w:rFonts w:cs="Times New Roman"/>
                <w:szCs w:val="24"/>
              </w:rPr>
              <w:t>,</w:t>
            </w:r>
            <w:r w:rsidRPr="00BD52E4">
              <w:rPr>
                <w:rFonts w:cs="Times New Roman"/>
                <w:szCs w:val="24"/>
              </w:rPr>
              <w:t xml:space="preserve"> or opportunities that you would like to bring to the attention of the ARP III team?  If so, what are these?</w:t>
            </w:r>
          </w:p>
        </w:tc>
      </w:tr>
    </w:tbl>
    <w:p w14:paraId="218E3B55" w14:textId="3FD6BCCE" w:rsidR="00BD53DC" w:rsidRPr="00FD3029" w:rsidRDefault="00BD53DC" w:rsidP="00FE727F"/>
    <w:p w14:paraId="6886F24F" w14:textId="77777777" w:rsidR="00FE727F" w:rsidRDefault="00FE727F" w:rsidP="00FE727F"/>
    <w:p w14:paraId="1C0AB703" w14:textId="77777777" w:rsidR="003012FE" w:rsidRPr="00FD3029" w:rsidRDefault="00B53C78" w:rsidP="003012FE">
      <w:pPr>
        <w:pStyle w:val="Heading3"/>
        <w:spacing w:before="0"/>
        <w:ind w:left="1439" w:hanging="645"/>
        <w:rPr>
          <w:rFonts w:cs="Times New Roman"/>
        </w:rPr>
      </w:pPr>
      <w:r>
        <w:rPr>
          <w:rFonts w:cs="Times New Roman"/>
        </w:rPr>
        <w:t>B.</w:t>
      </w:r>
      <w:r w:rsidR="003120D9">
        <w:rPr>
          <w:rFonts w:cs="Times New Roman"/>
        </w:rPr>
        <w:t>4</w:t>
      </w:r>
      <w:r w:rsidR="003012FE" w:rsidRPr="00FD3029">
        <w:rPr>
          <w:rFonts w:cs="Times New Roman"/>
        </w:rPr>
        <w:tab/>
      </w:r>
      <w:r w:rsidR="003F7EAC">
        <w:rPr>
          <w:rFonts w:cs="Times New Roman"/>
        </w:rPr>
        <w:t>Increasing use of</w:t>
      </w:r>
      <w:r w:rsidR="003120D9">
        <w:rPr>
          <w:rFonts w:cs="Times New Roman"/>
        </w:rPr>
        <w:t xml:space="preserve"> binding approaches</w:t>
      </w:r>
    </w:p>
    <w:p w14:paraId="621BC0A9" w14:textId="77777777" w:rsidR="003012FE" w:rsidRPr="00FD3029" w:rsidRDefault="003012FE" w:rsidP="003012FE">
      <w:pPr>
        <w:jc w:val="both"/>
        <w:rPr>
          <w:rFonts w:cs="Times New Roman"/>
          <w:szCs w:val="24"/>
        </w:rPr>
      </w:pPr>
    </w:p>
    <w:p w14:paraId="5DBAF3AD" w14:textId="4E79280A" w:rsidR="003F7EAC" w:rsidRDefault="003F7EAC" w:rsidP="003F7EAC">
      <w:pPr>
        <w:jc w:val="both"/>
        <w:rPr>
          <w:rFonts w:cs="Times New Roman"/>
          <w:szCs w:val="24"/>
        </w:rPr>
      </w:pPr>
      <w:r>
        <w:rPr>
          <w:rFonts w:cs="Times New Roman"/>
          <w:szCs w:val="24"/>
        </w:rPr>
        <w:t xml:space="preserve">Many contributors have drawn attention to the limitations of voluntary commitments as a basis for ensuring remedy through non-State-based grievance mechanisms.  Recent years have seen the emergence of new approaches that are designed to give greater “teeth” to both the grievance mechanisms themselves, as well as the remedial outcomes of </w:t>
      </w:r>
      <w:r w:rsidR="00B93E3D">
        <w:rPr>
          <w:rFonts w:cs="Times New Roman"/>
          <w:szCs w:val="24"/>
        </w:rPr>
        <w:t xml:space="preserve">grievance </w:t>
      </w:r>
      <w:r>
        <w:rPr>
          <w:rFonts w:cs="Times New Roman"/>
          <w:szCs w:val="24"/>
        </w:rPr>
        <w:t>processes.  Examples</w:t>
      </w:r>
      <w:r w:rsidR="00B93E3D">
        <w:rPr>
          <w:rFonts w:cs="Times New Roman"/>
          <w:szCs w:val="24"/>
        </w:rPr>
        <w:t xml:space="preserve"> include:</w:t>
      </w:r>
    </w:p>
    <w:p w14:paraId="68231D58" w14:textId="1F7EC1E1" w:rsidR="003F7EAC" w:rsidRDefault="008F76BA" w:rsidP="003F7EAC">
      <w:pPr>
        <w:pStyle w:val="ListParagraph"/>
        <w:numPr>
          <w:ilvl w:val="0"/>
          <w:numId w:val="50"/>
        </w:numPr>
        <w:jc w:val="both"/>
        <w:rPr>
          <w:rFonts w:cs="Times New Roman"/>
          <w:szCs w:val="24"/>
        </w:rPr>
      </w:pPr>
      <w:r>
        <w:rPr>
          <w:rFonts w:cs="Times New Roman"/>
          <w:szCs w:val="24"/>
        </w:rPr>
        <w:t xml:space="preserve">where companies have entered legally binding commitments </w:t>
      </w:r>
      <w:r w:rsidR="004E1EB7">
        <w:rPr>
          <w:rFonts w:cs="Times New Roman"/>
          <w:szCs w:val="24"/>
        </w:rPr>
        <w:t xml:space="preserve">(a) </w:t>
      </w:r>
      <w:r>
        <w:rPr>
          <w:rFonts w:cs="Times New Roman"/>
          <w:szCs w:val="24"/>
        </w:rPr>
        <w:t xml:space="preserve">to </w:t>
      </w:r>
      <w:r w:rsidR="00824B50">
        <w:rPr>
          <w:rFonts w:cs="Times New Roman"/>
          <w:szCs w:val="24"/>
        </w:rPr>
        <w:t xml:space="preserve">resolve human rights-related </w:t>
      </w:r>
      <w:r>
        <w:rPr>
          <w:rFonts w:cs="Times New Roman"/>
          <w:szCs w:val="24"/>
        </w:rPr>
        <w:t>grievances</w:t>
      </w:r>
      <w:r w:rsidR="004E1EB7">
        <w:rPr>
          <w:rFonts w:cs="Times New Roman"/>
          <w:szCs w:val="24"/>
        </w:rPr>
        <w:t xml:space="preserve"> in a certain way a</w:t>
      </w:r>
      <w:r w:rsidR="00824B50">
        <w:rPr>
          <w:rFonts w:cs="Times New Roman"/>
          <w:szCs w:val="24"/>
        </w:rPr>
        <w:t>nd</w:t>
      </w:r>
      <w:r w:rsidR="004E1EB7">
        <w:rPr>
          <w:rFonts w:cs="Times New Roman"/>
          <w:szCs w:val="24"/>
        </w:rPr>
        <w:t>/or (b)</w:t>
      </w:r>
      <w:r w:rsidR="00824B50">
        <w:rPr>
          <w:rFonts w:cs="Times New Roman"/>
          <w:szCs w:val="24"/>
        </w:rPr>
        <w:t xml:space="preserve"> to abide by the determinations of </w:t>
      </w:r>
      <w:r w:rsidR="004E1EB7">
        <w:rPr>
          <w:rFonts w:cs="Times New Roman"/>
          <w:szCs w:val="24"/>
        </w:rPr>
        <w:t xml:space="preserve">a </w:t>
      </w:r>
      <w:r>
        <w:rPr>
          <w:rFonts w:cs="Times New Roman"/>
          <w:szCs w:val="24"/>
        </w:rPr>
        <w:t>specified grievance process</w:t>
      </w:r>
      <w:r w:rsidR="00824B50">
        <w:rPr>
          <w:rFonts w:cs="Times New Roman"/>
          <w:szCs w:val="24"/>
        </w:rPr>
        <w:t xml:space="preserve"> </w:t>
      </w:r>
      <w:r w:rsidR="00B93E3D">
        <w:rPr>
          <w:rFonts w:cs="Times New Roman"/>
          <w:szCs w:val="24"/>
        </w:rPr>
        <w:t xml:space="preserve"> (e.g., for companies participating in a multi-stakeholder initiative</w:t>
      </w:r>
      <w:r w:rsidR="004E1EB7">
        <w:rPr>
          <w:rFonts w:cs="Times New Roman"/>
          <w:szCs w:val="24"/>
        </w:rPr>
        <w:t xml:space="preserve"> or </w:t>
      </w:r>
      <w:r w:rsidR="0018458B">
        <w:rPr>
          <w:rFonts w:cs="Times New Roman"/>
          <w:szCs w:val="24"/>
        </w:rPr>
        <w:t xml:space="preserve">a </w:t>
      </w:r>
      <w:r w:rsidR="004E1EB7">
        <w:rPr>
          <w:rFonts w:cs="Times New Roman"/>
          <w:szCs w:val="24"/>
        </w:rPr>
        <w:t>certification scheme</w:t>
      </w:r>
      <w:r w:rsidR="00B93E3D">
        <w:rPr>
          <w:rFonts w:cs="Times New Roman"/>
          <w:szCs w:val="24"/>
        </w:rPr>
        <w:t>)</w:t>
      </w:r>
      <w:r w:rsidR="003F7EAC">
        <w:rPr>
          <w:rFonts w:cs="Times New Roman"/>
          <w:szCs w:val="24"/>
        </w:rPr>
        <w:t>;</w:t>
      </w:r>
    </w:p>
    <w:p w14:paraId="2841AF36" w14:textId="7E911783" w:rsidR="003F7EAC" w:rsidRDefault="003F7EAC" w:rsidP="003F7EAC">
      <w:pPr>
        <w:pStyle w:val="ListParagraph"/>
        <w:numPr>
          <w:ilvl w:val="0"/>
          <w:numId w:val="50"/>
        </w:numPr>
        <w:jc w:val="both"/>
        <w:rPr>
          <w:rFonts w:cs="Times New Roman"/>
          <w:szCs w:val="24"/>
        </w:rPr>
      </w:pPr>
      <w:r>
        <w:rPr>
          <w:rFonts w:cs="Times New Roman"/>
          <w:szCs w:val="24"/>
        </w:rPr>
        <w:t xml:space="preserve">making legal provision for the possibility of arbitration of disputes </w:t>
      </w:r>
      <w:r w:rsidR="003D10DB">
        <w:rPr>
          <w:rFonts w:cs="Times New Roman"/>
          <w:szCs w:val="24"/>
        </w:rPr>
        <w:t xml:space="preserve">in case that </w:t>
      </w:r>
      <w:r>
        <w:rPr>
          <w:rFonts w:cs="Times New Roman"/>
          <w:szCs w:val="24"/>
        </w:rPr>
        <w:t>(a) dialogue-based processes (e.g. mediation) do not yield mutually</w:t>
      </w:r>
      <w:r w:rsidR="003D10DB">
        <w:rPr>
          <w:rFonts w:cs="Times New Roman"/>
          <w:szCs w:val="24"/>
        </w:rPr>
        <w:t>-</w:t>
      </w:r>
      <w:r>
        <w:rPr>
          <w:rFonts w:cs="Times New Roman"/>
          <w:szCs w:val="24"/>
        </w:rPr>
        <w:t>acceptable outcomes</w:t>
      </w:r>
      <w:r w:rsidR="003D10DB">
        <w:rPr>
          <w:rFonts w:cs="Times New Roman"/>
          <w:szCs w:val="24"/>
        </w:rPr>
        <w:t>,</w:t>
      </w:r>
      <w:r>
        <w:rPr>
          <w:rFonts w:cs="Times New Roman"/>
          <w:szCs w:val="24"/>
        </w:rPr>
        <w:t xml:space="preserve"> or (b) a party to a dispute wishes to appeal an initial determination; and</w:t>
      </w:r>
    </w:p>
    <w:p w14:paraId="7AEB7A6A" w14:textId="77777777" w:rsidR="003F7EAC" w:rsidRDefault="003F7EAC" w:rsidP="003F7EAC">
      <w:pPr>
        <w:pStyle w:val="ListParagraph"/>
        <w:numPr>
          <w:ilvl w:val="0"/>
          <w:numId w:val="50"/>
        </w:numPr>
        <w:jc w:val="both"/>
        <w:rPr>
          <w:rFonts w:cs="Times New Roman"/>
          <w:szCs w:val="24"/>
        </w:rPr>
      </w:pPr>
      <w:r>
        <w:rPr>
          <w:rFonts w:cs="Times New Roman"/>
          <w:szCs w:val="24"/>
        </w:rPr>
        <w:t>expressing remedial settlements in the form of legally enforceable agreements.</w:t>
      </w:r>
    </w:p>
    <w:p w14:paraId="36C41F82" w14:textId="77777777" w:rsidR="003F7EAC" w:rsidRDefault="003F7EAC" w:rsidP="003F7EAC">
      <w:pPr>
        <w:jc w:val="both"/>
        <w:rPr>
          <w:rFonts w:cs="Times New Roman"/>
          <w:szCs w:val="24"/>
        </w:rPr>
      </w:pPr>
    </w:p>
    <w:p w14:paraId="1CF98064" w14:textId="41181099" w:rsidR="003F7EAC" w:rsidRDefault="00BC251A" w:rsidP="00BC251A">
      <w:pPr>
        <w:jc w:val="both"/>
        <w:rPr>
          <w:rFonts w:cs="Times New Roman"/>
          <w:szCs w:val="24"/>
        </w:rPr>
      </w:pPr>
      <w:r>
        <w:rPr>
          <w:rFonts w:cs="Times New Roman"/>
          <w:szCs w:val="24"/>
        </w:rPr>
        <w:t xml:space="preserve">A number of contributors have highlighted the difficulties in achieving corporate “buy-in” to binding approaches in practice.  </w:t>
      </w:r>
      <w:r w:rsidR="003D10DB">
        <w:rPr>
          <w:rFonts w:cs="Times New Roman"/>
          <w:szCs w:val="24"/>
        </w:rPr>
        <w:t>However,</w:t>
      </w:r>
      <w:r w:rsidR="004E1EB7">
        <w:rPr>
          <w:rFonts w:cs="Times New Roman"/>
          <w:szCs w:val="24"/>
        </w:rPr>
        <w:t xml:space="preserve"> discussions with experts have helped to clarify </w:t>
      </w:r>
      <w:r w:rsidR="00873BB6">
        <w:rPr>
          <w:rFonts w:cs="Times New Roman"/>
          <w:szCs w:val="24"/>
        </w:rPr>
        <w:t xml:space="preserve">the contexts in which </w:t>
      </w:r>
      <w:r>
        <w:rPr>
          <w:rFonts w:cs="Times New Roman"/>
          <w:szCs w:val="24"/>
        </w:rPr>
        <w:t xml:space="preserve">binding approaches are most likely to be used.  Typically, these are contexts in which there are significant </w:t>
      </w:r>
      <w:r w:rsidR="003D10DB">
        <w:rPr>
          <w:rFonts w:cs="Times New Roman"/>
          <w:szCs w:val="24"/>
        </w:rPr>
        <w:t xml:space="preserve">reputational drivers or </w:t>
      </w:r>
      <w:r>
        <w:rPr>
          <w:rFonts w:cs="Times New Roman"/>
          <w:szCs w:val="24"/>
        </w:rPr>
        <w:t xml:space="preserve">market incentives to participate in a particular scheme (e.g. a certification scheme </w:t>
      </w:r>
      <w:r w:rsidR="00E3185F" w:rsidRPr="00452531">
        <w:rPr>
          <w:rFonts w:cs="Times New Roman"/>
          <w:szCs w:val="24"/>
        </w:rPr>
        <w:t>whereby companies with abusive practices are excluded from markets</w:t>
      </w:r>
      <w:r w:rsidR="00024770">
        <w:rPr>
          <w:rFonts w:cs="Times New Roman"/>
          <w:szCs w:val="24"/>
        </w:rPr>
        <w:t>)</w:t>
      </w:r>
      <w:r>
        <w:rPr>
          <w:rFonts w:cs="Times New Roman"/>
          <w:szCs w:val="24"/>
        </w:rPr>
        <w:t xml:space="preserve">.  Within these schemes, the use of an “arbitration backstop” </w:t>
      </w:r>
      <w:r w:rsidR="004F39AF">
        <w:rPr>
          <w:rFonts w:cs="Times New Roman"/>
          <w:szCs w:val="24"/>
        </w:rPr>
        <w:t>is recognised as</w:t>
      </w:r>
      <w:r w:rsidR="006275BC">
        <w:rPr>
          <w:rFonts w:cs="Times New Roman"/>
          <w:szCs w:val="24"/>
        </w:rPr>
        <w:t xml:space="preserve"> </w:t>
      </w:r>
      <w:r>
        <w:rPr>
          <w:rFonts w:cs="Times New Roman"/>
          <w:szCs w:val="24"/>
        </w:rPr>
        <w:t>a</w:t>
      </w:r>
      <w:r w:rsidR="00514311">
        <w:rPr>
          <w:rFonts w:cs="Times New Roman"/>
          <w:szCs w:val="24"/>
        </w:rPr>
        <w:t>n important</w:t>
      </w:r>
      <w:r>
        <w:rPr>
          <w:rFonts w:cs="Times New Roman"/>
          <w:szCs w:val="24"/>
        </w:rPr>
        <w:t xml:space="preserve"> feature</w:t>
      </w:r>
      <w:r w:rsidR="000715BF">
        <w:rPr>
          <w:rFonts w:cs="Times New Roman"/>
          <w:szCs w:val="24"/>
        </w:rPr>
        <w:t xml:space="preserve">.  </w:t>
      </w:r>
      <w:r w:rsidR="004F39AF">
        <w:rPr>
          <w:rFonts w:cs="Times New Roman"/>
          <w:szCs w:val="24"/>
        </w:rPr>
        <w:t>Arbitration practitioners</w:t>
      </w:r>
      <w:r w:rsidR="003F7EAC">
        <w:rPr>
          <w:rFonts w:cs="Times New Roman"/>
          <w:szCs w:val="24"/>
        </w:rPr>
        <w:t xml:space="preserve"> have highlighted </w:t>
      </w:r>
      <w:r w:rsidR="004F39AF">
        <w:rPr>
          <w:rFonts w:cs="Times New Roman"/>
          <w:szCs w:val="24"/>
        </w:rPr>
        <w:t>the value of ultimate</w:t>
      </w:r>
      <w:r w:rsidR="006275BC">
        <w:rPr>
          <w:rFonts w:cs="Times New Roman"/>
          <w:szCs w:val="24"/>
        </w:rPr>
        <w:t xml:space="preserve"> </w:t>
      </w:r>
      <w:r>
        <w:rPr>
          <w:rFonts w:cs="Times New Roman"/>
          <w:szCs w:val="24"/>
        </w:rPr>
        <w:t xml:space="preserve">recourse to </w:t>
      </w:r>
      <w:r w:rsidR="00514311">
        <w:rPr>
          <w:rFonts w:cs="Times New Roman"/>
          <w:szCs w:val="24"/>
        </w:rPr>
        <w:t xml:space="preserve">binding </w:t>
      </w:r>
      <w:r>
        <w:rPr>
          <w:rFonts w:cs="Times New Roman"/>
          <w:szCs w:val="24"/>
        </w:rPr>
        <w:t xml:space="preserve">arbitration </w:t>
      </w:r>
      <w:r w:rsidR="004F39AF">
        <w:rPr>
          <w:rFonts w:cs="Times New Roman"/>
          <w:szCs w:val="24"/>
        </w:rPr>
        <w:t xml:space="preserve">as a way of giving </w:t>
      </w:r>
      <w:r w:rsidR="009A50F7">
        <w:rPr>
          <w:rFonts w:cs="Times New Roman"/>
          <w:szCs w:val="24"/>
        </w:rPr>
        <w:t>additional impetus to</w:t>
      </w:r>
      <w:r w:rsidR="004F39AF">
        <w:rPr>
          <w:rFonts w:cs="Times New Roman"/>
          <w:szCs w:val="24"/>
        </w:rPr>
        <w:t xml:space="preserve"> attempts to resolve grievances through </w:t>
      </w:r>
      <w:r w:rsidR="003F7EAC">
        <w:rPr>
          <w:rFonts w:cs="Times New Roman"/>
          <w:szCs w:val="24"/>
        </w:rPr>
        <w:t>mediation processes.</w:t>
      </w:r>
    </w:p>
    <w:p w14:paraId="4720A756" w14:textId="77777777" w:rsidR="001234D5" w:rsidRDefault="001234D5" w:rsidP="001234D5">
      <w:pPr>
        <w:jc w:val="both"/>
        <w:rPr>
          <w:rFonts w:cs="Times New Roman"/>
          <w:szCs w:val="24"/>
        </w:rPr>
      </w:pPr>
    </w:p>
    <w:tbl>
      <w:tblPr>
        <w:tblStyle w:val="TableGrid"/>
        <w:tblW w:w="0" w:type="auto"/>
        <w:tblLook w:val="04A0" w:firstRow="1" w:lastRow="0" w:firstColumn="1" w:lastColumn="0" w:noHBand="0" w:noVBand="1"/>
      </w:tblPr>
      <w:tblGrid>
        <w:gridCol w:w="9016"/>
      </w:tblGrid>
      <w:tr w:rsidR="001234D5" w:rsidRPr="00FD3029" w14:paraId="7477E580" w14:textId="77777777" w:rsidTr="00651E35">
        <w:trPr>
          <w:trHeight w:val="841"/>
        </w:trPr>
        <w:tc>
          <w:tcPr>
            <w:tcW w:w="9016" w:type="dxa"/>
            <w:shd w:val="clear" w:color="auto" w:fill="DEEAF6" w:themeFill="accent1" w:themeFillTint="33"/>
          </w:tcPr>
          <w:p w14:paraId="4AC05FC4" w14:textId="77777777" w:rsidR="001234D5" w:rsidRDefault="001234D5" w:rsidP="00651E35">
            <w:pPr>
              <w:jc w:val="both"/>
              <w:rPr>
                <w:rFonts w:cs="Times New Roman"/>
                <w:b/>
                <w:i/>
                <w:szCs w:val="24"/>
              </w:rPr>
            </w:pPr>
            <w:r>
              <w:rPr>
                <w:rFonts w:cs="Times New Roman"/>
                <w:b/>
                <w:i/>
                <w:szCs w:val="24"/>
              </w:rPr>
              <w:t>Discussion Questions</w:t>
            </w:r>
          </w:p>
          <w:p w14:paraId="5126ADA8" w14:textId="77777777" w:rsidR="001234D5" w:rsidRDefault="001234D5" w:rsidP="00651E35">
            <w:pPr>
              <w:pStyle w:val="ListParagraph"/>
              <w:numPr>
                <w:ilvl w:val="0"/>
                <w:numId w:val="49"/>
              </w:numPr>
              <w:jc w:val="both"/>
              <w:rPr>
                <w:rFonts w:cs="Times New Roman"/>
                <w:szCs w:val="24"/>
              </w:rPr>
            </w:pPr>
            <w:r w:rsidRPr="00BD52E4">
              <w:rPr>
                <w:rFonts w:cs="Times New Roman"/>
                <w:szCs w:val="24"/>
              </w:rPr>
              <w:t>Do you agree with the observations made in this section?  If not, why not?</w:t>
            </w:r>
          </w:p>
          <w:p w14:paraId="53E0DC7F" w14:textId="77777777" w:rsidR="001234D5" w:rsidRPr="00BD52E4" w:rsidRDefault="001234D5" w:rsidP="00651E35">
            <w:pPr>
              <w:pStyle w:val="ListParagraph"/>
              <w:numPr>
                <w:ilvl w:val="0"/>
                <w:numId w:val="49"/>
              </w:numPr>
              <w:jc w:val="both"/>
              <w:rPr>
                <w:rFonts w:cs="Times New Roman"/>
                <w:szCs w:val="24"/>
              </w:rPr>
            </w:pPr>
            <w:r w:rsidRPr="00BD52E4">
              <w:rPr>
                <w:rFonts w:cs="Times New Roman"/>
                <w:szCs w:val="24"/>
              </w:rPr>
              <w:t>Are there any further issues, challenges, trends</w:t>
            </w:r>
            <w:r>
              <w:rPr>
                <w:rFonts w:cs="Times New Roman"/>
                <w:szCs w:val="24"/>
              </w:rPr>
              <w:t>,</w:t>
            </w:r>
            <w:r w:rsidRPr="00BD52E4">
              <w:rPr>
                <w:rFonts w:cs="Times New Roman"/>
                <w:szCs w:val="24"/>
              </w:rPr>
              <w:t xml:space="preserve"> or opportunities that you would like to bring to the attention of the ARP III team?  If so, what are these?</w:t>
            </w:r>
          </w:p>
        </w:tc>
      </w:tr>
    </w:tbl>
    <w:p w14:paraId="2ABF3EB7" w14:textId="6FD1D621" w:rsidR="003012FE" w:rsidRDefault="003012FE" w:rsidP="00FE727F"/>
    <w:p w14:paraId="05D5C9C7" w14:textId="77777777" w:rsidR="003012FE" w:rsidRPr="00FD3029" w:rsidRDefault="003012FE" w:rsidP="00FE727F"/>
    <w:p w14:paraId="75AA7BDB" w14:textId="77777777" w:rsidR="004254BF" w:rsidRPr="00FD3029" w:rsidRDefault="00FE727F" w:rsidP="00FE727F">
      <w:pPr>
        <w:pStyle w:val="Heading3"/>
        <w:spacing w:before="0"/>
        <w:ind w:left="1439" w:hanging="645"/>
        <w:rPr>
          <w:rFonts w:cs="Times New Roman"/>
        </w:rPr>
      </w:pPr>
      <w:r w:rsidRPr="00FD3029">
        <w:rPr>
          <w:rFonts w:cs="Times New Roman"/>
        </w:rPr>
        <w:t>B.</w:t>
      </w:r>
      <w:r w:rsidR="0030104B">
        <w:rPr>
          <w:rFonts w:cs="Times New Roman"/>
        </w:rPr>
        <w:t>5</w:t>
      </w:r>
      <w:r w:rsidRPr="00FD3029">
        <w:rPr>
          <w:rFonts w:cs="Times New Roman"/>
        </w:rPr>
        <w:tab/>
      </w:r>
      <w:r w:rsidR="004254BF" w:rsidRPr="00FD3029">
        <w:rPr>
          <w:rFonts w:cs="Times New Roman"/>
        </w:rPr>
        <w:t>Rapid growth in technologies with the potential to improve accessibility, efficiency</w:t>
      </w:r>
      <w:r w:rsidR="00273DB6">
        <w:rPr>
          <w:rFonts w:cs="Times New Roman"/>
        </w:rPr>
        <w:t>,</w:t>
      </w:r>
      <w:r w:rsidR="004254BF" w:rsidRPr="00FD3029">
        <w:rPr>
          <w:rFonts w:cs="Times New Roman"/>
        </w:rPr>
        <w:t xml:space="preserve"> and user experiences of grievance mechanisms</w:t>
      </w:r>
    </w:p>
    <w:p w14:paraId="285E72FA" w14:textId="77777777" w:rsidR="00BD53DC" w:rsidRPr="00FD3029" w:rsidRDefault="00BD53DC" w:rsidP="00BD53DC">
      <w:pPr>
        <w:jc w:val="both"/>
        <w:rPr>
          <w:rFonts w:cs="Times New Roman"/>
          <w:szCs w:val="24"/>
        </w:rPr>
      </w:pPr>
    </w:p>
    <w:p w14:paraId="4A6DA262" w14:textId="5EC838BC" w:rsidR="00514311" w:rsidRDefault="00D124FB" w:rsidP="00BD53DC">
      <w:pPr>
        <w:jc w:val="both"/>
        <w:rPr>
          <w:rFonts w:cs="Times New Roman"/>
          <w:szCs w:val="24"/>
        </w:rPr>
      </w:pPr>
      <w:r>
        <w:rPr>
          <w:rFonts w:cs="Times New Roman"/>
          <w:szCs w:val="24"/>
        </w:rPr>
        <w:t xml:space="preserve">Contributors </w:t>
      </w:r>
      <w:r w:rsidR="00A82089">
        <w:rPr>
          <w:rFonts w:cs="Times New Roman"/>
          <w:szCs w:val="24"/>
        </w:rPr>
        <w:t>have drawn attention to many ways in which new technologies can be used to facilitate access to non-State-based remedy, for instance through helping document abuses, managing and keeping track of cases, and allowing anonymized communication.</w:t>
      </w:r>
      <w:r w:rsidR="004254BF" w:rsidRPr="00FD3029">
        <w:rPr>
          <w:rFonts w:cs="Times New Roman"/>
          <w:szCs w:val="24"/>
        </w:rPr>
        <w:t xml:space="preserve">  </w:t>
      </w:r>
      <w:r w:rsidR="00A82089">
        <w:rPr>
          <w:rFonts w:cs="Times New Roman"/>
          <w:szCs w:val="24"/>
        </w:rPr>
        <w:t xml:space="preserve">Such </w:t>
      </w:r>
      <w:r w:rsidR="004254BF" w:rsidRPr="00FD3029">
        <w:rPr>
          <w:rFonts w:cs="Times New Roman"/>
          <w:szCs w:val="24"/>
        </w:rPr>
        <w:t xml:space="preserve">technologies </w:t>
      </w:r>
      <w:r>
        <w:rPr>
          <w:rFonts w:cs="Times New Roman"/>
          <w:szCs w:val="24"/>
        </w:rPr>
        <w:t>have</w:t>
      </w:r>
      <w:r w:rsidR="00AD1093">
        <w:rPr>
          <w:rFonts w:cs="Times New Roman"/>
          <w:szCs w:val="24"/>
        </w:rPr>
        <w:t>, among other things,</w:t>
      </w:r>
    </w:p>
    <w:p w14:paraId="48C3DBFD" w14:textId="682786E3" w:rsidR="00DF0BA5" w:rsidRDefault="00514311" w:rsidP="00273DB6">
      <w:pPr>
        <w:pStyle w:val="ListParagraph"/>
        <w:numPr>
          <w:ilvl w:val="0"/>
          <w:numId w:val="51"/>
        </w:numPr>
        <w:jc w:val="both"/>
        <w:rPr>
          <w:rFonts w:cs="Times New Roman"/>
          <w:szCs w:val="24"/>
        </w:rPr>
      </w:pPr>
      <w:r>
        <w:rPr>
          <w:rFonts w:cs="Times New Roman"/>
          <w:szCs w:val="24"/>
        </w:rPr>
        <w:t xml:space="preserve">provided </w:t>
      </w:r>
      <w:r w:rsidR="00DF0BA5">
        <w:rPr>
          <w:rFonts w:cs="Times New Roman"/>
          <w:szCs w:val="24"/>
        </w:rPr>
        <w:t xml:space="preserve">a means through which people can securely </w:t>
      </w:r>
      <w:r w:rsidR="00231EA4">
        <w:rPr>
          <w:rFonts w:cs="Times New Roman"/>
          <w:szCs w:val="24"/>
        </w:rPr>
        <w:t xml:space="preserve">share information in a </w:t>
      </w:r>
      <w:r w:rsidR="00DF0BA5">
        <w:rPr>
          <w:rFonts w:cs="Times New Roman"/>
          <w:szCs w:val="24"/>
        </w:rPr>
        <w:t xml:space="preserve">format that can be </w:t>
      </w:r>
      <w:r w:rsidR="00372074">
        <w:rPr>
          <w:rFonts w:cs="Times New Roman"/>
          <w:szCs w:val="24"/>
        </w:rPr>
        <w:t xml:space="preserve">readily </w:t>
      </w:r>
      <w:r w:rsidR="00DF0BA5">
        <w:rPr>
          <w:rFonts w:cs="Times New Roman"/>
          <w:szCs w:val="24"/>
        </w:rPr>
        <w:t xml:space="preserve">used in </w:t>
      </w:r>
      <w:r w:rsidR="00231EA4">
        <w:rPr>
          <w:rFonts w:cs="Times New Roman"/>
          <w:szCs w:val="24"/>
        </w:rPr>
        <w:t xml:space="preserve">grievance </w:t>
      </w:r>
      <w:r w:rsidR="00DF0BA5">
        <w:rPr>
          <w:rFonts w:cs="Times New Roman"/>
          <w:szCs w:val="24"/>
        </w:rPr>
        <w:t>processes</w:t>
      </w:r>
      <w:r w:rsidR="00231EA4">
        <w:rPr>
          <w:rFonts w:cs="Times New Roman"/>
          <w:szCs w:val="24"/>
        </w:rPr>
        <w:t xml:space="preserve"> (e.g., encrypted, geo-located</w:t>
      </w:r>
      <w:r w:rsidR="0015400E">
        <w:rPr>
          <w:rFonts w:cs="Times New Roman"/>
          <w:szCs w:val="24"/>
        </w:rPr>
        <w:t>,</w:t>
      </w:r>
      <w:r w:rsidR="00231EA4">
        <w:rPr>
          <w:rFonts w:cs="Times New Roman"/>
          <w:szCs w:val="24"/>
        </w:rPr>
        <w:t xml:space="preserve"> and time-stamped videos)</w:t>
      </w:r>
      <w:r w:rsidR="00DF0BA5">
        <w:rPr>
          <w:rFonts w:cs="Times New Roman"/>
          <w:szCs w:val="24"/>
        </w:rPr>
        <w:t>;</w:t>
      </w:r>
    </w:p>
    <w:p w14:paraId="1CDB6748" w14:textId="531E86BC" w:rsidR="00372074" w:rsidRDefault="00372074" w:rsidP="00273DB6">
      <w:pPr>
        <w:pStyle w:val="ListParagraph"/>
        <w:numPr>
          <w:ilvl w:val="0"/>
          <w:numId w:val="51"/>
        </w:numPr>
        <w:jc w:val="both"/>
        <w:rPr>
          <w:rFonts w:cs="Times New Roman"/>
          <w:szCs w:val="24"/>
        </w:rPr>
      </w:pPr>
      <w:r>
        <w:rPr>
          <w:rFonts w:cs="Times New Roman"/>
          <w:szCs w:val="24"/>
        </w:rPr>
        <w:t xml:space="preserve">provided the means through which affected </w:t>
      </w:r>
      <w:r w:rsidR="00AD1093">
        <w:rPr>
          <w:rFonts w:cs="Times New Roman"/>
          <w:szCs w:val="24"/>
        </w:rPr>
        <w:t>individuals</w:t>
      </w:r>
      <w:r>
        <w:rPr>
          <w:rFonts w:cs="Times New Roman"/>
          <w:szCs w:val="24"/>
        </w:rPr>
        <w:t xml:space="preserve"> can find</w:t>
      </w:r>
      <w:r w:rsidR="00231EA4">
        <w:rPr>
          <w:rFonts w:cs="Times New Roman"/>
          <w:szCs w:val="24"/>
        </w:rPr>
        <w:t>,</w:t>
      </w:r>
      <w:r>
        <w:rPr>
          <w:rFonts w:cs="Times New Roman"/>
          <w:szCs w:val="24"/>
        </w:rPr>
        <w:t xml:space="preserve"> </w:t>
      </w:r>
      <w:r w:rsidR="00AD1093">
        <w:rPr>
          <w:rFonts w:cs="Times New Roman"/>
          <w:szCs w:val="24"/>
        </w:rPr>
        <w:t>support</w:t>
      </w:r>
      <w:r w:rsidR="00231EA4">
        <w:rPr>
          <w:rFonts w:cs="Times New Roman"/>
          <w:szCs w:val="24"/>
        </w:rPr>
        <w:t>, and coordinate with</w:t>
      </w:r>
      <w:r w:rsidR="00AD1093">
        <w:rPr>
          <w:rFonts w:cs="Times New Roman"/>
          <w:szCs w:val="24"/>
        </w:rPr>
        <w:t xml:space="preserve"> </w:t>
      </w:r>
      <w:r>
        <w:rPr>
          <w:rFonts w:cs="Times New Roman"/>
          <w:szCs w:val="24"/>
        </w:rPr>
        <w:t>each other, thereby improving the prospects for (and impact of) group action;</w:t>
      </w:r>
    </w:p>
    <w:p w14:paraId="2815FDFD" w14:textId="5807712D" w:rsidR="005C6D5D" w:rsidRDefault="00372074" w:rsidP="00273DB6">
      <w:pPr>
        <w:pStyle w:val="ListParagraph"/>
        <w:numPr>
          <w:ilvl w:val="0"/>
          <w:numId w:val="51"/>
        </w:numPr>
        <w:jc w:val="both"/>
        <w:rPr>
          <w:rFonts w:cs="Times New Roman"/>
          <w:szCs w:val="24"/>
        </w:rPr>
      </w:pPr>
      <w:r>
        <w:rPr>
          <w:rFonts w:cs="Times New Roman"/>
          <w:szCs w:val="24"/>
        </w:rPr>
        <w:t xml:space="preserve">provided tools through which </w:t>
      </w:r>
      <w:r w:rsidR="00AD1093">
        <w:rPr>
          <w:rFonts w:cs="Times New Roman"/>
          <w:szCs w:val="24"/>
        </w:rPr>
        <w:t xml:space="preserve">communities can communicate speedily with legal counsel and supporting civil society organisations (see C.6); </w:t>
      </w:r>
    </w:p>
    <w:p w14:paraId="6EBD9BAA" w14:textId="2B22457E" w:rsidR="005C6D5D" w:rsidRPr="005C6D5D" w:rsidRDefault="005C6D5D" w:rsidP="00273DB6">
      <w:pPr>
        <w:pStyle w:val="ListParagraph"/>
        <w:numPr>
          <w:ilvl w:val="0"/>
          <w:numId w:val="51"/>
        </w:numPr>
        <w:jc w:val="both"/>
        <w:rPr>
          <w:rFonts w:cs="Times New Roman"/>
          <w:szCs w:val="24"/>
        </w:rPr>
      </w:pPr>
      <w:r w:rsidRPr="005C6D5D">
        <w:t xml:space="preserve">provided means through which </w:t>
      </w:r>
      <w:r w:rsidR="00A94CDE">
        <w:t>persons</w:t>
      </w:r>
      <w:r w:rsidR="00A94CDE" w:rsidRPr="005C6D5D">
        <w:t xml:space="preserve"> </w:t>
      </w:r>
      <w:r w:rsidRPr="005C6D5D">
        <w:t xml:space="preserve">with disabilities can more easily access grievance mechanisms, for instance through </w:t>
      </w:r>
      <w:r w:rsidR="00A94CDE">
        <w:t>features</w:t>
      </w:r>
      <w:r w:rsidRPr="005C6D5D">
        <w:t xml:space="preserve"> for </w:t>
      </w:r>
      <w:r w:rsidR="00A94CDE">
        <w:t>those with reduced sight, hearing, or mobility;</w:t>
      </w:r>
    </w:p>
    <w:p w14:paraId="7B09B0E8" w14:textId="15151855" w:rsidR="00AD1093" w:rsidRPr="00A94CDE" w:rsidRDefault="00A94CDE" w:rsidP="00A94CDE">
      <w:pPr>
        <w:pStyle w:val="ListParagraph"/>
        <w:numPr>
          <w:ilvl w:val="0"/>
          <w:numId w:val="51"/>
        </w:numPr>
        <w:jc w:val="both"/>
        <w:rPr>
          <w:rFonts w:cs="Times New Roman"/>
          <w:szCs w:val="24"/>
        </w:rPr>
      </w:pPr>
      <w:r w:rsidRPr="00A94CDE">
        <w:rPr>
          <w:rFonts w:cs="Times New Roman"/>
          <w:szCs w:val="24"/>
        </w:rPr>
        <w:t>increased the speed with which problems can be brought to the attention of managers (e.g. through “worker voice” systems);</w:t>
      </w:r>
    </w:p>
    <w:p w14:paraId="3DD4A0B4" w14:textId="6A25BB17" w:rsidR="00A94CDE" w:rsidRDefault="00AD1093" w:rsidP="00273DB6">
      <w:pPr>
        <w:pStyle w:val="ListParagraph"/>
        <w:numPr>
          <w:ilvl w:val="0"/>
          <w:numId w:val="51"/>
        </w:numPr>
        <w:jc w:val="both"/>
        <w:rPr>
          <w:rFonts w:cs="Times New Roman"/>
          <w:szCs w:val="24"/>
        </w:rPr>
      </w:pPr>
      <w:r>
        <w:rPr>
          <w:rFonts w:cs="Times New Roman"/>
          <w:szCs w:val="24"/>
        </w:rPr>
        <w:t xml:space="preserve">enabled </w:t>
      </w:r>
      <w:r w:rsidR="00231EA4">
        <w:rPr>
          <w:rFonts w:cs="Times New Roman"/>
          <w:szCs w:val="24"/>
        </w:rPr>
        <w:t>grievance mechanism admini</w:t>
      </w:r>
      <w:r w:rsidR="005C6D5D">
        <w:rPr>
          <w:rFonts w:cs="Times New Roman"/>
          <w:szCs w:val="24"/>
        </w:rPr>
        <w:t>strators</w:t>
      </w:r>
      <w:r w:rsidR="00231EA4">
        <w:rPr>
          <w:rFonts w:cs="Times New Roman"/>
          <w:szCs w:val="24"/>
        </w:rPr>
        <w:t xml:space="preserve"> </w:t>
      </w:r>
      <w:r>
        <w:rPr>
          <w:rFonts w:cs="Times New Roman"/>
          <w:szCs w:val="24"/>
        </w:rPr>
        <w:t>to efficiently gather, securely store</w:t>
      </w:r>
      <w:r w:rsidR="005C6D5D">
        <w:rPr>
          <w:rFonts w:cs="Times New Roman"/>
          <w:szCs w:val="24"/>
        </w:rPr>
        <w:t>,</w:t>
      </w:r>
      <w:r>
        <w:rPr>
          <w:rFonts w:cs="Times New Roman"/>
          <w:szCs w:val="24"/>
        </w:rPr>
        <w:t xml:space="preserve"> and quickly analyse data relating to </w:t>
      </w:r>
      <w:r w:rsidR="00A94CDE">
        <w:rPr>
          <w:rFonts w:cs="Times New Roman"/>
          <w:szCs w:val="24"/>
        </w:rPr>
        <w:t xml:space="preserve">reported grievances </w:t>
      </w:r>
      <w:r>
        <w:rPr>
          <w:rFonts w:cs="Times New Roman"/>
          <w:szCs w:val="24"/>
        </w:rPr>
        <w:t>(e.g. among workers in factories)</w:t>
      </w:r>
      <w:r w:rsidR="00A94CDE">
        <w:rPr>
          <w:rFonts w:cs="Times New Roman"/>
          <w:szCs w:val="24"/>
        </w:rPr>
        <w:t>; and</w:t>
      </w:r>
    </w:p>
    <w:p w14:paraId="2125ECF0" w14:textId="77777777" w:rsidR="004254BF" w:rsidRPr="00514311" w:rsidRDefault="00A94CDE" w:rsidP="00A94CDE">
      <w:pPr>
        <w:pStyle w:val="ListParagraph"/>
        <w:numPr>
          <w:ilvl w:val="0"/>
          <w:numId w:val="51"/>
        </w:numPr>
        <w:jc w:val="both"/>
        <w:rPr>
          <w:rFonts w:cs="Times New Roman"/>
          <w:szCs w:val="24"/>
        </w:rPr>
      </w:pPr>
      <w:r>
        <w:rPr>
          <w:rFonts w:cs="Times New Roman"/>
          <w:szCs w:val="24"/>
        </w:rPr>
        <w:t xml:space="preserve">provided analytics of </w:t>
      </w:r>
      <w:r w:rsidRPr="00A94CDE">
        <w:rPr>
          <w:rFonts w:cs="Times New Roman"/>
          <w:szCs w:val="24"/>
        </w:rPr>
        <w:t xml:space="preserve">trends and patterns in complaints, </w:t>
      </w:r>
      <w:r>
        <w:rPr>
          <w:rFonts w:cs="Times New Roman"/>
          <w:szCs w:val="24"/>
        </w:rPr>
        <w:t xml:space="preserve">allowing </w:t>
      </w:r>
      <w:r w:rsidRPr="00A94CDE">
        <w:rPr>
          <w:rFonts w:cs="Times New Roman"/>
          <w:szCs w:val="24"/>
        </w:rPr>
        <w:t xml:space="preserve">business enterprises </w:t>
      </w:r>
      <w:r>
        <w:rPr>
          <w:rFonts w:cs="Times New Roman"/>
          <w:szCs w:val="24"/>
        </w:rPr>
        <w:t xml:space="preserve">to more easily </w:t>
      </w:r>
      <w:r w:rsidRPr="00A94CDE">
        <w:rPr>
          <w:rFonts w:cs="Times New Roman"/>
          <w:szCs w:val="24"/>
        </w:rPr>
        <w:t>identify systemic problems and adapt their practices accordingly</w:t>
      </w:r>
      <w:r w:rsidR="00AD1093">
        <w:rPr>
          <w:rFonts w:cs="Times New Roman"/>
          <w:szCs w:val="24"/>
        </w:rPr>
        <w:t>.</w:t>
      </w:r>
    </w:p>
    <w:p w14:paraId="46FF7AF8" w14:textId="77777777" w:rsidR="00BD53DC" w:rsidRPr="00FD3029" w:rsidRDefault="00BD53DC" w:rsidP="00BD53DC">
      <w:pPr>
        <w:jc w:val="both"/>
        <w:rPr>
          <w:rFonts w:cs="Times New Roman"/>
          <w:szCs w:val="24"/>
        </w:rPr>
      </w:pPr>
    </w:p>
    <w:p w14:paraId="521D5662" w14:textId="33A6D38B" w:rsidR="004254BF" w:rsidRPr="00FD3029" w:rsidRDefault="00F216F5" w:rsidP="00BD53DC">
      <w:pPr>
        <w:jc w:val="both"/>
        <w:rPr>
          <w:rFonts w:cs="Times New Roman"/>
          <w:szCs w:val="24"/>
        </w:rPr>
      </w:pPr>
      <w:r>
        <w:rPr>
          <w:rFonts w:cs="Times New Roman"/>
          <w:szCs w:val="24"/>
        </w:rPr>
        <w:t>On the other hand</w:t>
      </w:r>
      <w:r w:rsidR="004254BF" w:rsidRPr="00FD3029">
        <w:rPr>
          <w:rFonts w:cs="Times New Roman"/>
          <w:szCs w:val="24"/>
        </w:rPr>
        <w:t xml:space="preserve">, </w:t>
      </w:r>
      <w:r w:rsidR="00A93F95">
        <w:rPr>
          <w:rFonts w:cs="Times New Roman"/>
          <w:szCs w:val="24"/>
        </w:rPr>
        <w:t xml:space="preserve">contributors </w:t>
      </w:r>
      <w:r>
        <w:rPr>
          <w:rFonts w:cs="Times New Roman"/>
          <w:szCs w:val="24"/>
        </w:rPr>
        <w:t>have also highlighted the limitations of</w:t>
      </w:r>
      <w:r w:rsidR="00A93F95">
        <w:rPr>
          <w:rFonts w:cs="Times New Roman"/>
          <w:szCs w:val="24"/>
        </w:rPr>
        <w:t xml:space="preserve"> certain technologies.  For instance,</w:t>
      </w:r>
      <w:r>
        <w:rPr>
          <w:rFonts w:cs="Times New Roman"/>
          <w:szCs w:val="24"/>
        </w:rPr>
        <w:t xml:space="preserve"> online reporting systems </w:t>
      </w:r>
      <w:r w:rsidR="00A93F95">
        <w:rPr>
          <w:rFonts w:cs="Times New Roman"/>
          <w:szCs w:val="24"/>
        </w:rPr>
        <w:t xml:space="preserve">will not be appropriate </w:t>
      </w:r>
      <w:r>
        <w:rPr>
          <w:rFonts w:cs="Times New Roman"/>
          <w:szCs w:val="24"/>
        </w:rPr>
        <w:t>in cases where remedy-seekers need immediate human assistance, such as from trained counsellors in complex cases involving serious abuse. S</w:t>
      </w:r>
      <w:r w:rsidR="004254BF" w:rsidRPr="00FD3029">
        <w:rPr>
          <w:rFonts w:cs="Times New Roman"/>
          <w:szCs w:val="24"/>
        </w:rPr>
        <w:t xml:space="preserve">cepticism </w:t>
      </w:r>
      <w:r w:rsidR="00D124FB">
        <w:rPr>
          <w:rFonts w:cs="Times New Roman"/>
          <w:szCs w:val="24"/>
        </w:rPr>
        <w:t xml:space="preserve">has </w:t>
      </w:r>
      <w:r w:rsidR="00DB62B5">
        <w:rPr>
          <w:rFonts w:cs="Times New Roman"/>
          <w:szCs w:val="24"/>
        </w:rPr>
        <w:t xml:space="preserve">also </w:t>
      </w:r>
      <w:r w:rsidR="00D124FB">
        <w:rPr>
          <w:rFonts w:cs="Times New Roman"/>
          <w:szCs w:val="24"/>
        </w:rPr>
        <w:t>been</w:t>
      </w:r>
      <w:r w:rsidR="00D124FB" w:rsidRPr="00FD3029">
        <w:rPr>
          <w:rFonts w:cs="Times New Roman"/>
          <w:szCs w:val="24"/>
        </w:rPr>
        <w:t xml:space="preserve"> </w:t>
      </w:r>
      <w:r w:rsidR="004254BF" w:rsidRPr="00FD3029">
        <w:rPr>
          <w:rFonts w:cs="Times New Roman"/>
          <w:szCs w:val="24"/>
        </w:rPr>
        <w:t>expressed about the extent to which reporting tools have a real impact on business practices.  Growing reliance on technological solutions raises obvious safeguarding and privacy-related concerns (see further C.4) but there is often a lack of clarity with respect to how these are addressed in practice.  Further concerns have been raised about the risk that a failure to fully grapple with the “digital divide</w:t>
      </w:r>
      <w:r w:rsidR="00D124FB">
        <w:rPr>
          <w:rFonts w:cs="Times New Roman"/>
          <w:szCs w:val="24"/>
        </w:rPr>
        <w:t>,</w:t>
      </w:r>
      <w:r w:rsidR="004254BF" w:rsidRPr="00FD3029">
        <w:rPr>
          <w:rFonts w:cs="Times New Roman"/>
          <w:szCs w:val="24"/>
        </w:rPr>
        <w:t xml:space="preserve">” as well as the implications of low levels of literacy in many communities, may exacerbate inequalities with respect to access to remedy.  Clearly, the observations </w:t>
      </w:r>
      <w:r w:rsidR="00A93F95">
        <w:rPr>
          <w:rFonts w:cs="Times New Roman"/>
          <w:szCs w:val="24"/>
        </w:rPr>
        <w:t xml:space="preserve">elsewhere in this paper </w:t>
      </w:r>
      <w:r w:rsidR="004254BF" w:rsidRPr="00FD3029">
        <w:rPr>
          <w:rFonts w:cs="Times New Roman"/>
          <w:szCs w:val="24"/>
        </w:rPr>
        <w:t>with respect to the need for designers of grievance mechanisms to engage more proactively with rights-holders (see B.</w:t>
      </w:r>
      <w:r w:rsidR="00C5233D">
        <w:rPr>
          <w:rFonts w:cs="Times New Roman"/>
          <w:szCs w:val="24"/>
        </w:rPr>
        <w:t>1</w:t>
      </w:r>
      <w:r w:rsidR="004254BF" w:rsidRPr="00FD3029">
        <w:rPr>
          <w:rFonts w:cs="Times New Roman"/>
          <w:szCs w:val="24"/>
        </w:rPr>
        <w:t>) apply equally to designers of digital tools employed by private grievance mechanisms.</w:t>
      </w:r>
    </w:p>
    <w:p w14:paraId="4A87C2B8" w14:textId="77777777" w:rsidR="009165C7" w:rsidRDefault="009165C7" w:rsidP="009165C7">
      <w:pPr>
        <w:jc w:val="both"/>
        <w:rPr>
          <w:rFonts w:cs="Times New Roman"/>
          <w:szCs w:val="24"/>
        </w:rPr>
      </w:pPr>
    </w:p>
    <w:tbl>
      <w:tblPr>
        <w:tblStyle w:val="TableGrid"/>
        <w:tblW w:w="0" w:type="auto"/>
        <w:tblLook w:val="04A0" w:firstRow="1" w:lastRow="0" w:firstColumn="1" w:lastColumn="0" w:noHBand="0" w:noVBand="1"/>
      </w:tblPr>
      <w:tblGrid>
        <w:gridCol w:w="9016"/>
      </w:tblGrid>
      <w:tr w:rsidR="009165C7" w:rsidRPr="00FD3029" w14:paraId="377798C8" w14:textId="77777777" w:rsidTr="00B93E3D">
        <w:trPr>
          <w:trHeight w:val="841"/>
        </w:trPr>
        <w:tc>
          <w:tcPr>
            <w:tcW w:w="9016" w:type="dxa"/>
            <w:shd w:val="clear" w:color="auto" w:fill="DEEAF6" w:themeFill="accent1" w:themeFillTint="33"/>
          </w:tcPr>
          <w:p w14:paraId="5545F3DF" w14:textId="77777777" w:rsidR="009165C7" w:rsidRDefault="009165C7" w:rsidP="00B93E3D">
            <w:pPr>
              <w:jc w:val="both"/>
              <w:rPr>
                <w:rFonts w:cs="Times New Roman"/>
                <w:b/>
                <w:i/>
                <w:szCs w:val="24"/>
              </w:rPr>
            </w:pPr>
            <w:r>
              <w:rPr>
                <w:rFonts w:cs="Times New Roman"/>
                <w:b/>
                <w:i/>
                <w:szCs w:val="24"/>
              </w:rPr>
              <w:t>Discussion Questions</w:t>
            </w:r>
          </w:p>
          <w:p w14:paraId="77A9827B" w14:textId="77777777" w:rsidR="009165C7" w:rsidRDefault="009165C7" w:rsidP="00B93E3D">
            <w:pPr>
              <w:pStyle w:val="ListParagraph"/>
              <w:numPr>
                <w:ilvl w:val="0"/>
                <w:numId w:val="49"/>
              </w:numPr>
              <w:jc w:val="both"/>
              <w:rPr>
                <w:rFonts w:cs="Times New Roman"/>
                <w:szCs w:val="24"/>
              </w:rPr>
            </w:pPr>
            <w:r w:rsidRPr="00BD52E4">
              <w:rPr>
                <w:rFonts w:cs="Times New Roman"/>
                <w:szCs w:val="24"/>
              </w:rPr>
              <w:t>Do you agree with the observations made in this section?  If not, why not?</w:t>
            </w:r>
          </w:p>
          <w:p w14:paraId="3CFFAC09" w14:textId="77777777" w:rsidR="009165C7" w:rsidRPr="00BD52E4" w:rsidRDefault="009165C7" w:rsidP="00B93E3D">
            <w:pPr>
              <w:pStyle w:val="ListParagraph"/>
              <w:numPr>
                <w:ilvl w:val="0"/>
                <w:numId w:val="49"/>
              </w:numPr>
              <w:jc w:val="both"/>
              <w:rPr>
                <w:rFonts w:cs="Times New Roman"/>
                <w:szCs w:val="24"/>
              </w:rPr>
            </w:pPr>
            <w:r w:rsidRPr="00BD52E4">
              <w:rPr>
                <w:rFonts w:cs="Times New Roman"/>
                <w:szCs w:val="24"/>
              </w:rPr>
              <w:t>Are there any further issues, challenges, trends</w:t>
            </w:r>
            <w:r>
              <w:rPr>
                <w:rFonts w:cs="Times New Roman"/>
                <w:szCs w:val="24"/>
              </w:rPr>
              <w:t>,</w:t>
            </w:r>
            <w:r w:rsidRPr="00BD52E4">
              <w:rPr>
                <w:rFonts w:cs="Times New Roman"/>
                <w:szCs w:val="24"/>
              </w:rPr>
              <w:t xml:space="preserve"> or opportunities that you would like to bring to the attention of the ARP III team?  If so, what are these?</w:t>
            </w:r>
          </w:p>
        </w:tc>
      </w:tr>
    </w:tbl>
    <w:p w14:paraId="022CFD63" w14:textId="77777777" w:rsidR="004254BF" w:rsidRPr="00FD3029" w:rsidRDefault="004254BF" w:rsidP="00D124FB"/>
    <w:p w14:paraId="13017272" w14:textId="77777777" w:rsidR="00BD53DC" w:rsidRPr="00FD3029" w:rsidRDefault="00BD53DC" w:rsidP="00D124FB"/>
    <w:p w14:paraId="39902ABA" w14:textId="4939E7B5" w:rsidR="004254BF" w:rsidRPr="00FD3029" w:rsidRDefault="004254BF" w:rsidP="00BD53DC">
      <w:pPr>
        <w:pStyle w:val="Heading2"/>
        <w:spacing w:before="0"/>
        <w:rPr>
          <w:rFonts w:cs="Times New Roman"/>
        </w:rPr>
      </w:pPr>
      <w:bookmarkStart w:id="13" w:name="_Toc25057786"/>
      <w:r w:rsidRPr="00FD3029">
        <w:rPr>
          <w:rFonts w:cs="Times New Roman"/>
        </w:rPr>
        <w:t>Legal, structural</w:t>
      </w:r>
      <w:r w:rsidR="006C1082">
        <w:rPr>
          <w:rFonts w:cs="Times New Roman"/>
        </w:rPr>
        <w:t>,</w:t>
      </w:r>
      <w:r w:rsidRPr="00FD3029">
        <w:rPr>
          <w:rFonts w:cs="Times New Roman"/>
        </w:rPr>
        <w:t xml:space="preserve"> and policy issues in need of further attention and prioritisation</w:t>
      </w:r>
      <w:bookmarkEnd w:id="13"/>
    </w:p>
    <w:p w14:paraId="6AC3EB99" w14:textId="77777777" w:rsidR="00FE727F" w:rsidRPr="00FD3029" w:rsidRDefault="00FE727F" w:rsidP="00BD53DC">
      <w:pPr>
        <w:pStyle w:val="Heading3"/>
        <w:spacing w:before="0"/>
        <w:rPr>
          <w:rFonts w:cs="Times New Roman"/>
        </w:rPr>
      </w:pPr>
    </w:p>
    <w:p w14:paraId="7932381A" w14:textId="77777777" w:rsidR="004254BF" w:rsidRPr="00FD3029" w:rsidRDefault="00FE727F" w:rsidP="00FE727F">
      <w:pPr>
        <w:pStyle w:val="Heading3"/>
        <w:spacing w:before="0"/>
        <w:ind w:left="1439" w:hanging="645"/>
        <w:rPr>
          <w:rFonts w:cs="Times New Roman"/>
        </w:rPr>
      </w:pPr>
      <w:r w:rsidRPr="00FD3029">
        <w:rPr>
          <w:rFonts w:cs="Times New Roman"/>
        </w:rPr>
        <w:t>C.1</w:t>
      </w:r>
      <w:r w:rsidRPr="00FD3029">
        <w:rPr>
          <w:rFonts w:cs="Times New Roman"/>
        </w:rPr>
        <w:tab/>
      </w:r>
      <w:r w:rsidR="004254BF" w:rsidRPr="00FD3029">
        <w:rPr>
          <w:rFonts w:cs="Times New Roman"/>
        </w:rPr>
        <w:t xml:space="preserve">Maintaining flexibility for rights-holders while avoiding fragmentation and duplication: </w:t>
      </w:r>
      <w:r w:rsidR="00CE1F6C">
        <w:rPr>
          <w:rFonts w:cs="Times New Roman"/>
        </w:rPr>
        <w:t>W</w:t>
      </w:r>
      <w:r w:rsidR="004254BF" w:rsidRPr="00FD3029">
        <w:rPr>
          <w:rFonts w:cs="Times New Roman"/>
        </w:rPr>
        <w:t>here should the balance be struck?</w:t>
      </w:r>
    </w:p>
    <w:p w14:paraId="169F3063" w14:textId="77777777" w:rsidR="00BD53DC" w:rsidRPr="00FD3029" w:rsidRDefault="00BD53DC" w:rsidP="00BD53DC">
      <w:pPr>
        <w:jc w:val="both"/>
        <w:rPr>
          <w:rFonts w:cs="Times New Roman"/>
          <w:szCs w:val="24"/>
        </w:rPr>
      </w:pPr>
    </w:p>
    <w:p w14:paraId="74101204" w14:textId="77777777" w:rsidR="004254BF" w:rsidRPr="00FD3029" w:rsidRDefault="00CE1F6C" w:rsidP="00BD53DC">
      <w:pPr>
        <w:jc w:val="both"/>
        <w:rPr>
          <w:rFonts w:cs="Times New Roman"/>
          <w:szCs w:val="24"/>
        </w:rPr>
      </w:pPr>
      <w:r>
        <w:rPr>
          <w:rFonts w:cs="Times New Roman"/>
          <w:szCs w:val="24"/>
        </w:rPr>
        <w:t>A</w:t>
      </w:r>
      <w:r w:rsidR="004254BF" w:rsidRPr="00FD3029">
        <w:rPr>
          <w:rFonts w:cs="Times New Roman"/>
          <w:szCs w:val="24"/>
        </w:rPr>
        <w:t xml:space="preserve"> possible tension </w:t>
      </w:r>
      <w:r>
        <w:rPr>
          <w:rFonts w:cs="Times New Roman"/>
          <w:szCs w:val="24"/>
        </w:rPr>
        <w:t xml:space="preserve">exists </w:t>
      </w:r>
      <w:r w:rsidR="004254BF" w:rsidRPr="00FD3029">
        <w:rPr>
          <w:rFonts w:cs="Times New Roman"/>
          <w:szCs w:val="24"/>
        </w:rPr>
        <w:t>between competing objectives of enhancing flexibility and choice for rights-holders on the one hand (see A.2) and avoiding potential for confusion, duplication</w:t>
      </w:r>
      <w:r w:rsidR="00B31717">
        <w:rPr>
          <w:rFonts w:cs="Times New Roman"/>
          <w:szCs w:val="24"/>
        </w:rPr>
        <w:t>,</w:t>
      </w:r>
      <w:r w:rsidR="004254BF" w:rsidRPr="00FD3029">
        <w:rPr>
          <w:rFonts w:cs="Times New Roman"/>
          <w:szCs w:val="24"/>
        </w:rPr>
        <w:t xml:space="preserve"> and inefficiencies on the other.  For instance, while many </w:t>
      </w:r>
      <w:r w:rsidR="004A409F">
        <w:rPr>
          <w:rFonts w:cs="Times New Roman"/>
          <w:szCs w:val="24"/>
        </w:rPr>
        <w:t xml:space="preserve">contributors have </w:t>
      </w:r>
      <w:r w:rsidR="004254BF" w:rsidRPr="00FD3029">
        <w:rPr>
          <w:rFonts w:cs="Times New Roman"/>
          <w:szCs w:val="24"/>
        </w:rPr>
        <w:t>spoke</w:t>
      </w:r>
      <w:r w:rsidR="004A409F">
        <w:rPr>
          <w:rFonts w:cs="Times New Roman"/>
          <w:szCs w:val="24"/>
        </w:rPr>
        <w:t>n</w:t>
      </w:r>
      <w:r w:rsidR="004254BF" w:rsidRPr="00FD3029">
        <w:rPr>
          <w:rFonts w:cs="Times New Roman"/>
          <w:szCs w:val="24"/>
        </w:rPr>
        <w:t xml:space="preserve"> of the need to dramatically improve the availability and accessibility of </w:t>
      </w:r>
      <w:r w:rsidR="004254BF" w:rsidRPr="00FD3029">
        <w:rPr>
          <w:rFonts w:cs="Times New Roman"/>
          <w:i/>
          <w:szCs w:val="24"/>
        </w:rPr>
        <w:t xml:space="preserve">realistic </w:t>
      </w:r>
      <w:r w:rsidR="004254BF" w:rsidRPr="00FD3029">
        <w:rPr>
          <w:rFonts w:cs="Times New Roman"/>
          <w:szCs w:val="24"/>
        </w:rPr>
        <w:t xml:space="preserve">routes to </w:t>
      </w:r>
      <w:r w:rsidR="004254BF" w:rsidRPr="00FD3029">
        <w:rPr>
          <w:rFonts w:cs="Times New Roman"/>
          <w:i/>
          <w:szCs w:val="24"/>
        </w:rPr>
        <w:t xml:space="preserve">effective </w:t>
      </w:r>
      <w:r w:rsidR="004254BF" w:rsidRPr="00FD3029">
        <w:rPr>
          <w:rFonts w:cs="Times New Roman"/>
          <w:szCs w:val="24"/>
        </w:rPr>
        <w:t xml:space="preserve">remedy, a number also highlighted problems that arise when </w:t>
      </w:r>
      <w:r>
        <w:rPr>
          <w:rFonts w:cs="Times New Roman"/>
          <w:szCs w:val="24"/>
        </w:rPr>
        <w:t>potential users</w:t>
      </w:r>
      <w:r w:rsidR="004254BF" w:rsidRPr="00FD3029">
        <w:rPr>
          <w:rFonts w:cs="Times New Roman"/>
          <w:szCs w:val="24"/>
        </w:rPr>
        <w:t xml:space="preserve"> are confronted with several different grievance mechanism</w:t>
      </w:r>
      <w:r>
        <w:rPr>
          <w:rFonts w:cs="Times New Roman"/>
          <w:szCs w:val="24"/>
        </w:rPr>
        <w:t xml:space="preserve"> options (e.g., mechanisms</w:t>
      </w:r>
      <w:r w:rsidR="004254BF" w:rsidRPr="00FD3029">
        <w:rPr>
          <w:rFonts w:cs="Times New Roman"/>
          <w:szCs w:val="24"/>
        </w:rPr>
        <w:t xml:space="preserve"> at </w:t>
      </w:r>
      <w:r>
        <w:rPr>
          <w:rFonts w:cs="Times New Roman"/>
          <w:szCs w:val="24"/>
        </w:rPr>
        <w:t xml:space="preserve">a factory, </w:t>
      </w:r>
      <w:r w:rsidR="004254BF" w:rsidRPr="00FD3029">
        <w:rPr>
          <w:rFonts w:cs="Times New Roman"/>
          <w:szCs w:val="24"/>
        </w:rPr>
        <w:t>brands purchasing products from the same factory</w:t>
      </w:r>
      <w:r>
        <w:rPr>
          <w:rFonts w:cs="Times New Roman"/>
          <w:szCs w:val="24"/>
        </w:rPr>
        <w:t>, and multi-stakeholder initiatives)</w:t>
      </w:r>
      <w:r w:rsidR="004254BF" w:rsidRPr="00FD3029">
        <w:rPr>
          <w:rFonts w:cs="Times New Roman"/>
          <w:szCs w:val="24"/>
        </w:rPr>
        <w:t>.</w:t>
      </w:r>
    </w:p>
    <w:p w14:paraId="27900B4E" w14:textId="77777777" w:rsidR="00BD53DC" w:rsidRPr="00FD3029" w:rsidRDefault="00BD53DC" w:rsidP="00BD53DC">
      <w:pPr>
        <w:jc w:val="both"/>
        <w:rPr>
          <w:rFonts w:cs="Times New Roman"/>
          <w:szCs w:val="24"/>
        </w:rPr>
      </w:pPr>
    </w:p>
    <w:p w14:paraId="5C0E7FE2" w14:textId="77777777" w:rsidR="004254BF" w:rsidRPr="00FD3029" w:rsidRDefault="004254BF" w:rsidP="00BD53DC">
      <w:pPr>
        <w:jc w:val="both"/>
        <w:rPr>
          <w:rFonts w:cs="Times New Roman"/>
          <w:szCs w:val="24"/>
        </w:rPr>
      </w:pPr>
      <w:r w:rsidRPr="00FD3029">
        <w:rPr>
          <w:rFonts w:cs="Times New Roman"/>
          <w:szCs w:val="24"/>
        </w:rPr>
        <w:t>This has led to calls for streamlining and consolidation of company-based approaches to handling grievances and delivering remedies, perhaps through industry</w:t>
      </w:r>
      <w:r w:rsidR="00CE1F6C">
        <w:rPr>
          <w:rFonts w:cs="Times New Roman"/>
          <w:szCs w:val="24"/>
        </w:rPr>
        <w:t>, multi-stakeholder or other</w:t>
      </w:r>
      <w:r w:rsidRPr="00FD3029">
        <w:rPr>
          <w:rFonts w:cs="Times New Roman"/>
          <w:szCs w:val="24"/>
        </w:rPr>
        <w:t xml:space="preserve"> collaborative </w:t>
      </w:r>
      <w:r w:rsidR="00CE1F6C">
        <w:rPr>
          <w:rFonts w:cs="Times New Roman"/>
          <w:szCs w:val="24"/>
        </w:rPr>
        <w:t>initiatives</w:t>
      </w:r>
      <w:r w:rsidRPr="00FD3029">
        <w:rPr>
          <w:rFonts w:cs="Times New Roman"/>
          <w:szCs w:val="24"/>
        </w:rPr>
        <w:t xml:space="preserve">.  </w:t>
      </w:r>
      <w:r w:rsidR="00CE1F6C">
        <w:rPr>
          <w:rFonts w:cs="Times New Roman"/>
          <w:szCs w:val="24"/>
        </w:rPr>
        <w:t>T</w:t>
      </w:r>
      <w:r w:rsidRPr="00FD3029">
        <w:rPr>
          <w:rFonts w:cs="Times New Roman"/>
          <w:szCs w:val="24"/>
        </w:rPr>
        <w:t>he ARP III programme of work has included a work</w:t>
      </w:r>
      <w:r w:rsidR="00CE1F6C">
        <w:rPr>
          <w:rFonts w:cs="Times New Roman"/>
          <w:szCs w:val="24"/>
        </w:rPr>
        <w:t xml:space="preserve"> </w:t>
      </w:r>
      <w:r w:rsidRPr="00FD3029">
        <w:rPr>
          <w:rFonts w:cs="Times New Roman"/>
          <w:szCs w:val="24"/>
        </w:rPr>
        <w:t>stream dedicated to understanding the circumstances in which greater cooperation between companies may be beneficial from the perspective of enhancing accountability and remedy in cases of business-related human rights abuses, and the challenges that may be encountered in implementing such arrangements.</w:t>
      </w:r>
    </w:p>
    <w:p w14:paraId="334CE50F" w14:textId="77777777" w:rsidR="00BD53DC" w:rsidRPr="00FD3029" w:rsidRDefault="00BD53DC" w:rsidP="00BD53DC">
      <w:pPr>
        <w:jc w:val="both"/>
        <w:rPr>
          <w:rFonts w:cs="Times New Roman"/>
          <w:szCs w:val="24"/>
        </w:rPr>
      </w:pPr>
    </w:p>
    <w:p w14:paraId="27FC2FC4" w14:textId="77777777" w:rsidR="004254BF" w:rsidRPr="00FD3029" w:rsidRDefault="004254BF" w:rsidP="00BD53DC">
      <w:pPr>
        <w:jc w:val="both"/>
        <w:rPr>
          <w:rFonts w:cs="Times New Roman"/>
          <w:szCs w:val="24"/>
        </w:rPr>
      </w:pPr>
      <w:r w:rsidRPr="00FD3029">
        <w:rPr>
          <w:rFonts w:cs="Times New Roman"/>
          <w:szCs w:val="24"/>
        </w:rPr>
        <w:t>There are circumstances in which the ability of a company to deliver an effective remedy on its own are limited</w:t>
      </w:r>
      <w:r w:rsidR="00402F8A">
        <w:rPr>
          <w:rFonts w:cs="Times New Roman"/>
          <w:szCs w:val="24"/>
        </w:rPr>
        <w:t xml:space="preserve">. </w:t>
      </w:r>
      <w:r w:rsidR="004A409F">
        <w:rPr>
          <w:rFonts w:cs="Times New Roman"/>
          <w:szCs w:val="24"/>
        </w:rPr>
        <w:t xml:space="preserve"> </w:t>
      </w:r>
      <w:r w:rsidR="00402F8A">
        <w:rPr>
          <w:rFonts w:cs="Times New Roman"/>
          <w:szCs w:val="24"/>
        </w:rPr>
        <w:t>F</w:t>
      </w:r>
      <w:r w:rsidRPr="00FD3029">
        <w:rPr>
          <w:rFonts w:cs="Times New Roman"/>
          <w:szCs w:val="24"/>
        </w:rPr>
        <w:t xml:space="preserve">or instance, competitive pressures </w:t>
      </w:r>
      <w:r w:rsidR="00402F8A">
        <w:rPr>
          <w:rFonts w:cs="Times New Roman"/>
          <w:szCs w:val="24"/>
        </w:rPr>
        <w:t xml:space="preserve">may be </w:t>
      </w:r>
      <w:r w:rsidRPr="00FD3029">
        <w:rPr>
          <w:rFonts w:cs="Times New Roman"/>
          <w:szCs w:val="24"/>
        </w:rPr>
        <w:t xml:space="preserve">such that sufficient leverage to bring about change can be achieved </w:t>
      </w:r>
      <w:r w:rsidR="00402F8A">
        <w:rPr>
          <w:rFonts w:cs="Times New Roman"/>
          <w:szCs w:val="24"/>
        </w:rPr>
        <w:t xml:space="preserve">only </w:t>
      </w:r>
      <w:r w:rsidRPr="00FD3029">
        <w:rPr>
          <w:rFonts w:cs="Times New Roman"/>
          <w:szCs w:val="24"/>
        </w:rPr>
        <w:t>through joint action</w:t>
      </w:r>
      <w:r w:rsidR="00402F8A">
        <w:rPr>
          <w:rFonts w:cs="Times New Roman"/>
          <w:szCs w:val="24"/>
        </w:rPr>
        <w:t xml:space="preserve">.  Alternatively, </w:t>
      </w:r>
      <w:r w:rsidRPr="00FD3029">
        <w:rPr>
          <w:rFonts w:cs="Times New Roman"/>
          <w:szCs w:val="24"/>
        </w:rPr>
        <w:t xml:space="preserve">it </w:t>
      </w:r>
      <w:r w:rsidR="00402F8A">
        <w:rPr>
          <w:rFonts w:cs="Times New Roman"/>
          <w:szCs w:val="24"/>
        </w:rPr>
        <w:t xml:space="preserve">may be </w:t>
      </w:r>
      <w:r w:rsidRPr="00FD3029">
        <w:rPr>
          <w:rFonts w:cs="Times New Roman"/>
          <w:szCs w:val="24"/>
        </w:rPr>
        <w:t xml:space="preserve">difficult to identify a causal relationship between the activities of a single company and the harm.  In such cases, cooperation is not merely advantageous to achieving an </w:t>
      </w:r>
      <w:r w:rsidRPr="00FD3029">
        <w:rPr>
          <w:rFonts w:cs="Times New Roman"/>
          <w:i/>
          <w:szCs w:val="24"/>
        </w:rPr>
        <w:t>effective</w:t>
      </w:r>
      <w:r w:rsidRPr="00FD3029">
        <w:rPr>
          <w:rFonts w:cs="Times New Roman"/>
          <w:szCs w:val="24"/>
        </w:rPr>
        <w:t xml:space="preserve"> remedy, but arguably necessary.</w:t>
      </w:r>
    </w:p>
    <w:p w14:paraId="10C13857" w14:textId="77777777" w:rsidR="00BD53DC" w:rsidRPr="00FD3029" w:rsidRDefault="00BD53DC" w:rsidP="00BD53DC">
      <w:pPr>
        <w:jc w:val="both"/>
        <w:rPr>
          <w:rFonts w:cs="Times New Roman"/>
          <w:szCs w:val="24"/>
        </w:rPr>
      </w:pPr>
    </w:p>
    <w:p w14:paraId="5F9B15AE" w14:textId="77777777" w:rsidR="004A409F" w:rsidRPr="00FD3029" w:rsidRDefault="004254BF" w:rsidP="00BD53DC">
      <w:pPr>
        <w:jc w:val="both"/>
        <w:rPr>
          <w:rFonts w:cs="Times New Roman"/>
          <w:szCs w:val="24"/>
        </w:rPr>
      </w:pPr>
      <w:r w:rsidRPr="00FD3029">
        <w:rPr>
          <w:rFonts w:cs="Times New Roman"/>
          <w:szCs w:val="24"/>
        </w:rPr>
        <w:t xml:space="preserve">Cooperation between companies (or between </w:t>
      </w:r>
      <w:r w:rsidR="00402F8A">
        <w:rPr>
          <w:rFonts w:cs="Times New Roman"/>
          <w:szCs w:val="24"/>
        </w:rPr>
        <w:t>different types of mechanisms</w:t>
      </w:r>
      <w:r w:rsidRPr="00FD3029">
        <w:rPr>
          <w:rFonts w:cs="Times New Roman"/>
          <w:szCs w:val="24"/>
        </w:rPr>
        <w:t xml:space="preserve">) can take various forms, including joint investigations, information and evidence sharing, and sharing resources and costs.  However, information gathered in the course of ARP III shows </w:t>
      </w:r>
      <w:r w:rsidR="00402F8A">
        <w:rPr>
          <w:rFonts w:cs="Times New Roman"/>
          <w:szCs w:val="24"/>
        </w:rPr>
        <w:t xml:space="preserve">that </w:t>
      </w:r>
      <w:r w:rsidRPr="00FD3029">
        <w:rPr>
          <w:rFonts w:cs="Times New Roman"/>
          <w:szCs w:val="24"/>
        </w:rPr>
        <w:t>successful collaboration by groups of interested companies (e.g. purchasers buying goods from a single factory) can be difficult to achieve in practice.  Examples of obstacles to effective collaboration have included:</w:t>
      </w:r>
    </w:p>
    <w:p w14:paraId="5B9B9744" w14:textId="77777777" w:rsidR="004254BF" w:rsidRPr="00FD3029" w:rsidRDefault="004254BF" w:rsidP="00BD53DC">
      <w:pPr>
        <w:pStyle w:val="ListParagraph"/>
        <w:numPr>
          <w:ilvl w:val="0"/>
          <w:numId w:val="19"/>
        </w:numPr>
        <w:jc w:val="both"/>
        <w:rPr>
          <w:rFonts w:cs="Times New Roman"/>
          <w:szCs w:val="24"/>
        </w:rPr>
      </w:pPr>
      <w:r w:rsidRPr="00FD3029">
        <w:rPr>
          <w:rFonts w:cs="Times New Roman"/>
          <w:szCs w:val="24"/>
        </w:rPr>
        <w:t>differences between background domestic legal regimes (e.g. relating to tort-based liability</w:t>
      </w:r>
      <w:r w:rsidR="00402F8A">
        <w:rPr>
          <w:rFonts w:cs="Times New Roman"/>
          <w:szCs w:val="24"/>
        </w:rPr>
        <w:t>)</w:t>
      </w:r>
      <w:r w:rsidRPr="00FD3029">
        <w:rPr>
          <w:rFonts w:cs="Times New Roman"/>
          <w:szCs w:val="24"/>
        </w:rPr>
        <w:t xml:space="preserve"> leading to different perceptions of legal risk by parent companies</w:t>
      </w:r>
      <w:r w:rsidR="00402F8A" w:rsidRPr="00FD3029">
        <w:rPr>
          <w:rFonts w:cs="Times New Roman"/>
          <w:szCs w:val="24"/>
        </w:rPr>
        <w:t xml:space="preserve"> </w:t>
      </w:r>
      <w:r w:rsidR="00402F8A">
        <w:rPr>
          <w:rFonts w:cs="Times New Roman"/>
          <w:szCs w:val="24"/>
        </w:rPr>
        <w:t xml:space="preserve">(see </w:t>
      </w:r>
      <w:r w:rsidR="00402F8A" w:rsidRPr="00FD3029">
        <w:rPr>
          <w:rFonts w:cs="Times New Roman"/>
          <w:szCs w:val="24"/>
        </w:rPr>
        <w:t>further C.3)</w:t>
      </w:r>
      <w:r w:rsidRPr="00FD3029">
        <w:rPr>
          <w:rFonts w:cs="Times New Roman"/>
          <w:szCs w:val="24"/>
        </w:rPr>
        <w:t xml:space="preserve">; </w:t>
      </w:r>
    </w:p>
    <w:p w14:paraId="7B06EA7C" w14:textId="77777777" w:rsidR="004254BF" w:rsidRPr="00FD3029" w:rsidRDefault="004254BF" w:rsidP="00BD53DC">
      <w:pPr>
        <w:pStyle w:val="ListParagraph"/>
        <w:numPr>
          <w:ilvl w:val="0"/>
          <w:numId w:val="19"/>
        </w:numPr>
        <w:jc w:val="both"/>
        <w:rPr>
          <w:rFonts w:cs="Times New Roman"/>
          <w:szCs w:val="24"/>
        </w:rPr>
      </w:pPr>
      <w:r w:rsidRPr="00FD3029">
        <w:rPr>
          <w:rFonts w:cs="Times New Roman"/>
          <w:szCs w:val="24"/>
        </w:rPr>
        <w:t>different interpretations as to what the “corporate responsibility to respect human rights</w:t>
      </w:r>
      <w:r w:rsidR="00402F8A">
        <w:rPr>
          <w:rFonts w:cs="Times New Roman"/>
          <w:szCs w:val="24"/>
        </w:rPr>
        <w:t>”</w:t>
      </w:r>
      <w:r w:rsidRPr="00FD3029">
        <w:rPr>
          <w:rFonts w:cs="Times New Roman"/>
          <w:szCs w:val="24"/>
        </w:rPr>
        <w:t xml:space="preserve"> involves in practice, leading to disagreements as to how responsibility for remedy should be allocated between the companies concerned;</w:t>
      </w:r>
      <w:r w:rsidR="00402F8A">
        <w:rPr>
          <w:rFonts w:cs="Times New Roman"/>
          <w:szCs w:val="24"/>
        </w:rPr>
        <w:t xml:space="preserve"> and</w:t>
      </w:r>
    </w:p>
    <w:p w14:paraId="535E8EA2" w14:textId="77777777" w:rsidR="004254BF" w:rsidRPr="00FD3029" w:rsidRDefault="004254BF" w:rsidP="00BD53DC">
      <w:pPr>
        <w:pStyle w:val="ListParagraph"/>
        <w:numPr>
          <w:ilvl w:val="0"/>
          <w:numId w:val="19"/>
        </w:numPr>
        <w:jc w:val="both"/>
        <w:rPr>
          <w:rFonts w:cs="Times New Roman"/>
          <w:szCs w:val="24"/>
        </w:rPr>
      </w:pPr>
      <w:r w:rsidRPr="00FD3029">
        <w:rPr>
          <w:rFonts w:cs="Times New Roman"/>
          <w:szCs w:val="24"/>
        </w:rPr>
        <w:t>the shor</w:t>
      </w:r>
      <w:r w:rsidR="00402F8A">
        <w:rPr>
          <w:rFonts w:cs="Times New Roman"/>
          <w:szCs w:val="24"/>
        </w:rPr>
        <w:t>t-</w:t>
      </w:r>
      <w:r w:rsidRPr="00FD3029">
        <w:rPr>
          <w:rFonts w:cs="Times New Roman"/>
          <w:szCs w:val="24"/>
        </w:rPr>
        <w:t>term nature of purchasing arrangements, meaning that there may not be an easily</w:t>
      </w:r>
      <w:r w:rsidR="00402F8A">
        <w:rPr>
          <w:rFonts w:cs="Times New Roman"/>
          <w:szCs w:val="24"/>
        </w:rPr>
        <w:t>-</w:t>
      </w:r>
      <w:r w:rsidRPr="00FD3029">
        <w:rPr>
          <w:rFonts w:cs="Times New Roman"/>
          <w:szCs w:val="24"/>
        </w:rPr>
        <w:t>identifiable and stable group of companies with which to work.</w:t>
      </w:r>
    </w:p>
    <w:p w14:paraId="6D92B2CB" w14:textId="77777777" w:rsidR="00BD53DC" w:rsidRPr="00FD3029" w:rsidRDefault="00BD53DC" w:rsidP="00BD53DC">
      <w:pPr>
        <w:jc w:val="both"/>
        <w:rPr>
          <w:rFonts w:cs="Times New Roman"/>
          <w:szCs w:val="24"/>
        </w:rPr>
      </w:pPr>
    </w:p>
    <w:p w14:paraId="2FE1FCB3" w14:textId="7C448FDA" w:rsidR="004254BF" w:rsidRPr="00FD3029" w:rsidRDefault="00402F8A" w:rsidP="00BD53DC">
      <w:pPr>
        <w:jc w:val="both"/>
        <w:rPr>
          <w:rFonts w:cs="Times New Roman"/>
          <w:color w:val="000000"/>
          <w:szCs w:val="24"/>
        </w:rPr>
      </w:pPr>
      <w:r>
        <w:rPr>
          <w:rFonts w:cs="Times New Roman"/>
          <w:szCs w:val="24"/>
        </w:rPr>
        <w:t xml:space="preserve">Many </w:t>
      </w:r>
      <w:r w:rsidR="004A409F">
        <w:rPr>
          <w:rFonts w:cs="Times New Roman"/>
          <w:szCs w:val="24"/>
        </w:rPr>
        <w:t>contributors</w:t>
      </w:r>
      <w:r>
        <w:rPr>
          <w:rFonts w:cs="Times New Roman"/>
          <w:szCs w:val="24"/>
        </w:rPr>
        <w:t xml:space="preserve"> (in particular those associated with multi-stakeholder initiatives)</w:t>
      </w:r>
      <w:r w:rsidR="004254BF" w:rsidRPr="00FD3029">
        <w:rPr>
          <w:rFonts w:cs="Times New Roman"/>
          <w:szCs w:val="24"/>
        </w:rPr>
        <w:t xml:space="preserve"> have acknowledged the need to strengthen cooperation frameworks.  In addition to the potential benefits for specific groups of remedy-seekers, a further potential was noted in terms of the ability of collaborative arrangements to yield greater insights in relation to systemic issues or </w:t>
      </w:r>
      <w:r w:rsidR="004254BF" w:rsidRPr="00FD3029">
        <w:rPr>
          <w:rFonts w:cs="Times New Roman"/>
          <w:color w:val="000000"/>
          <w:szCs w:val="24"/>
        </w:rPr>
        <w:t xml:space="preserve">underlying problems (see further C.2).  </w:t>
      </w:r>
      <w:r w:rsidR="00A923AF">
        <w:rPr>
          <w:rFonts w:cs="Times New Roman"/>
          <w:color w:val="000000"/>
          <w:szCs w:val="24"/>
        </w:rPr>
        <w:t>C</w:t>
      </w:r>
      <w:r w:rsidR="004254BF" w:rsidRPr="00FD3029">
        <w:rPr>
          <w:rFonts w:cs="Times New Roman"/>
          <w:color w:val="000000"/>
          <w:szCs w:val="24"/>
        </w:rPr>
        <w:t xml:space="preserve">ollaborative efforts could </w:t>
      </w:r>
      <w:r w:rsidR="00A923AF">
        <w:rPr>
          <w:rFonts w:cs="Times New Roman"/>
          <w:color w:val="000000"/>
          <w:szCs w:val="24"/>
        </w:rPr>
        <w:t xml:space="preserve">also </w:t>
      </w:r>
      <w:r w:rsidR="004254BF" w:rsidRPr="00FD3029">
        <w:rPr>
          <w:rFonts w:cs="Times New Roman"/>
          <w:color w:val="000000"/>
          <w:szCs w:val="24"/>
        </w:rPr>
        <w:t>help improve efficiency and cost-effectiveness of corporate remedial efforts, especially for small and medium</w:t>
      </w:r>
      <w:r w:rsidR="00712914">
        <w:rPr>
          <w:rFonts w:cs="Times New Roman"/>
          <w:color w:val="000000"/>
          <w:szCs w:val="24"/>
        </w:rPr>
        <w:t>-sized</w:t>
      </w:r>
      <w:r w:rsidR="004254BF" w:rsidRPr="00FD3029">
        <w:rPr>
          <w:rFonts w:cs="Times New Roman"/>
          <w:color w:val="000000"/>
          <w:szCs w:val="24"/>
        </w:rPr>
        <w:t xml:space="preserve"> enterprises. However, further consideration is needed of the implications of greater collaboration between companies </w:t>
      </w:r>
      <w:r w:rsidR="009A50F7">
        <w:rPr>
          <w:rFonts w:cs="Times New Roman"/>
          <w:color w:val="000000"/>
          <w:szCs w:val="24"/>
        </w:rPr>
        <w:t xml:space="preserve">in terms of </w:t>
      </w:r>
      <w:r w:rsidR="004254BF" w:rsidRPr="00FD3029">
        <w:rPr>
          <w:rFonts w:cs="Times New Roman"/>
          <w:color w:val="000000"/>
          <w:szCs w:val="24"/>
        </w:rPr>
        <w:t>tailor</w:t>
      </w:r>
      <w:r w:rsidR="009A50F7">
        <w:rPr>
          <w:rFonts w:cs="Times New Roman"/>
          <w:color w:val="000000"/>
          <w:szCs w:val="24"/>
        </w:rPr>
        <w:t>ing and pursuing</w:t>
      </w:r>
      <w:r w:rsidR="004254BF" w:rsidRPr="00FD3029">
        <w:rPr>
          <w:rFonts w:cs="Times New Roman"/>
          <w:color w:val="000000"/>
          <w:szCs w:val="24"/>
        </w:rPr>
        <w:t xml:space="preserve"> remedial strategies best suited to </w:t>
      </w:r>
      <w:r w:rsidR="00A923AF">
        <w:rPr>
          <w:rFonts w:cs="Times New Roman"/>
          <w:color w:val="000000"/>
          <w:szCs w:val="24"/>
        </w:rPr>
        <w:t xml:space="preserve">rights-holder </w:t>
      </w:r>
      <w:r w:rsidR="004254BF" w:rsidRPr="00FD3029">
        <w:rPr>
          <w:rFonts w:cs="Times New Roman"/>
          <w:color w:val="000000"/>
          <w:szCs w:val="24"/>
        </w:rPr>
        <w:t>needs (see further A.2 and C.6)</w:t>
      </w:r>
      <w:r w:rsidR="00A923AF">
        <w:rPr>
          <w:rFonts w:cs="Times New Roman"/>
          <w:color w:val="000000"/>
          <w:szCs w:val="24"/>
        </w:rPr>
        <w:t>.</w:t>
      </w:r>
    </w:p>
    <w:p w14:paraId="0A4CAFDE" w14:textId="77777777" w:rsidR="001234D5" w:rsidRDefault="001234D5" w:rsidP="001234D5">
      <w:pPr>
        <w:jc w:val="both"/>
        <w:rPr>
          <w:rFonts w:cs="Times New Roman"/>
          <w:szCs w:val="24"/>
        </w:rPr>
      </w:pPr>
    </w:p>
    <w:tbl>
      <w:tblPr>
        <w:tblStyle w:val="TableGrid"/>
        <w:tblW w:w="0" w:type="auto"/>
        <w:tblLook w:val="04A0" w:firstRow="1" w:lastRow="0" w:firstColumn="1" w:lastColumn="0" w:noHBand="0" w:noVBand="1"/>
      </w:tblPr>
      <w:tblGrid>
        <w:gridCol w:w="9016"/>
      </w:tblGrid>
      <w:tr w:rsidR="001234D5" w:rsidRPr="00FD3029" w14:paraId="7C61DBC2" w14:textId="77777777" w:rsidTr="00651E35">
        <w:trPr>
          <w:trHeight w:val="841"/>
        </w:trPr>
        <w:tc>
          <w:tcPr>
            <w:tcW w:w="9016" w:type="dxa"/>
            <w:shd w:val="clear" w:color="auto" w:fill="DEEAF6" w:themeFill="accent1" w:themeFillTint="33"/>
          </w:tcPr>
          <w:p w14:paraId="3B039431" w14:textId="77777777" w:rsidR="001234D5" w:rsidRDefault="001234D5" w:rsidP="00651E35">
            <w:pPr>
              <w:jc w:val="both"/>
              <w:rPr>
                <w:rFonts w:cs="Times New Roman"/>
                <w:b/>
                <w:i/>
                <w:szCs w:val="24"/>
              </w:rPr>
            </w:pPr>
            <w:r>
              <w:rPr>
                <w:rFonts w:cs="Times New Roman"/>
                <w:b/>
                <w:i/>
                <w:szCs w:val="24"/>
              </w:rPr>
              <w:t>Discussion Questions</w:t>
            </w:r>
          </w:p>
          <w:p w14:paraId="1358ECA7" w14:textId="77777777" w:rsidR="001234D5" w:rsidRDefault="001234D5" w:rsidP="00651E35">
            <w:pPr>
              <w:pStyle w:val="ListParagraph"/>
              <w:numPr>
                <w:ilvl w:val="0"/>
                <w:numId w:val="49"/>
              </w:numPr>
              <w:jc w:val="both"/>
              <w:rPr>
                <w:rFonts w:cs="Times New Roman"/>
                <w:szCs w:val="24"/>
              </w:rPr>
            </w:pPr>
            <w:r w:rsidRPr="00BD52E4">
              <w:rPr>
                <w:rFonts w:cs="Times New Roman"/>
                <w:szCs w:val="24"/>
              </w:rPr>
              <w:t>Do you agree with the observations made in this section?  If not, why not?</w:t>
            </w:r>
          </w:p>
          <w:p w14:paraId="557B75C5" w14:textId="77777777" w:rsidR="001234D5" w:rsidRPr="00BD52E4" w:rsidRDefault="001234D5" w:rsidP="00651E35">
            <w:pPr>
              <w:pStyle w:val="ListParagraph"/>
              <w:numPr>
                <w:ilvl w:val="0"/>
                <w:numId w:val="49"/>
              </w:numPr>
              <w:jc w:val="both"/>
              <w:rPr>
                <w:rFonts w:cs="Times New Roman"/>
                <w:szCs w:val="24"/>
              </w:rPr>
            </w:pPr>
            <w:r w:rsidRPr="00BD52E4">
              <w:rPr>
                <w:rFonts w:cs="Times New Roman"/>
                <w:szCs w:val="24"/>
              </w:rPr>
              <w:t>Are there any further issues, challenges, trends</w:t>
            </w:r>
            <w:r>
              <w:rPr>
                <w:rFonts w:cs="Times New Roman"/>
                <w:szCs w:val="24"/>
              </w:rPr>
              <w:t>,</w:t>
            </w:r>
            <w:r w:rsidRPr="00BD52E4">
              <w:rPr>
                <w:rFonts w:cs="Times New Roman"/>
                <w:szCs w:val="24"/>
              </w:rPr>
              <w:t xml:space="preserve"> or opportunities that you would like to bring to the attention of the ARP III team?  If so, what are these?</w:t>
            </w:r>
          </w:p>
        </w:tc>
      </w:tr>
    </w:tbl>
    <w:p w14:paraId="0BA828AF" w14:textId="61A362F2" w:rsidR="004254BF" w:rsidRPr="00FD3029" w:rsidRDefault="004254BF" w:rsidP="00BD53DC">
      <w:pPr>
        <w:jc w:val="both"/>
        <w:rPr>
          <w:rFonts w:cs="Times New Roman"/>
        </w:rPr>
      </w:pPr>
    </w:p>
    <w:p w14:paraId="4D2D8A41" w14:textId="77777777" w:rsidR="00BD53DC" w:rsidRPr="00FD3029" w:rsidRDefault="00BD53DC" w:rsidP="00BD53DC">
      <w:pPr>
        <w:jc w:val="both"/>
        <w:rPr>
          <w:rFonts w:cs="Times New Roman"/>
        </w:rPr>
      </w:pPr>
    </w:p>
    <w:p w14:paraId="671DC0CB" w14:textId="77777777" w:rsidR="004254BF" w:rsidRPr="00FD3029" w:rsidRDefault="00FE727F" w:rsidP="00FE727F">
      <w:pPr>
        <w:pStyle w:val="Heading3"/>
        <w:spacing w:before="0"/>
        <w:ind w:left="1439" w:hanging="645"/>
        <w:rPr>
          <w:rFonts w:cs="Times New Roman"/>
        </w:rPr>
      </w:pPr>
      <w:r w:rsidRPr="00FD3029">
        <w:rPr>
          <w:rFonts w:cs="Times New Roman"/>
        </w:rPr>
        <w:t>C.2</w:t>
      </w:r>
      <w:r w:rsidRPr="00FD3029">
        <w:rPr>
          <w:rFonts w:cs="Times New Roman"/>
        </w:rPr>
        <w:tab/>
      </w:r>
      <w:r w:rsidR="004254BF" w:rsidRPr="00FD3029">
        <w:rPr>
          <w:rFonts w:cs="Times New Roman"/>
        </w:rPr>
        <w:t xml:space="preserve">Private grievance mechanisms in a public law setting: </w:t>
      </w:r>
      <w:r w:rsidR="00A21725">
        <w:rPr>
          <w:rFonts w:cs="Times New Roman"/>
        </w:rPr>
        <w:t>U</w:t>
      </w:r>
      <w:r w:rsidR="004254BF" w:rsidRPr="00FD3029">
        <w:rPr>
          <w:rFonts w:cs="Times New Roman"/>
        </w:rPr>
        <w:t>nderstanding and appreciating the value and role of wider regulatory regimes</w:t>
      </w:r>
    </w:p>
    <w:p w14:paraId="7B7A1C23" w14:textId="77777777" w:rsidR="00BD53DC" w:rsidRPr="00FD3029" w:rsidRDefault="00BD53DC" w:rsidP="00BD53DC">
      <w:pPr>
        <w:jc w:val="both"/>
        <w:rPr>
          <w:rFonts w:cs="Times New Roman"/>
          <w:szCs w:val="24"/>
        </w:rPr>
      </w:pPr>
    </w:p>
    <w:p w14:paraId="1696563D" w14:textId="77777777" w:rsidR="004254BF" w:rsidRPr="00FD3029" w:rsidRDefault="00B47ACB" w:rsidP="00BD53DC">
      <w:pPr>
        <w:jc w:val="both"/>
        <w:rPr>
          <w:rFonts w:cs="Times New Roman"/>
          <w:color w:val="000000"/>
          <w:szCs w:val="24"/>
        </w:rPr>
      </w:pPr>
      <w:r>
        <w:rPr>
          <w:rFonts w:cs="Times New Roman"/>
          <w:szCs w:val="24"/>
        </w:rPr>
        <w:t>Responses to various i</w:t>
      </w:r>
      <w:r w:rsidR="00A21725">
        <w:rPr>
          <w:rFonts w:cs="Times New Roman"/>
          <w:szCs w:val="24"/>
        </w:rPr>
        <w:t xml:space="preserve">nformation-gathering activities for ARP III </w:t>
      </w:r>
      <w:r w:rsidR="004254BF" w:rsidRPr="00FD3029">
        <w:rPr>
          <w:rFonts w:cs="Times New Roman"/>
          <w:szCs w:val="24"/>
        </w:rPr>
        <w:t xml:space="preserve">suggest that the points </w:t>
      </w:r>
      <w:r w:rsidR="00A21725">
        <w:rPr>
          <w:rFonts w:cs="Times New Roman"/>
          <w:szCs w:val="24"/>
        </w:rPr>
        <w:t xml:space="preserve">of </w:t>
      </w:r>
      <w:r w:rsidR="004254BF" w:rsidRPr="00FD3029">
        <w:rPr>
          <w:rFonts w:cs="Times New Roman"/>
          <w:szCs w:val="24"/>
        </w:rPr>
        <w:t>intersection between private and public remedial processes are not well understood.</w:t>
      </w:r>
      <w:r w:rsidR="004254BF" w:rsidRPr="00FD3029">
        <w:rPr>
          <w:rFonts w:cs="Times New Roman"/>
          <w:b/>
          <w:szCs w:val="24"/>
        </w:rPr>
        <w:t xml:space="preserve"> </w:t>
      </w:r>
      <w:r w:rsidR="00A21725">
        <w:rPr>
          <w:rFonts w:cs="Times New Roman"/>
          <w:szCs w:val="24"/>
        </w:rPr>
        <w:t xml:space="preserve">For instance, </w:t>
      </w:r>
      <w:r w:rsidR="004254BF" w:rsidRPr="00FD3029">
        <w:rPr>
          <w:rFonts w:cs="Times New Roman"/>
          <w:color w:val="000000"/>
          <w:szCs w:val="24"/>
        </w:rPr>
        <w:t xml:space="preserve">when asked about sources of guidance and information for the establishment of new grievance mechanisms, </w:t>
      </w:r>
      <w:r w:rsidR="00A21725">
        <w:rPr>
          <w:rFonts w:cs="Times New Roman"/>
          <w:color w:val="000000"/>
          <w:szCs w:val="24"/>
        </w:rPr>
        <w:t>v</w:t>
      </w:r>
      <w:r w:rsidR="00A21725" w:rsidRPr="00FD3029">
        <w:rPr>
          <w:rFonts w:cs="Times New Roman"/>
          <w:color w:val="000000"/>
          <w:szCs w:val="24"/>
        </w:rPr>
        <w:t xml:space="preserve">ery few </w:t>
      </w:r>
      <w:r w:rsidR="00A21725">
        <w:rPr>
          <w:rFonts w:cs="Times New Roman"/>
          <w:color w:val="000000"/>
          <w:szCs w:val="24"/>
        </w:rPr>
        <w:t xml:space="preserve">survey </w:t>
      </w:r>
      <w:r w:rsidR="00A21725" w:rsidRPr="00FD3029">
        <w:rPr>
          <w:rFonts w:cs="Times New Roman"/>
          <w:color w:val="000000"/>
          <w:szCs w:val="24"/>
        </w:rPr>
        <w:t>respondents mentioned “domestic legal regimes</w:t>
      </w:r>
      <w:r w:rsidR="00A21725">
        <w:rPr>
          <w:rFonts w:cs="Times New Roman"/>
          <w:color w:val="000000"/>
          <w:szCs w:val="24"/>
        </w:rPr>
        <w:t>.</w:t>
      </w:r>
      <w:r w:rsidR="00A21725" w:rsidRPr="00FD3029">
        <w:rPr>
          <w:rFonts w:cs="Times New Roman"/>
          <w:color w:val="000000"/>
          <w:szCs w:val="24"/>
        </w:rPr>
        <w:t>”</w:t>
      </w:r>
    </w:p>
    <w:p w14:paraId="20772ED0" w14:textId="77777777" w:rsidR="00BD53DC" w:rsidRPr="00FD3029" w:rsidRDefault="00BD53DC" w:rsidP="00BD53DC">
      <w:pPr>
        <w:jc w:val="both"/>
        <w:rPr>
          <w:rFonts w:cs="Times New Roman"/>
          <w:szCs w:val="24"/>
        </w:rPr>
      </w:pPr>
    </w:p>
    <w:p w14:paraId="174BB470" w14:textId="77777777" w:rsidR="004254BF" w:rsidRPr="00FD3029" w:rsidRDefault="004254BF" w:rsidP="00BD53DC">
      <w:pPr>
        <w:jc w:val="both"/>
        <w:rPr>
          <w:rFonts w:cs="Times New Roman"/>
          <w:color w:val="000000"/>
          <w:szCs w:val="24"/>
        </w:rPr>
      </w:pPr>
      <w:r w:rsidRPr="00FD3029">
        <w:rPr>
          <w:rFonts w:cs="Times New Roman"/>
          <w:szCs w:val="24"/>
        </w:rPr>
        <w:t>On the other hand, focussed work with legal practitioners from diverse jurisdictions has highlighted numerous</w:t>
      </w:r>
      <w:r w:rsidRPr="00FD3029">
        <w:rPr>
          <w:rFonts w:cs="Times New Roman"/>
          <w:color w:val="000000"/>
          <w:szCs w:val="24"/>
        </w:rPr>
        <w:t xml:space="preserve"> points of intersection between private remedy and public regimes which can have a bearing on the effectiveness of non-State-based grievance mechanisms in practice.  </w:t>
      </w:r>
      <w:r w:rsidR="00A21725">
        <w:rPr>
          <w:rFonts w:cs="Times New Roman"/>
          <w:color w:val="000000"/>
          <w:szCs w:val="24"/>
        </w:rPr>
        <w:t xml:space="preserve">Such regimes </w:t>
      </w:r>
      <w:r w:rsidRPr="00FD3029">
        <w:rPr>
          <w:rFonts w:cs="Times New Roman"/>
          <w:color w:val="000000"/>
          <w:szCs w:val="24"/>
        </w:rPr>
        <w:t xml:space="preserve">include criminal law, laws relating to civil wrongs, transparency law, competition law, trading standards, </w:t>
      </w:r>
      <w:r w:rsidR="00FD7714">
        <w:rPr>
          <w:rFonts w:cs="Times New Roman"/>
          <w:color w:val="000000"/>
          <w:szCs w:val="24"/>
        </w:rPr>
        <w:t>laws on “fair dealing</w:t>
      </w:r>
      <w:r w:rsidR="002A33C0">
        <w:rPr>
          <w:rFonts w:cs="Times New Roman"/>
          <w:color w:val="000000"/>
          <w:szCs w:val="24"/>
        </w:rPr>
        <w:t>,</w:t>
      </w:r>
      <w:r w:rsidR="00FD7714">
        <w:rPr>
          <w:rFonts w:cs="Times New Roman"/>
          <w:color w:val="000000"/>
          <w:szCs w:val="24"/>
        </w:rPr>
        <w:t xml:space="preserve">” </w:t>
      </w:r>
      <w:r w:rsidRPr="00FD3029">
        <w:rPr>
          <w:rFonts w:cs="Times New Roman"/>
          <w:color w:val="000000"/>
          <w:szCs w:val="24"/>
        </w:rPr>
        <w:t xml:space="preserve">privacy and data protection legislation, employment </w:t>
      </w:r>
      <w:r w:rsidR="002A33C0">
        <w:rPr>
          <w:rFonts w:cs="Times New Roman"/>
          <w:color w:val="000000"/>
          <w:szCs w:val="24"/>
        </w:rPr>
        <w:t xml:space="preserve">and industrial relations </w:t>
      </w:r>
      <w:r w:rsidRPr="00FD3029">
        <w:rPr>
          <w:rFonts w:cs="Times New Roman"/>
          <w:color w:val="000000"/>
          <w:szCs w:val="24"/>
        </w:rPr>
        <w:t>law</w:t>
      </w:r>
      <w:r w:rsidR="002A33C0">
        <w:rPr>
          <w:rFonts w:cs="Times New Roman"/>
          <w:color w:val="000000"/>
          <w:szCs w:val="24"/>
        </w:rPr>
        <w:t>s</w:t>
      </w:r>
      <w:r w:rsidRPr="00FD3029">
        <w:rPr>
          <w:rFonts w:cs="Times New Roman"/>
          <w:color w:val="000000"/>
          <w:szCs w:val="24"/>
        </w:rPr>
        <w:t>, contract law, banking law, property law, laws on healthcare, bankruptcy law, defamation law, laws on arbitration (including laws on recognition of foreign arbitration awards)</w:t>
      </w:r>
      <w:r w:rsidR="00A21725">
        <w:rPr>
          <w:rFonts w:cs="Times New Roman"/>
          <w:color w:val="000000"/>
          <w:szCs w:val="24"/>
        </w:rPr>
        <w:t>,</w:t>
      </w:r>
      <w:r w:rsidRPr="00FD3029">
        <w:rPr>
          <w:rFonts w:cs="Times New Roman"/>
          <w:color w:val="000000"/>
          <w:szCs w:val="24"/>
        </w:rPr>
        <w:t xml:space="preserve"> and whistle</w:t>
      </w:r>
      <w:r w:rsidR="00A21725">
        <w:rPr>
          <w:rFonts w:cs="Times New Roman"/>
          <w:color w:val="000000"/>
          <w:szCs w:val="24"/>
        </w:rPr>
        <w:t>-</w:t>
      </w:r>
      <w:r w:rsidRPr="00FD3029">
        <w:rPr>
          <w:rFonts w:cs="Times New Roman"/>
          <w:color w:val="000000"/>
          <w:szCs w:val="24"/>
        </w:rPr>
        <w:t xml:space="preserve">blower protection. </w:t>
      </w:r>
    </w:p>
    <w:p w14:paraId="4E55DC1E" w14:textId="77777777" w:rsidR="00BD53DC" w:rsidRPr="00FD3029" w:rsidRDefault="00BD53DC" w:rsidP="00BD53DC">
      <w:pPr>
        <w:jc w:val="both"/>
        <w:rPr>
          <w:rFonts w:cs="Times New Roman"/>
          <w:color w:val="000000"/>
          <w:szCs w:val="24"/>
        </w:rPr>
      </w:pPr>
    </w:p>
    <w:p w14:paraId="4EEA43EA" w14:textId="6751F577" w:rsidR="004254BF" w:rsidRPr="00FD3029" w:rsidRDefault="004254BF" w:rsidP="00BD53DC">
      <w:pPr>
        <w:jc w:val="both"/>
        <w:rPr>
          <w:rFonts w:cs="Times New Roman"/>
          <w:color w:val="000000"/>
          <w:szCs w:val="24"/>
        </w:rPr>
      </w:pPr>
      <w:r w:rsidRPr="00FD3029">
        <w:rPr>
          <w:rFonts w:cs="Times New Roman"/>
          <w:color w:val="000000"/>
          <w:szCs w:val="24"/>
        </w:rPr>
        <w:t xml:space="preserve">Although non-State-based grievance mechanisms are often set up with the intention of supplementing or “filling gaps” in domestic regulatory systems, the tendency to view private grievance processes and public law regulation as somehow “apart” from each other is potentially counterproductive for a number of reasons.  Not only does </w:t>
      </w:r>
      <w:r w:rsidR="00375196">
        <w:rPr>
          <w:rFonts w:cs="Times New Roman"/>
          <w:color w:val="000000"/>
          <w:szCs w:val="24"/>
        </w:rPr>
        <w:t>this cut across</w:t>
      </w:r>
      <w:r w:rsidRPr="00FD3029">
        <w:rPr>
          <w:rFonts w:cs="Times New Roman"/>
          <w:color w:val="000000"/>
          <w:szCs w:val="24"/>
        </w:rPr>
        <w:t xml:space="preserve"> the </w:t>
      </w:r>
      <w:r w:rsidR="005E5905">
        <w:rPr>
          <w:rFonts w:cs="Times New Roman"/>
          <w:color w:val="000000"/>
          <w:szCs w:val="24"/>
        </w:rPr>
        <w:t xml:space="preserve">responsibility of </w:t>
      </w:r>
      <w:r w:rsidR="00375196">
        <w:rPr>
          <w:rFonts w:cs="Times New Roman"/>
          <w:color w:val="000000"/>
          <w:szCs w:val="24"/>
        </w:rPr>
        <w:t xml:space="preserve">every </w:t>
      </w:r>
      <w:r w:rsidR="005E5905">
        <w:rPr>
          <w:rFonts w:cs="Times New Roman"/>
          <w:color w:val="000000"/>
          <w:szCs w:val="24"/>
        </w:rPr>
        <w:t xml:space="preserve">State </w:t>
      </w:r>
      <w:r w:rsidR="00375196">
        <w:rPr>
          <w:rFonts w:cs="Times New Roman"/>
          <w:color w:val="000000"/>
          <w:szCs w:val="24"/>
        </w:rPr>
        <w:t xml:space="preserve">under international law </w:t>
      </w:r>
      <w:r w:rsidR="005E5905">
        <w:rPr>
          <w:rFonts w:cs="Times New Roman"/>
          <w:color w:val="000000"/>
          <w:szCs w:val="24"/>
        </w:rPr>
        <w:t>to respect, protect</w:t>
      </w:r>
      <w:r w:rsidR="00712914">
        <w:rPr>
          <w:rFonts w:cs="Times New Roman"/>
          <w:color w:val="000000"/>
          <w:szCs w:val="24"/>
        </w:rPr>
        <w:t>,</w:t>
      </w:r>
      <w:r w:rsidR="005E5905">
        <w:rPr>
          <w:rFonts w:cs="Times New Roman"/>
          <w:color w:val="000000"/>
          <w:szCs w:val="24"/>
        </w:rPr>
        <w:t xml:space="preserve"> and fulfil human rights</w:t>
      </w:r>
      <w:r w:rsidR="00375196">
        <w:rPr>
          <w:rFonts w:cs="Times New Roman"/>
          <w:color w:val="000000"/>
          <w:szCs w:val="24"/>
        </w:rPr>
        <w:t xml:space="preserve">, it also obscures the </w:t>
      </w:r>
      <w:r w:rsidRPr="00FD3029">
        <w:rPr>
          <w:rFonts w:cs="Times New Roman"/>
          <w:color w:val="000000"/>
          <w:szCs w:val="24"/>
        </w:rPr>
        <w:t xml:space="preserve">vital role of the State with respect to the </w:t>
      </w:r>
      <w:r w:rsidR="00615533">
        <w:rPr>
          <w:rFonts w:cs="Times New Roman"/>
          <w:color w:val="000000"/>
          <w:szCs w:val="24"/>
        </w:rPr>
        <w:t xml:space="preserve">effectiveness </w:t>
      </w:r>
      <w:r w:rsidRPr="00FD3029">
        <w:rPr>
          <w:rFonts w:cs="Times New Roman"/>
          <w:color w:val="000000"/>
          <w:szCs w:val="24"/>
        </w:rPr>
        <w:t>of these types of mechanisms (with attendant consequences for legal development</w:t>
      </w:r>
      <w:r w:rsidR="00615533">
        <w:rPr>
          <w:rFonts w:cs="Times New Roman"/>
          <w:color w:val="000000"/>
          <w:szCs w:val="24"/>
        </w:rPr>
        <w:t>)</w:t>
      </w:r>
      <w:r w:rsidRPr="00FD3029">
        <w:rPr>
          <w:rFonts w:cs="Times New Roman"/>
          <w:color w:val="000000"/>
          <w:szCs w:val="24"/>
        </w:rPr>
        <w:t xml:space="preserve"> </w:t>
      </w:r>
      <w:r w:rsidR="00615533">
        <w:rPr>
          <w:rFonts w:cs="Times New Roman"/>
          <w:color w:val="000000"/>
          <w:szCs w:val="24"/>
        </w:rPr>
        <w:t>(</w:t>
      </w:r>
      <w:r w:rsidRPr="00FD3029">
        <w:rPr>
          <w:rFonts w:cs="Times New Roman"/>
          <w:color w:val="000000"/>
          <w:szCs w:val="24"/>
        </w:rPr>
        <w:t>see further C.3)</w:t>
      </w:r>
      <w:r w:rsidR="00375196">
        <w:rPr>
          <w:rFonts w:cs="Times New Roman"/>
          <w:color w:val="000000"/>
          <w:szCs w:val="24"/>
        </w:rPr>
        <w:t xml:space="preserve">.  The likely consequence is </w:t>
      </w:r>
      <w:r w:rsidRPr="00FD3029">
        <w:rPr>
          <w:rFonts w:cs="Times New Roman"/>
          <w:color w:val="000000"/>
          <w:szCs w:val="24"/>
        </w:rPr>
        <w:t xml:space="preserve">that opportunities for pursuing complementary, mutually reinforcing processes in individual cases </w:t>
      </w:r>
      <w:r w:rsidR="00375196">
        <w:rPr>
          <w:rFonts w:cs="Times New Roman"/>
          <w:color w:val="000000"/>
          <w:szCs w:val="24"/>
        </w:rPr>
        <w:t>are</w:t>
      </w:r>
      <w:r w:rsidR="00375196" w:rsidRPr="00FD3029">
        <w:rPr>
          <w:rFonts w:cs="Times New Roman"/>
          <w:color w:val="000000"/>
          <w:szCs w:val="24"/>
        </w:rPr>
        <w:t xml:space="preserve"> </w:t>
      </w:r>
      <w:r w:rsidRPr="00FD3029">
        <w:rPr>
          <w:rFonts w:cs="Times New Roman"/>
          <w:color w:val="000000"/>
          <w:szCs w:val="24"/>
        </w:rPr>
        <w:t>being overlooked.</w:t>
      </w:r>
    </w:p>
    <w:p w14:paraId="0C3C39C2" w14:textId="77777777" w:rsidR="00BD53DC" w:rsidRPr="00FD3029" w:rsidRDefault="00BD53DC" w:rsidP="00BD53DC">
      <w:pPr>
        <w:jc w:val="both"/>
        <w:rPr>
          <w:rFonts w:cs="Times New Roman"/>
          <w:color w:val="000000"/>
          <w:szCs w:val="24"/>
        </w:rPr>
      </w:pPr>
    </w:p>
    <w:p w14:paraId="7D808178" w14:textId="77777777" w:rsidR="00BD53DC" w:rsidRPr="00FD3029" w:rsidRDefault="004254BF" w:rsidP="00BD53DC">
      <w:pPr>
        <w:jc w:val="both"/>
        <w:rPr>
          <w:rFonts w:cs="Times New Roman"/>
          <w:color w:val="000000"/>
          <w:szCs w:val="24"/>
        </w:rPr>
      </w:pPr>
      <w:r w:rsidRPr="00FD3029">
        <w:rPr>
          <w:rFonts w:cs="Times New Roman"/>
          <w:color w:val="000000"/>
          <w:szCs w:val="24"/>
        </w:rPr>
        <w:t xml:space="preserve">This seems to be borne out by the </w:t>
      </w:r>
      <w:r w:rsidR="00615533">
        <w:rPr>
          <w:rFonts w:cs="Times New Roman"/>
          <w:color w:val="000000"/>
          <w:szCs w:val="24"/>
        </w:rPr>
        <w:t xml:space="preserve">ARP III </w:t>
      </w:r>
      <w:r w:rsidRPr="00FD3029">
        <w:rPr>
          <w:rFonts w:cs="Times New Roman"/>
          <w:color w:val="000000"/>
          <w:szCs w:val="24"/>
        </w:rPr>
        <w:t xml:space="preserve">survey outcomes.  Despite there being broad recognition of the need for good working relationships between operators of private </w:t>
      </w:r>
      <w:r w:rsidR="00615533">
        <w:rPr>
          <w:rFonts w:cs="Times New Roman"/>
          <w:color w:val="000000"/>
          <w:szCs w:val="24"/>
        </w:rPr>
        <w:t>grievance</w:t>
      </w:r>
      <w:r w:rsidR="00615533" w:rsidRPr="00FD3029">
        <w:rPr>
          <w:rFonts w:cs="Times New Roman"/>
          <w:color w:val="000000"/>
          <w:szCs w:val="24"/>
        </w:rPr>
        <w:t xml:space="preserve"> </w:t>
      </w:r>
      <w:r w:rsidRPr="00FD3029">
        <w:rPr>
          <w:rFonts w:cs="Times New Roman"/>
          <w:color w:val="000000"/>
          <w:szCs w:val="24"/>
        </w:rPr>
        <w:t>mechanisms and relevant State agencies (including regulators and law enforcement), few examples were given of private grievance mechanisms with clear policies and protocols with respect to engagement with State agencies (e.g. in the event that criminal conduct is discovered).  A further potential disadvantage of this silo</w:t>
      </w:r>
      <w:r w:rsidR="00615533">
        <w:rPr>
          <w:rFonts w:cs="Times New Roman"/>
          <w:color w:val="000000"/>
          <w:szCs w:val="24"/>
        </w:rPr>
        <w:t>ed</w:t>
      </w:r>
      <w:r w:rsidRPr="00FD3029">
        <w:rPr>
          <w:rFonts w:cs="Times New Roman"/>
          <w:color w:val="000000"/>
          <w:szCs w:val="24"/>
        </w:rPr>
        <w:t xml:space="preserve"> approach is that opportunities to improve the effectiveness of private grievance mechanisms by capitalising on the provisions of wider domestic regimes (e.g. regimes relating to whistle</w:t>
      </w:r>
      <w:r w:rsidR="00615533">
        <w:rPr>
          <w:rFonts w:cs="Times New Roman"/>
          <w:color w:val="000000"/>
          <w:szCs w:val="24"/>
        </w:rPr>
        <w:t>-</w:t>
      </w:r>
      <w:r w:rsidRPr="00FD3029">
        <w:rPr>
          <w:rFonts w:cs="Times New Roman"/>
          <w:color w:val="000000"/>
          <w:szCs w:val="24"/>
        </w:rPr>
        <w:t>bl</w:t>
      </w:r>
      <w:r w:rsidR="009165C7">
        <w:rPr>
          <w:rFonts w:cs="Times New Roman"/>
          <w:color w:val="000000"/>
          <w:szCs w:val="24"/>
        </w:rPr>
        <w:t>ower protection) may be missed.</w:t>
      </w:r>
    </w:p>
    <w:p w14:paraId="59D19D7D" w14:textId="77777777" w:rsidR="001234D5" w:rsidRDefault="001234D5" w:rsidP="001234D5">
      <w:pPr>
        <w:jc w:val="both"/>
        <w:rPr>
          <w:rFonts w:cs="Times New Roman"/>
          <w:szCs w:val="24"/>
        </w:rPr>
      </w:pPr>
    </w:p>
    <w:tbl>
      <w:tblPr>
        <w:tblStyle w:val="TableGrid"/>
        <w:tblW w:w="0" w:type="auto"/>
        <w:tblLook w:val="04A0" w:firstRow="1" w:lastRow="0" w:firstColumn="1" w:lastColumn="0" w:noHBand="0" w:noVBand="1"/>
      </w:tblPr>
      <w:tblGrid>
        <w:gridCol w:w="9016"/>
      </w:tblGrid>
      <w:tr w:rsidR="001234D5" w:rsidRPr="00FD3029" w14:paraId="6115D3A4" w14:textId="77777777" w:rsidTr="00651E35">
        <w:trPr>
          <w:trHeight w:val="841"/>
        </w:trPr>
        <w:tc>
          <w:tcPr>
            <w:tcW w:w="9016" w:type="dxa"/>
            <w:shd w:val="clear" w:color="auto" w:fill="DEEAF6" w:themeFill="accent1" w:themeFillTint="33"/>
          </w:tcPr>
          <w:p w14:paraId="599398A1" w14:textId="77777777" w:rsidR="001234D5" w:rsidRDefault="001234D5" w:rsidP="00651E35">
            <w:pPr>
              <w:jc w:val="both"/>
              <w:rPr>
                <w:rFonts w:cs="Times New Roman"/>
                <w:b/>
                <w:i/>
                <w:szCs w:val="24"/>
              </w:rPr>
            </w:pPr>
            <w:r>
              <w:rPr>
                <w:rFonts w:cs="Times New Roman"/>
                <w:b/>
                <w:i/>
                <w:szCs w:val="24"/>
              </w:rPr>
              <w:t>Discussion Questions</w:t>
            </w:r>
          </w:p>
          <w:p w14:paraId="0E5338A0" w14:textId="77777777" w:rsidR="001234D5" w:rsidRDefault="001234D5" w:rsidP="00651E35">
            <w:pPr>
              <w:pStyle w:val="ListParagraph"/>
              <w:numPr>
                <w:ilvl w:val="0"/>
                <w:numId w:val="49"/>
              </w:numPr>
              <w:jc w:val="both"/>
              <w:rPr>
                <w:rFonts w:cs="Times New Roman"/>
                <w:szCs w:val="24"/>
              </w:rPr>
            </w:pPr>
            <w:r w:rsidRPr="00BD52E4">
              <w:rPr>
                <w:rFonts w:cs="Times New Roman"/>
                <w:szCs w:val="24"/>
              </w:rPr>
              <w:t>Do you agree with the observations made in this section?  If not, why not?</w:t>
            </w:r>
          </w:p>
          <w:p w14:paraId="29B00753" w14:textId="77777777" w:rsidR="001234D5" w:rsidRPr="00BD52E4" w:rsidRDefault="001234D5" w:rsidP="00651E35">
            <w:pPr>
              <w:pStyle w:val="ListParagraph"/>
              <w:numPr>
                <w:ilvl w:val="0"/>
                <w:numId w:val="49"/>
              </w:numPr>
              <w:jc w:val="both"/>
              <w:rPr>
                <w:rFonts w:cs="Times New Roman"/>
                <w:szCs w:val="24"/>
              </w:rPr>
            </w:pPr>
            <w:r w:rsidRPr="00BD52E4">
              <w:rPr>
                <w:rFonts w:cs="Times New Roman"/>
                <w:szCs w:val="24"/>
              </w:rPr>
              <w:t>Are there any further issues, challenges, trends</w:t>
            </w:r>
            <w:r>
              <w:rPr>
                <w:rFonts w:cs="Times New Roman"/>
                <w:szCs w:val="24"/>
              </w:rPr>
              <w:t>,</w:t>
            </w:r>
            <w:r w:rsidRPr="00BD52E4">
              <w:rPr>
                <w:rFonts w:cs="Times New Roman"/>
                <w:szCs w:val="24"/>
              </w:rPr>
              <w:t xml:space="preserve"> or opportunities that you would like to bring to the attention of the ARP III team?  If so, what are these?</w:t>
            </w:r>
          </w:p>
        </w:tc>
      </w:tr>
    </w:tbl>
    <w:p w14:paraId="45F3C910" w14:textId="11E6CB6A" w:rsidR="004254BF" w:rsidRPr="00FD3029" w:rsidRDefault="004254BF" w:rsidP="00BD53DC">
      <w:pPr>
        <w:jc w:val="both"/>
        <w:rPr>
          <w:rFonts w:cs="Times New Roman"/>
          <w:b/>
        </w:rPr>
      </w:pPr>
    </w:p>
    <w:p w14:paraId="34753704" w14:textId="77777777" w:rsidR="00BD53DC" w:rsidRPr="00FD3029" w:rsidRDefault="00BD53DC" w:rsidP="00BD53DC">
      <w:pPr>
        <w:jc w:val="both"/>
        <w:rPr>
          <w:rFonts w:cs="Times New Roman"/>
          <w:b/>
        </w:rPr>
      </w:pPr>
    </w:p>
    <w:p w14:paraId="0FCC63E1" w14:textId="77777777" w:rsidR="004254BF" w:rsidRPr="00FD3029" w:rsidRDefault="00FE727F" w:rsidP="00FE727F">
      <w:pPr>
        <w:pStyle w:val="Heading3"/>
        <w:spacing w:before="0"/>
        <w:ind w:left="1439" w:hanging="645"/>
        <w:rPr>
          <w:rFonts w:cs="Times New Roman"/>
        </w:rPr>
      </w:pPr>
      <w:r w:rsidRPr="00FD3029">
        <w:rPr>
          <w:rFonts w:cs="Times New Roman"/>
        </w:rPr>
        <w:t>C.3</w:t>
      </w:r>
      <w:r w:rsidRPr="00FD3029">
        <w:rPr>
          <w:rFonts w:cs="Times New Roman"/>
        </w:rPr>
        <w:tab/>
      </w:r>
      <w:r w:rsidR="004254BF" w:rsidRPr="00FD3029">
        <w:rPr>
          <w:rFonts w:cs="Times New Roman"/>
        </w:rPr>
        <w:t xml:space="preserve">Implications of </w:t>
      </w:r>
      <w:r w:rsidR="00615533">
        <w:rPr>
          <w:rFonts w:cs="Times New Roman"/>
        </w:rPr>
        <w:t xml:space="preserve">the </w:t>
      </w:r>
      <w:r w:rsidR="004254BF" w:rsidRPr="00FD3029">
        <w:rPr>
          <w:rFonts w:cs="Times New Roman"/>
        </w:rPr>
        <w:t>growth in non-State-based grievance mechanisms for domestic legal development</w:t>
      </w:r>
    </w:p>
    <w:p w14:paraId="2F2076E5" w14:textId="77777777" w:rsidR="00BD53DC" w:rsidRPr="00FD3029" w:rsidRDefault="00BD53DC" w:rsidP="00BD53DC">
      <w:pPr>
        <w:jc w:val="both"/>
        <w:rPr>
          <w:rFonts w:cs="Times New Roman"/>
          <w:color w:val="000000"/>
          <w:szCs w:val="24"/>
        </w:rPr>
      </w:pPr>
    </w:p>
    <w:p w14:paraId="0B7E05F6" w14:textId="77777777" w:rsidR="004254BF" w:rsidRPr="00FD3029" w:rsidRDefault="004254BF" w:rsidP="00BD53DC">
      <w:pPr>
        <w:jc w:val="both"/>
        <w:rPr>
          <w:rFonts w:cs="Times New Roman"/>
          <w:color w:val="000000"/>
          <w:szCs w:val="24"/>
        </w:rPr>
      </w:pPr>
      <w:r w:rsidRPr="00FD3029">
        <w:rPr>
          <w:rFonts w:cs="Times New Roman"/>
          <w:color w:val="000000"/>
          <w:szCs w:val="24"/>
        </w:rPr>
        <w:t>The growth of non-State-based grievance mechanisms raises complex and challenging policy questions about the correct allocation of “regulatory” roles between public and private actors.</w:t>
      </w:r>
      <w:r w:rsidRPr="00FD3029">
        <w:rPr>
          <w:rFonts w:cs="Times New Roman"/>
          <w:b/>
          <w:color w:val="000000"/>
          <w:szCs w:val="24"/>
        </w:rPr>
        <w:t xml:space="preserve">  </w:t>
      </w:r>
      <w:r w:rsidRPr="00FD3029">
        <w:rPr>
          <w:rFonts w:cs="Times New Roman"/>
          <w:color w:val="000000"/>
          <w:szCs w:val="24"/>
        </w:rPr>
        <w:t xml:space="preserve">While the benefits of private grievance mechanisms as a means of relieving the burden on courts and regulatory authorities seem widely recognised and acknowledged, some </w:t>
      </w:r>
      <w:r w:rsidR="00EF1B12">
        <w:rPr>
          <w:rFonts w:cs="Times New Roman"/>
          <w:color w:val="000000"/>
          <w:szCs w:val="24"/>
        </w:rPr>
        <w:t>contributors</w:t>
      </w:r>
      <w:r w:rsidR="00EF1B12" w:rsidRPr="00FD3029">
        <w:rPr>
          <w:rFonts w:cs="Times New Roman"/>
          <w:color w:val="000000"/>
          <w:szCs w:val="24"/>
        </w:rPr>
        <w:t xml:space="preserve"> </w:t>
      </w:r>
      <w:r w:rsidRPr="00FD3029">
        <w:rPr>
          <w:rFonts w:cs="Times New Roman"/>
          <w:color w:val="000000"/>
          <w:szCs w:val="24"/>
        </w:rPr>
        <w:t xml:space="preserve">used the opportunity of ARP III </w:t>
      </w:r>
      <w:r w:rsidR="006D2CE3">
        <w:rPr>
          <w:rFonts w:cs="Times New Roman"/>
          <w:color w:val="000000"/>
          <w:szCs w:val="24"/>
        </w:rPr>
        <w:t>information-gathering activities</w:t>
      </w:r>
      <w:r w:rsidRPr="00FD3029">
        <w:rPr>
          <w:rFonts w:cs="Times New Roman"/>
          <w:color w:val="000000"/>
          <w:szCs w:val="24"/>
        </w:rPr>
        <w:t xml:space="preserve"> to draw attention to some potential pitfalls of a growing reliance on private regulation.  Some pointed out the problem of duplication of inspections creating a potentially confusing (not to mention inefficient) situation for companies and affected people (especially workers) (see also C.1).  Others pointed out the risk that State agencies could become complacent and begin over-relying on business-led remedial efforts.  It was also suggested that in some cases people may be favouring private mechanisms over public ones in part because of a perception that safeguarding arrangements are better under private mechanisms (see further C.5).  </w:t>
      </w:r>
      <w:r w:rsidR="00700574" w:rsidRPr="00FD3029">
        <w:rPr>
          <w:rFonts w:cs="Times New Roman"/>
          <w:color w:val="000000"/>
          <w:szCs w:val="24"/>
        </w:rPr>
        <w:t xml:space="preserve">  </w:t>
      </w:r>
      <w:r w:rsidR="00700574">
        <w:rPr>
          <w:rFonts w:cs="Times New Roman"/>
          <w:color w:val="000000"/>
          <w:szCs w:val="24"/>
        </w:rPr>
        <w:t xml:space="preserve">Given the primacy of States as guarantors of human rights under international law, this is obviously of great concern.  </w:t>
      </w:r>
    </w:p>
    <w:p w14:paraId="7CB76EE1" w14:textId="77777777" w:rsidR="00BD53DC" w:rsidRPr="00FD3029" w:rsidRDefault="00BD53DC" w:rsidP="00BD53DC">
      <w:pPr>
        <w:jc w:val="both"/>
        <w:rPr>
          <w:rFonts w:cs="Times New Roman"/>
          <w:color w:val="000000"/>
          <w:szCs w:val="24"/>
        </w:rPr>
      </w:pPr>
    </w:p>
    <w:p w14:paraId="242596A4" w14:textId="77777777" w:rsidR="004254BF" w:rsidRPr="00FD3029" w:rsidRDefault="00700574" w:rsidP="00BD53DC">
      <w:pPr>
        <w:jc w:val="both"/>
        <w:rPr>
          <w:rFonts w:cs="Times New Roman"/>
          <w:color w:val="000000"/>
          <w:szCs w:val="24"/>
        </w:rPr>
      </w:pPr>
      <w:r>
        <w:rPr>
          <w:rFonts w:cs="Times New Roman"/>
          <w:color w:val="000000"/>
          <w:szCs w:val="24"/>
        </w:rPr>
        <w:t>Consistent with the above, t</w:t>
      </w:r>
      <w:r w:rsidR="004E2153">
        <w:rPr>
          <w:rFonts w:cs="Times New Roman"/>
          <w:color w:val="000000"/>
          <w:szCs w:val="24"/>
        </w:rPr>
        <w:t xml:space="preserve">here appears to be a </w:t>
      </w:r>
      <w:r w:rsidR="004254BF" w:rsidRPr="00FD3029">
        <w:rPr>
          <w:rFonts w:cs="Times New Roman"/>
          <w:color w:val="000000"/>
          <w:szCs w:val="24"/>
        </w:rPr>
        <w:t>general disengagement by State agencies in the activities of private grievance mechanisms</w:t>
      </w:r>
      <w:r>
        <w:rPr>
          <w:rFonts w:cs="Times New Roman"/>
          <w:color w:val="000000"/>
          <w:szCs w:val="24"/>
        </w:rPr>
        <w:t xml:space="preserve"> relevant to business and human rights</w:t>
      </w:r>
      <w:r w:rsidR="004254BF" w:rsidRPr="00FD3029">
        <w:rPr>
          <w:rFonts w:cs="Times New Roman"/>
          <w:color w:val="000000"/>
          <w:szCs w:val="24"/>
        </w:rPr>
        <w:t>, despite the regulatory implications.</w:t>
      </w:r>
      <w:r>
        <w:rPr>
          <w:rFonts w:cs="Times New Roman"/>
          <w:color w:val="000000"/>
          <w:szCs w:val="24"/>
        </w:rPr>
        <w:t xml:space="preserve"> </w:t>
      </w:r>
      <w:r w:rsidR="004254BF" w:rsidRPr="00FD3029">
        <w:rPr>
          <w:rFonts w:cs="Times New Roman"/>
          <w:color w:val="000000"/>
          <w:szCs w:val="24"/>
        </w:rPr>
        <w:t xml:space="preserve">One </w:t>
      </w:r>
      <w:r w:rsidR="004E2153">
        <w:rPr>
          <w:rFonts w:cs="Times New Roman"/>
          <w:color w:val="000000"/>
          <w:szCs w:val="24"/>
        </w:rPr>
        <w:t xml:space="preserve">survey </w:t>
      </w:r>
      <w:r w:rsidR="004254BF" w:rsidRPr="00FD3029">
        <w:rPr>
          <w:rFonts w:cs="Times New Roman"/>
          <w:color w:val="000000"/>
          <w:szCs w:val="24"/>
        </w:rPr>
        <w:t>respondent observed that regulatory agencies can sometimes be unsure of their proper role; while they may wish to support the creation of more options for obtaining private remedies, they are wary of interfering too much and blurring the lines between “official” and private activities.</w:t>
      </w:r>
    </w:p>
    <w:p w14:paraId="2A888F8C" w14:textId="77777777" w:rsidR="001234D5" w:rsidRDefault="001234D5" w:rsidP="001234D5">
      <w:pPr>
        <w:jc w:val="both"/>
        <w:rPr>
          <w:rFonts w:cs="Times New Roman"/>
          <w:szCs w:val="24"/>
        </w:rPr>
      </w:pPr>
    </w:p>
    <w:tbl>
      <w:tblPr>
        <w:tblStyle w:val="TableGrid"/>
        <w:tblW w:w="0" w:type="auto"/>
        <w:tblLook w:val="04A0" w:firstRow="1" w:lastRow="0" w:firstColumn="1" w:lastColumn="0" w:noHBand="0" w:noVBand="1"/>
      </w:tblPr>
      <w:tblGrid>
        <w:gridCol w:w="9016"/>
      </w:tblGrid>
      <w:tr w:rsidR="001234D5" w:rsidRPr="00FD3029" w14:paraId="2D97FC83" w14:textId="77777777" w:rsidTr="00651E35">
        <w:trPr>
          <w:trHeight w:val="841"/>
        </w:trPr>
        <w:tc>
          <w:tcPr>
            <w:tcW w:w="9016" w:type="dxa"/>
            <w:shd w:val="clear" w:color="auto" w:fill="DEEAF6" w:themeFill="accent1" w:themeFillTint="33"/>
          </w:tcPr>
          <w:p w14:paraId="53F7C2AD" w14:textId="77777777" w:rsidR="001234D5" w:rsidRDefault="001234D5" w:rsidP="00651E35">
            <w:pPr>
              <w:jc w:val="both"/>
              <w:rPr>
                <w:rFonts w:cs="Times New Roman"/>
                <w:b/>
                <w:i/>
                <w:szCs w:val="24"/>
              </w:rPr>
            </w:pPr>
            <w:r>
              <w:rPr>
                <w:rFonts w:cs="Times New Roman"/>
                <w:b/>
                <w:i/>
                <w:szCs w:val="24"/>
              </w:rPr>
              <w:t>Discussion Questions</w:t>
            </w:r>
          </w:p>
          <w:p w14:paraId="62F4585D" w14:textId="77777777" w:rsidR="001234D5" w:rsidRDefault="001234D5" w:rsidP="00651E35">
            <w:pPr>
              <w:pStyle w:val="ListParagraph"/>
              <w:numPr>
                <w:ilvl w:val="0"/>
                <w:numId w:val="49"/>
              </w:numPr>
              <w:jc w:val="both"/>
              <w:rPr>
                <w:rFonts w:cs="Times New Roman"/>
                <w:szCs w:val="24"/>
              </w:rPr>
            </w:pPr>
            <w:r w:rsidRPr="00BD52E4">
              <w:rPr>
                <w:rFonts w:cs="Times New Roman"/>
                <w:szCs w:val="24"/>
              </w:rPr>
              <w:t>Do you agree with the observations made in this section?  If not, why not?</w:t>
            </w:r>
          </w:p>
          <w:p w14:paraId="52EEC8BE" w14:textId="77777777" w:rsidR="001234D5" w:rsidRPr="00BD52E4" w:rsidRDefault="001234D5" w:rsidP="00651E35">
            <w:pPr>
              <w:pStyle w:val="ListParagraph"/>
              <w:numPr>
                <w:ilvl w:val="0"/>
                <w:numId w:val="49"/>
              </w:numPr>
              <w:jc w:val="both"/>
              <w:rPr>
                <w:rFonts w:cs="Times New Roman"/>
                <w:szCs w:val="24"/>
              </w:rPr>
            </w:pPr>
            <w:r w:rsidRPr="00BD52E4">
              <w:rPr>
                <w:rFonts w:cs="Times New Roman"/>
                <w:szCs w:val="24"/>
              </w:rPr>
              <w:t>Are there any further issues, challenges, trends</w:t>
            </w:r>
            <w:r>
              <w:rPr>
                <w:rFonts w:cs="Times New Roman"/>
                <w:szCs w:val="24"/>
              </w:rPr>
              <w:t>,</w:t>
            </w:r>
            <w:r w:rsidRPr="00BD52E4">
              <w:rPr>
                <w:rFonts w:cs="Times New Roman"/>
                <w:szCs w:val="24"/>
              </w:rPr>
              <w:t xml:space="preserve"> or opportunities that you would like to bring to the attention of the ARP III team?  If so, what are these?</w:t>
            </w:r>
          </w:p>
        </w:tc>
      </w:tr>
    </w:tbl>
    <w:p w14:paraId="5110D071" w14:textId="0D6EA103" w:rsidR="004254BF" w:rsidRPr="00FD3029" w:rsidRDefault="004254BF" w:rsidP="00BD53DC">
      <w:pPr>
        <w:jc w:val="both"/>
        <w:rPr>
          <w:rFonts w:cs="Times New Roman"/>
          <w:b/>
        </w:rPr>
      </w:pPr>
    </w:p>
    <w:p w14:paraId="0D19681B" w14:textId="4EC3BE5F" w:rsidR="00BD53DC" w:rsidRDefault="00BD53DC" w:rsidP="00BD53DC">
      <w:pPr>
        <w:jc w:val="both"/>
        <w:rPr>
          <w:rFonts w:cs="Times New Roman"/>
          <w:b/>
        </w:rPr>
      </w:pPr>
    </w:p>
    <w:p w14:paraId="466B1FF2" w14:textId="7DA696B4" w:rsidR="0027584E" w:rsidRDefault="0027584E" w:rsidP="00BD53DC">
      <w:pPr>
        <w:jc w:val="both"/>
        <w:rPr>
          <w:rFonts w:cs="Times New Roman"/>
          <w:b/>
        </w:rPr>
      </w:pPr>
    </w:p>
    <w:p w14:paraId="7AF07305" w14:textId="77777777" w:rsidR="0027584E" w:rsidRPr="00FD3029" w:rsidRDefault="0027584E" w:rsidP="00BD53DC">
      <w:pPr>
        <w:jc w:val="both"/>
        <w:rPr>
          <w:rFonts w:cs="Times New Roman"/>
          <w:b/>
        </w:rPr>
      </w:pPr>
    </w:p>
    <w:p w14:paraId="22BB7A40" w14:textId="77777777" w:rsidR="004254BF" w:rsidRPr="00FD3029" w:rsidRDefault="004254BF" w:rsidP="00FE727F">
      <w:pPr>
        <w:pStyle w:val="Heading3"/>
        <w:spacing w:before="0"/>
        <w:ind w:left="1439" w:hanging="645"/>
        <w:rPr>
          <w:rFonts w:cs="Times New Roman"/>
        </w:rPr>
      </w:pPr>
      <w:r w:rsidRPr="00FD3029">
        <w:rPr>
          <w:rFonts w:cs="Times New Roman"/>
        </w:rPr>
        <w:t>C.4</w:t>
      </w:r>
      <w:r w:rsidR="00FE727F" w:rsidRPr="00FD3029">
        <w:rPr>
          <w:rFonts w:cs="Times New Roman"/>
        </w:rPr>
        <w:tab/>
      </w:r>
      <w:r w:rsidRPr="00FD3029">
        <w:rPr>
          <w:rFonts w:cs="Times New Roman"/>
        </w:rPr>
        <w:t>Global, regional</w:t>
      </w:r>
      <w:r w:rsidR="00FF37AC">
        <w:rPr>
          <w:rFonts w:cs="Times New Roman"/>
        </w:rPr>
        <w:t>,</w:t>
      </w:r>
      <w:r w:rsidRPr="00FD3029">
        <w:rPr>
          <w:rFonts w:cs="Times New Roman"/>
        </w:rPr>
        <w:t xml:space="preserve"> or local?: </w:t>
      </w:r>
      <w:r w:rsidR="00FF37AC">
        <w:rPr>
          <w:rFonts w:cs="Times New Roman"/>
        </w:rPr>
        <w:t>N</w:t>
      </w:r>
      <w:r w:rsidRPr="00FD3029">
        <w:rPr>
          <w:rFonts w:cs="Times New Roman"/>
        </w:rPr>
        <w:t xml:space="preserve">on-State-based grievance mechanisms as a response to cross-border business and human rights challenges </w:t>
      </w:r>
    </w:p>
    <w:p w14:paraId="0D4DA3B3" w14:textId="77777777" w:rsidR="00BD53DC" w:rsidRPr="00FD3029" w:rsidRDefault="00BD53DC" w:rsidP="00BD53DC">
      <w:pPr>
        <w:jc w:val="both"/>
        <w:rPr>
          <w:rFonts w:cs="Times New Roman"/>
          <w:szCs w:val="24"/>
        </w:rPr>
      </w:pPr>
    </w:p>
    <w:p w14:paraId="768DB136" w14:textId="77777777" w:rsidR="004254BF" w:rsidRPr="00FD3029" w:rsidRDefault="004254BF" w:rsidP="00BD53DC">
      <w:pPr>
        <w:jc w:val="both"/>
        <w:rPr>
          <w:rFonts w:cs="Times New Roman"/>
          <w:szCs w:val="24"/>
        </w:rPr>
      </w:pPr>
      <w:r w:rsidRPr="00FD3029">
        <w:rPr>
          <w:rFonts w:cs="Times New Roman"/>
          <w:szCs w:val="24"/>
        </w:rPr>
        <w:t>Over the course of the project, ARP III researchers have gathered information on a diverse range of non-State-based grievance mechanisms.  These have included mechanisms which are “global” in nature, grievance mechanisms with a “regional” focus, and grievance mechanisms established for specific sites or factories.</w:t>
      </w:r>
    </w:p>
    <w:p w14:paraId="34D464BF" w14:textId="77777777" w:rsidR="00BD53DC" w:rsidRPr="00FD3029" w:rsidRDefault="00BD53DC" w:rsidP="00BD53DC">
      <w:pPr>
        <w:jc w:val="both"/>
        <w:rPr>
          <w:rFonts w:cs="Times New Roman"/>
          <w:szCs w:val="24"/>
        </w:rPr>
      </w:pPr>
    </w:p>
    <w:p w14:paraId="5329BE3D" w14:textId="77777777" w:rsidR="004254BF" w:rsidRPr="00FD3029" w:rsidRDefault="004254BF" w:rsidP="00BD53DC">
      <w:pPr>
        <w:jc w:val="both"/>
        <w:rPr>
          <w:rFonts w:cs="Times New Roman"/>
          <w:szCs w:val="24"/>
        </w:rPr>
      </w:pPr>
      <w:r w:rsidRPr="00FD3029">
        <w:rPr>
          <w:rFonts w:cs="Times New Roman"/>
          <w:szCs w:val="24"/>
        </w:rPr>
        <w:t xml:space="preserve">The standards enforced through “global” corporate grievance mechanisms </w:t>
      </w:r>
      <w:r w:rsidR="001B19C5">
        <w:rPr>
          <w:rFonts w:cs="Times New Roman"/>
          <w:szCs w:val="24"/>
        </w:rPr>
        <w:t xml:space="preserve">will in many cases </w:t>
      </w:r>
      <w:r w:rsidR="00700574">
        <w:rPr>
          <w:rFonts w:cs="Times New Roman"/>
          <w:szCs w:val="24"/>
        </w:rPr>
        <w:t>find expression</w:t>
      </w:r>
      <w:r w:rsidRPr="00FD3029">
        <w:rPr>
          <w:rFonts w:cs="Times New Roman"/>
          <w:szCs w:val="24"/>
        </w:rPr>
        <w:t xml:space="preserve"> in a corporate code of conduct in which a parent company sets out its expectations of staff, subsidiaries (and their staff), contractors, customers (e.g. in the case of banks), suppliers or distributors, or a combination of the above.  Th</w:t>
      </w:r>
      <w:r w:rsidR="001B19C5">
        <w:rPr>
          <w:rFonts w:cs="Times New Roman"/>
          <w:szCs w:val="24"/>
        </w:rPr>
        <w:t xml:space="preserve">at company </w:t>
      </w:r>
      <w:r w:rsidRPr="00FD3029">
        <w:rPr>
          <w:rFonts w:cs="Times New Roman"/>
          <w:szCs w:val="24"/>
        </w:rPr>
        <w:t>may invite complaints from any person, wherever located in the world, about possible breaches of the human rights commitments the relevant company has made.</w:t>
      </w:r>
    </w:p>
    <w:p w14:paraId="0374159D" w14:textId="77777777" w:rsidR="00BD53DC" w:rsidRPr="00FD3029" w:rsidRDefault="00BD53DC" w:rsidP="00BD53DC">
      <w:pPr>
        <w:jc w:val="both"/>
        <w:rPr>
          <w:rFonts w:cs="Times New Roman"/>
          <w:szCs w:val="24"/>
        </w:rPr>
      </w:pPr>
    </w:p>
    <w:p w14:paraId="176DC748" w14:textId="77777777" w:rsidR="004254BF" w:rsidRPr="00FD3029" w:rsidRDefault="004254BF" w:rsidP="00BD53DC">
      <w:pPr>
        <w:jc w:val="both"/>
        <w:rPr>
          <w:rFonts w:cs="Times New Roman"/>
          <w:szCs w:val="24"/>
        </w:rPr>
      </w:pPr>
      <w:r w:rsidRPr="00FD3029">
        <w:rPr>
          <w:rFonts w:cs="Times New Roman"/>
          <w:szCs w:val="24"/>
        </w:rPr>
        <w:t xml:space="preserve">Other examples of grievance mechanisms with “global” or “regional” scope include those operated by </w:t>
      </w:r>
      <w:r w:rsidR="00E604DF">
        <w:rPr>
          <w:rFonts w:cs="Times New Roman"/>
          <w:szCs w:val="24"/>
        </w:rPr>
        <w:t xml:space="preserve">industry, </w:t>
      </w:r>
      <w:r w:rsidRPr="00FD3029">
        <w:rPr>
          <w:rFonts w:cs="Times New Roman"/>
          <w:szCs w:val="24"/>
        </w:rPr>
        <w:t>multi-stakeholder</w:t>
      </w:r>
      <w:r w:rsidR="00E604DF">
        <w:rPr>
          <w:rFonts w:cs="Times New Roman"/>
          <w:szCs w:val="24"/>
        </w:rPr>
        <w:t>, or other collaborative</w:t>
      </w:r>
      <w:r w:rsidRPr="00FD3029">
        <w:rPr>
          <w:rFonts w:cs="Times New Roman"/>
          <w:szCs w:val="24"/>
        </w:rPr>
        <w:t xml:space="preserve"> initiatives aimed at raising the human rights standards of business enterprises.  </w:t>
      </w:r>
      <w:r w:rsidR="00E604DF">
        <w:rPr>
          <w:rFonts w:cs="Times New Roman"/>
          <w:szCs w:val="24"/>
        </w:rPr>
        <w:t>For instance, t</w:t>
      </w:r>
      <w:r w:rsidRPr="00FD3029">
        <w:rPr>
          <w:rFonts w:cs="Times New Roman"/>
          <w:szCs w:val="24"/>
        </w:rPr>
        <w:t xml:space="preserve">hrough </w:t>
      </w:r>
      <w:r w:rsidR="00E604DF">
        <w:rPr>
          <w:rFonts w:cs="Times New Roman"/>
          <w:szCs w:val="24"/>
        </w:rPr>
        <w:t>certification bodies</w:t>
      </w:r>
      <w:r w:rsidRPr="00FD3029">
        <w:rPr>
          <w:rFonts w:cs="Times New Roman"/>
          <w:szCs w:val="24"/>
        </w:rPr>
        <w:t xml:space="preserve">, people wishing to complain about breaches by companies of certification standards, wherever they may be, can do so through specially constituted processes.  </w:t>
      </w:r>
    </w:p>
    <w:p w14:paraId="6982E52D" w14:textId="77777777" w:rsidR="00BD53DC" w:rsidRPr="00FD3029" w:rsidRDefault="00BD53DC" w:rsidP="00BD53DC">
      <w:pPr>
        <w:jc w:val="both"/>
        <w:rPr>
          <w:rFonts w:cs="Times New Roman"/>
          <w:szCs w:val="24"/>
        </w:rPr>
      </w:pPr>
    </w:p>
    <w:p w14:paraId="5D9EEF40" w14:textId="77777777" w:rsidR="004254BF" w:rsidRPr="00FD3029" w:rsidRDefault="004254BF" w:rsidP="00BD53DC">
      <w:pPr>
        <w:jc w:val="both"/>
        <w:rPr>
          <w:rFonts w:cs="Times New Roman"/>
          <w:szCs w:val="24"/>
        </w:rPr>
      </w:pPr>
      <w:r w:rsidRPr="00FD3029">
        <w:rPr>
          <w:rFonts w:cs="Times New Roman"/>
          <w:szCs w:val="24"/>
        </w:rPr>
        <w:t>An obvious set of challenges facing any “global” grievance mechanism are the difficulties making the mechanism known, relevant, and responsive to stakeholder groups in diverse legal and operational contexts.  An often-made comment is that</w:t>
      </w:r>
      <w:r w:rsidR="005A7790">
        <w:rPr>
          <w:rFonts w:cs="Times New Roman"/>
          <w:szCs w:val="24"/>
        </w:rPr>
        <w:t xml:space="preserve">, from the perspective of </w:t>
      </w:r>
      <w:r w:rsidR="00E119C7">
        <w:rPr>
          <w:rFonts w:cs="Times New Roman"/>
          <w:szCs w:val="24"/>
        </w:rPr>
        <w:t>impacted persons</w:t>
      </w:r>
      <w:r w:rsidR="005A7790">
        <w:rPr>
          <w:rFonts w:cs="Times New Roman"/>
          <w:szCs w:val="24"/>
        </w:rPr>
        <w:t>,</w:t>
      </w:r>
      <w:r w:rsidRPr="00FD3029">
        <w:rPr>
          <w:rFonts w:cs="Times New Roman"/>
          <w:szCs w:val="24"/>
        </w:rPr>
        <w:t xml:space="preserve"> the grievance mechanisms of foreign brands, buyers</w:t>
      </w:r>
      <w:r w:rsidR="003A3834">
        <w:rPr>
          <w:rFonts w:cs="Times New Roman"/>
          <w:szCs w:val="24"/>
        </w:rPr>
        <w:t>,</w:t>
      </w:r>
      <w:r w:rsidRPr="00FD3029">
        <w:rPr>
          <w:rFonts w:cs="Times New Roman"/>
          <w:szCs w:val="24"/>
        </w:rPr>
        <w:t xml:space="preserve"> or parent companies can seem very remote.  Similarly, head office staff may not necessarily have ready access to the expert knowledge needed to ensure that grievance mechanisms, and the remedial outcomes generated by them, are effective on the ground.  </w:t>
      </w:r>
      <w:r w:rsidR="003A3834">
        <w:rPr>
          <w:rFonts w:cs="Times New Roman"/>
          <w:szCs w:val="24"/>
        </w:rPr>
        <w:t xml:space="preserve">ARP III </w:t>
      </w:r>
      <w:r w:rsidR="005A7790">
        <w:rPr>
          <w:rFonts w:cs="Times New Roman"/>
          <w:szCs w:val="24"/>
        </w:rPr>
        <w:t xml:space="preserve">information-gathering </w:t>
      </w:r>
      <w:r w:rsidR="00E119C7">
        <w:rPr>
          <w:rFonts w:cs="Times New Roman"/>
          <w:szCs w:val="24"/>
        </w:rPr>
        <w:t xml:space="preserve">activities </w:t>
      </w:r>
      <w:r w:rsidR="005A7790">
        <w:rPr>
          <w:rFonts w:cs="Times New Roman"/>
          <w:szCs w:val="24"/>
        </w:rPr>
        <w:t xml:space="preserve">have </w:t>
      </w:r>
      <w:r w:rsidR="00E119C7">
        <w:rPr>
          <w:rFonts w:cs="Times New Roman"/>
          <w:szCs w:val="24"/>
        </w:rPr>
        <w:t xml:space="preserve">uncovered </w:t>
      </w:r>
      <w:r w:rsidRPr="00FD3029">
        <w:rPr>
          <w:rFonts w:cs="Times New Roman"/>
          <w:szCs w:val="24"/>
        </w:rPr>
        <w:t>many examples where problems may have been headed off by local knowledge</w:t>
      </w:r>
      <w:r w:rsidR="005A7790">
        <w:rPr>
          <w:rFonts w:cs="Times New Roman"/>
          <w:szCs w:val="24"/>
        </w:rPr>
        <w:t>,</w:t>
      </w:r>
      <w:r w:rsidRPr="00FD3029">
        <w:rPr>
          <w:rFonts w:cs="Times New Roman"/>
          <w:szCs w:val="24"/>
        </w:rPr>
        <w:t xml:space="preserve"> e.g. where grievance processes did not work well, where community tensions risked becoming exacerbated</w:t>
      </w:r>
      <w:r w:rsidR="003A3834">
        <w:rPr>
          <w:rFonts w:cs="Times New Roman"/>
          <w:szCs w:val="24"/>
        </w:rPr>
        <w:t>,</w:t>
      </w:r>
      <w:r w:rsidRPr="00FD3029">
        <w:rPr>
          <w:rFonts w:cs="Times New Roman"/>
          <w:szCs w:val="24"/>
        </w:rPr>
        <w:t xml:space="preserve"> or where potential difficulties with the delivery of remedies had not been fully understood.</w:t>
      </w:r>
    </w:p>
    <w:p w14:paraId="354D466A" w14:textId="77777777" w:rsidR="00BD53DC" w:rsidRPr="00FD3029" w:rsidRDefault="00BD53DC" w:rsidP="00BD53DC">
      <w:pPr>
        <w:jc w:val="both"/>
        <w:rPr>
          <w:rFonts w:cs="Times New Roman"/>
          <w:szCs w:val="24"/>
        </w:rPr>
      </w:pPr>
    </w:p>
    <w:p w14:paraId="70931404" w14:textId="3F77E009" w:rsidR="004254BF" w:rsidRPr="00FD3029" w:rsidRDefault="00ED0707" w:rsidP="00BD53DC">
      <w:pPr>
        <w:jc w:val="both"/>
        <w:rPr>
          <w:rFonts w:cs="Times New Roman"/>
          <w:szCs w:val="24"/>
        </w:rPr>
      </w:pPr>
      <w:r>
        <w:rPr>
          <w:rFonts w:cs="Times New Roman"/>
          <w:szCs w:val="24"/>
        </w:rPr>
        <w:t>Many contributors have</w:t>
      </w:r>
      <w:r w:rsidR="003A3834">
        <w:rPr>
          <w:rFonts w:cs="Times New Roman"/>
          <w:szCs w:val="24"/>
        </w:rPr>
        <w:t xml:space="preserve"> noted that organizations </w:t>
      </w:r>
      <w:r w:rsidR="004254BF" w:rsidRPr="00FD3029">
        <w:rPr>
          <w:rFonts w:cs="Times New Roman"/>
          <w:szCs w:val="24"/>
        </w:rPr>
        <w:t xml:space="preserve">could benefit from much closer consultation with local stakeholder groups and the inclusion of more “local content and input” in </w:t>
      </w:r>
      <w:r w:rsidR="003A3834">
        <w:rPr>
          <w:rFonts w:cs="Times New Roman"/>
          <w:szCs w:val="24"/>
        </w:rPr>
        <w:t xml:space="preserve">the </w:t>
      </w:r>
      <w:r w:rsidR="004254BF" w:rsidRPr="00FD3029">
        <w:rPr>
          <w:rFonts w:cs="Times New Roman"/>
          <w:szCs w:val="24"/>
        </w:rPr>
        <w:t xml:space="preserve">design and administration </w:t>
      </w:r>
      <w:r w:rsidR="003A3834">
        <w:rPr>
          <w:rFonts w:cs="Times New Roman"/>
          <w:szCs w:val="24"/>
        </w:rPr>
        <w:t xml:space="preserve">of grievance </w:t>
      </w:r>
      <w:r w:rsidR="004254BF" w:rsidRPr="00FD3029">
        <w:rPr>
          <w:rFonts w:cs="Times New Roman"/>
          <w:szCs w:val="24"/>
        </w:rPr>
        <w:t xml:space="preserve">(see also </w:t>
      </w:r>
      <w:r w:rsidR="003A3834">
        <w:rPr>
          <w:rFonts w:cs="Times New Roman"/>
          <w:szCs w:val="24"/>
        </w:rPr>
        <w:t>A.3</w:t>
      </w:r>
      <w:r w:rsidR="00903845">
        <w:rPr>
          <w:rFonts w:cs="Times New Roman"/>
          <w:szCs w:val="24"/>
        </w:rPr>
        <w:t xml:space="preserve"> and</w:t>
      </w:r>
      <w:r w:rsidR="00CC71AA">
        <w:rPr>
          <w:rFonts w:cs="Times New Roman"/>
          <w:szCs w:val="24"/>
        </w:rPr>
        <w:t xml:space="preserve"> B.1</w:t>
      </w:r>
      <w:r w:rsidR="004254BF" w:rsidRPr="00FD3029">
        <w:rPr>
          <w:rFonts w:cs="Times New Roman"/>
          <w:szCs w:val="24"/>
        </w:rPr>
        <w:t xml:space="preserve">).  </w:t>
      </w:r>
      <w:r w:rsidR="00903845">
        <w:rPr>
          <w:rFonts w:cs="Times New Roman"/>
          <w:szCs w:val="24"/>
        </w:rPr>
        <w:t>In particular, a number of contributors have suggested that working more closely with local trade unions would greatly enhance understanding of day</w:t>
      </w:r>
      <w:r w:rsidR="00F165C7">
        <w:rPr>
          <w:rFonts w:cs="Times New Roman"/>
          <w:szCs w:val="24"/>
        </w:rPr>
        <w:t>-</w:t>
      </w:r>
      <w:r w:rsidR="00903845">
        <w:rPr>
          <w:rFonts w:cs="Times New Roman"/>
          <w:szCs w:val="24"/>
        </w:rPr>
        <w:t>to</w:t>
      </w:r>
      <w:r w:rsidR="00F165C7">
        <w:rPr>
          <w:rFonts w:cs="Times New Roman"/>
          <w:szCs w:val="24"/>
        </w:rPr>
        <w:t>-</w:t>
      </w:r>
      <w:r w:rsidR="00903845">
        <w:rPr>
          <w:rFonts w:cs="Times New Roman"/>
          <w:szCs w:val="24"/>
        </w:rPr>
        <w:t xml:space="preserve">day issues and hardships faced by workers, and the differing impacts that specific activities may have with respect to male and female workers, as well as workers at particular risk of vulnerability </w:t>
      </w:r>
      <w:r w:rsidR="009A50F7">
        <w:rPr>
          <w:rFonts w:cs="Times New Roman"/>
          <w:szCs w:val="24"/>
        </w:rPr>
        <w:t>or</w:t>
      </w:r>
      <w:r w:rsidR="00903845">
        <w:rPr>
          <w:rFonts w:cs="Times New Roman"/>
          <w:szCs w:val="24"/>
        </w:rPr>
        <w:t xml:space="preserve"> marginalisation, such as migrant workers. </w:t>
      </w:r>
      <w:r w:rsidR="004254BF" w:rsidRPr="00FD3029">
        <w:rPr>
          <w:rFonts w:cs="Times New Roman"/>
          <w:szCs w:val="24"/>
        </w:rPr>
        <w:t xml:space="preserve">Examples of steps taken </w:t>
      </w:r>
      <w:r w:rsidR="00903845">
        <w:rPr>
          <w:rFonts w:cs="Times New Roman"/>
          <w:szCs w:val="24"/>
        </w:rPr>
        <w:t xml:space="preserve">to try to make grievance mechanisms more relatable to prospective users </w:t>
      </w:r>
      <w:r w:rsidR="004254BF" w:rsidRPr="00FD3029">
        <w:rPr>
          <w:rFonts w:cs="Times New Roman"/>
          <w:szCs w:val="24"/>
        </w:rPr>
        <w:t>include employing outreach and liaison officers drawn from local communities, ensuring regular contact with local caseworkers</w:t>
      </w:r>
      <w:r w:rsidR="003A3834">
        <w:rPr>
          <w:rFonts w:cs="Times New Roman"/>
          <w:szCs w:val="24"/>
        </w:rPr>
        <w:t>,</w:t>
      </w:r>
      <w:r w:rsidR="004254BF" w:rsidRPr="00FD3029">
        <w:rPr>
          <w:rFonts w:cs="Times New Roman"/>
          <w:szCs w:val="24"/>
        </w:rPr>
        <w:t xml:space="preserve"> and providing local telephone helplines.</w:t>
      </w:r>
    </w:p>
    <w:p w14:paraId="267E48F6" w14:textId="77777777" w:rsidR="001234D5" w:rsidRDefault="001234D5" w:rsidP="001234D5">
      <w:pPr>
        <w:jc w:val="both"/>
        <w:rPr>
          <w:rFonts w:cs="Times New Roman"/>
          <w:szCs w:val="24"/>
        </w:rPr>
      </w:pPr>
    </w:p>
    <w:tbl>
      <w:tblPr>
        <w:tblStyle w:val="TableGrid"/>
        <w:tblW w:w="0" w:type="auto"/>
        <w:tblLook w:val="04A0" w:firstRow="1" w:lastRow="0" w:firstColumn="1" w:lastColumn="0" w:noHBand="0" w:noVBand="1"/>
      </w:tblPr>
      <w:tblGrid>
        <w:gridCol w:w="9016"/>
      </w:tblGrid>
      <w:tr w:rsidR="001234D5" w:rsidRPr="00FD3029" w14:paraId="24D7E345" w14:textId="77777777" w:rsidTr="00651E35">
        <w:trPr>
          <w:trHeight w:val="841"/>
        </w:trPr>
        <w:tc>
          <w:tcPr>
            <w:tcW w:w="9016" w:type="dxa"/>
            <w:shd w:val="clear" w:color="auto" w:fill="DEEAF6" w:themeFill="accent1" w:themeFillTint="33"/>
          </w:tcPr>
          <w:p w14:paraId="55C1DAA2" w14:textId="77777777" w:rsidR="001234D5" w:rsidRDefault="001234D5" w:rsidP="00651E35">
            <w:pPr>
              <w:jc w:val="both"/>
              <w:rPr>
                <w:rFonts w:cs="Times New Roman"/>
                <w:b/>
                <w:i/>
                <w:szCs w:val="24"/>
              </w:rPr>
            </w:pPr>
            <w:r>
              <w:rPr>
                <w:rFonts w:cs="Times New Roman"/>
                <w:b/>
                <w:i/>
                <w:szCs w:val="24"/>
              </w:rPr>
              <w:t>Discussion Questions</w:t>
            </w:r>
          </w:p>
          <w:p w14:paraId="08ED6DD1" w14:textId="77777777" w:rsidR="001234D5" w:rsidRDefault="001234D5" w:rsidP="00651E35">
            <w:pPr>
              <w:pStyle w:val="ListParagraph"/>
              <w:numPr>
                <w:ilvl w:val="0"/>
                <w:numId w:val="49"/>
              </w:numPr>
              <w:jc w:val="both"/>
              <w:rPr>
                <w:rFonts w:cs="Times New Roman"/>
                <w:szCs w:val="24"/>
              </w:rPr>
            </w:pPr>
            <w:r w:rsidRPr="00BD52E4">
              <w:rPr>
                <w:rFonts w:cs="Times New Roman"/>
                <w:szCs w:val="24"/>
              </w:rPr>
              <w:t>Do you agree with the observations made in this section?  If not, why not?</w:t>
            </w:r>
          </w:p>
          <w:p w14:paraId="179AB329" w14:textId="77777777" w:rsidR="001234D5" w:rsidRPr="00BD52E4" w:rsidRDefault="001234D5" w:rsidP="00651E35">
            <w:pPr>
              <w:pStyle w:val="ListParagraph"/>
              <w:numPr>
                <w:ilvl w:val="0"/>
                <w:numId w:val="49"/>
              </w:numPr>
              <w:jc w:val="both"/>
              <w:rPr>
                <w:rFonts w:cs="Times New Roman"/>
                <w:szCs w:val="24"/>
              </w:rPr>
            </w:pPr>
            <w:r w:rsidRPr="00BD52E4">
              <w:rPr>
                <w:rFonts w:cs="Times New Roman"/>
                <w:szCs w:val="24"/>
              </w:rPr>
              <w:t>Are there any further issues, challenges, trends</w:t>
            </w:r>
            <w:r>
              <w:rPr>
                <w:rFonts w:cs="Times New Roman"/>
                <w:szCs w:val="24"/>
              </w:rPr>
              <w:t>,</w:t>
            </w:r>
            <w:r w:rsidRPr="00BD52E4">
              <w:rPr>
                <w:rFonts w:cs="Times New Roman"/>
                <w:szCs w:val="24"/>
              </w:rPr>
              <w:t xml:space="preserve"> or opportunities that you would like to bring to the attention of the ARP III team?  If so, what are these?</w:t>
            </w:r>
          </w:p>
        </w:tc>
      </w:tr>
    </w:tbl>
    <w:p w14:paraId="5573D08B" w14:textId="64471F94" w:rsidR="004254BF" w:rsidRPr="00FD3029" w:rsidRDefault="004254BF" w:rsidP="00BD53DC">
      <w:pPr>
        <w:jc w:val="both"/>
        <w:rPr>
          <w:rFonts w:cs="Times New Roman"/>
        </w:rPr>
      </w:pPr>
    </w:p>
    <w:p w14:paraId="57143E56" w14:textId="77777777" w:rsidR="00BD53DC" w:rsidRPr="00FD3029" w:rsidRDefault="00BD53DC" w:rsidP="00BD53DC">
      <w:pPr>
        <w:jc w:val="both"/>
        <w:rPr>
          <w:rFonts w:cs="Times New Roman"/>
        </w:rPr>
      </w:pPr>
    </w:p>
    <w:p w14:paraId="3EA83AEA" w14:textId="77777777" w:rsidR="004254BF" w:rsidRPr="00FD3029" w:rsidRDefault="00FE727F" w:rsidP="00FE727F">
      <w:pPr>
        <w:pStyle w:val="Heading3"/>
        <w:spacing w:before="0"/>
        <w:ind w:left="1439" w:hanging="645"/>
        <w:rPr>
          <w:rFonts w:cs="Times New Roman"/>
        </w:rPr>
      </w:pPr>
      <w:r w:rsidRPr="00FD3029">
        <w:rPr>
          <w:rFonts w:cs="Times New Roman"/>
        </w:rPr>
        <w:t>C.5</w:t>
      </w:r>
      <w:r w:rsidRPr="00FD3029">
        <w:rPr>
          <w:rFonts w:cs="Times New Roman"/>
        </w:rPr>
        <w:tab/>
      </w:r>
      <w:r w:rsidR="004254BF" w:rsidRPr="00FD3029">
        <w:rPr>
          <w:rFonts w:cs="Times New Roman"/>
        </w:rPr>
        <w:t xml:space="preserve">Protection of people from </w:t>
      </w:r>
      <w:r w:rsidR="00D73DA1">
        <w:rPr>
          <w:rFonts w:cs="Times New Roman"/>
        </w:rPr>
        <w:t>retaliation</w:t>
      </w:r>
      <w:r w:rsidR="00D73DA1" w:rsidRPr="00FD3029">
        <w:rPr>
          <w:rFonts w:cs="Times New Roman"/>
        </w:rPr>
        <w:t xml:space="preserve"> </w:t>
      </w:r>
      <w:r w:rsidR="004254BF" w:rsidRPr="00FD3029">
        <w:rPr>
          <w:rFonts w:cs="Times New Roman"/>
        </w:rPr>
        <w:t>and intimidation</w:t>
      </w:r>
      <w:r w:rsidR="006014C7">
        <w:rPr>
          <w:rFonts w:cs="Times New Roman"/>
        </w:rPr>
        <w:t xml:space="preserve"> as a result of the actual or potential use of non-State-based grievance mechanisms</w:t>
      </w:r>
      <w:r w:rsidR="004254BF" w:rsidRPr="00FD3029">
        <w:rPr>
          <w:rFonts w:cs="Times New Roman"/>
        </w:rPr>
        <w:t xml:space="preserve">: </w:t>
      </w:r>
      <w:r w:rsidR="006014C7">
        <w:rPr>
          <w:rFonts w:cs="Times New Roman"/>
        </w:rPr>
        <w:t>T</w:t>
      </w:r>
      <w:r w:rsidR="004254BF" w:rsidRPr="00FD3029">
        <w:rPr>
          <w:rFonts w:cs="Times New Roman"/>
        </w:rPr>
        <w:t>he distinct but complementary roles of State-based and non-State-based mechanisms</w:t>
      </w:r>
    </w:p>
    <w:p w14:paraId="56E8FC65" w14:textId="77777777" w:rsidR="00BD53DC" w:rsidRPr="00FD3029" w:rsidRDefault="00BD53DC" w:rsidP="00BD53DC">
      <w:pPr>
        <w:jc w:val="both"/>
        <w:rPr>
          <w:rFonts w:cs="Times New Roman"/>
          <w:szCs w:val="24"/>
        </w:rPr>
      </w:pPr>
    </w:p>
    <w:p w14:paraId="4327A348" w14:textId="7B8D7455" w:rsidR="004254BF" w:rsidRPr="00FD3029" w:rsidRDefault="004254BF" w:rsidP="00BD53DC">
      <w:pPr>
        <w:jc w:val="both"/>
        <w:rPr>
          <w:rFonts w:cs="Times New Roman"/>
          <w:szCs w:val="24"/>
        </w:rPr>
      </w:pPr>
      <w:r w:rsidRPr="00FD3029">
        <w:rPr>
          <w:rFonts w:cs="Times New Roman"/>
          <w:szCs w:val="24"/>
        </w:rPr>
        <w:t xml:space="preserve">When asked about approaches to </w:t>
      </w:r>
      <w:r w:rsidR="006014C7">
        <w:rPr>
          <w:rFonts w:cs="Times New Roman"/>
          <w:szCs w:val="24"/>
        </w:rPr>
        <w:t xml:space="preserve">the </w:t>
      </w:r>
      <w:r w:rsidRPr="00FD3029">
        <w:rPr>
          <w:rFonts w:cs="Times New Roman"/>
          <w:szCs w:val="24"/>
        </w:rPr>
        <w:t xml:space="preserve">protection of people against reprisals and intimidation </w:t>
      </w:r>
      <w:r w:rsidR="006014C7">
        <w:rPr>
          <w:rFonts w:cs="Times New Roman"/>
          <w:szCs w:val="24"/>
        </w:rPr>
        <w:t xml:space="preserve">resulting from the actual or potential use of non-State-based grievance mechanisms </w:t>
      </w:r>
      <w:r w:rsidRPr="00FD3029">
        <w:rPr>
          <w:rFonts w:cs="Times New Roman"/>
          <w:szCs w:val="24"/>
        </w:rPr>
        <w:t xml:space="preserve">(“safeguarding”), </w:t>
      </w:r>
      <w:r w:rsidR="005F4E01">
        <w:rPr>
          <w:rFonts w:cs="Times New Roman"/>
          <w:szCs w:val="24"/>
        </w:rPr>
        <w:t xml:space="preserve">contributors </w:t>
      </w:r>
      <w:r w:rsidR="006014C7">
        <w:rPr>
          <w:rFonts w:cs="Times New Roman"/>
          <w:szCs w:val="24"/>
        </w:rPr>
        <w:t xml:space="preserve">representing grievance </w:t>
      </w:r>
      <w:r w:rsidRPr="00FD3029">
        <w:rPr>
          <w:rFonts w:cs="Times New Roman"/>
          <w:szCs w:val="24"/>
        </w:rPr>
        <w:t xml:space="preserve">mechanisms </w:t>
      </w:r>
      <w:r w:rsidR="006014C7">
        <w:rPr>
          <w:rFonts w:cs="Times New Roman"/>
          <w:szCs w:val="24"/>
        </w:rPr>
        <w:t xml:space="preserve">have </w:t>
      </w:r>
      <w:r w:rsidRPr="00FD3029">
        <w:rPr>
          <w:rFonts w:cs="Times New Roman"/>
          <w:szCs w:val="24"/>
        </w:rPr>
        <w:t xml:space="preserve">provided little information beyond guarantees of confidentiality for remedy-seekers.  At the same time, when asked about their main concerns about accessing private grievance mechanisms many past or prospective users of these mechanisms </w:t>
      </w:r>
      <w:r w:rsidR="006014C7">
        <w:rPr>
          <w:rFonts w:cs="Times New Roman"/>
          <w:szCs w:val="24"/>
        </w:rPr>
        <w:t xml:space="preserve">have </w:t>
      </w:r>
      <w:r w:rsidRPr="00FD3029">
        <w:rPr>
          <w:rFonts w:cs="Times New Roman"/>
          <w:szCs w:val="24"/>
        </w:rPr>
        <w:t>cited concerns about retaliation and harassment.</w:t>
      </w:r>
      <w:r w:rsidR="00315D64">
        <w:rPr>
          <w:rFonts w:cs="Times New Roman"/>
          <w:szCs w:val="24"/>
        </w:rPr>
        <w:t xml:space="preserve">  </w:t>
      </w:r>
      <w:r w:rsidR="00315D64" w:rsidRPr="00315D64">
        <w:rPr>
          <w:rFonts w:cs="Times New Roman"/>
          <w:szCs w:val="24"/>
        </w:rPr>
        <w:t>A number of contributors drew attention to the deteriorating security environment for human rights defenders in many jurisdictions.</w:t>
      </w:r>
      <w:r w:rsidRPr="00FD3029">
        <w:rPr>
          <w:rFonts w:cs="Times New Roman"/>
          <w:szCs w:val="24"/>
        </w:rPr>
        <w:t xml:space="preserve"> Clearly, fear of retaliation as a result of accessing grievance mechanism</w:t>
      </w:r>
      <w:r w:rsidR="003E6D77">
        <w:rPr>
          <w:rFonts w:cs="Times New Roman"/>
          <w:szCs w:val="24"/>
        </w:rPr>
        <w:t>s</w:t>
      </w:r>
      <w:r w:rsidRPr="00FD3029">
        <w:rPr>
          <w:rFonts w:cs="Times New Roman"/>
          <w:szCs w:val="24"/>
        </w:rPr>
        <w:t xml:space="preserve"> seriously undermines the legitimacy and accessibility (and hence effectiveness) of these mechanisms.  Some </w:t>
      </w:r>
      <w:r w:rsidR="006014C7">
        <w:rPr>
          <w:rFonts w:cs="Times New Roman"/>
          <w:szCs w:val="24"/>
        </w:rPr>
        <w:t xml:space="preserve">have drawn </w:t>
      </w:r>
      <w:r w:rsidRPr="00FD3029">
        <w:rPr>
          <w:rFonts w:cs="Times New Roman"/>
          <w:szCs w:val="24"/>
        </w:rPr>
        <w:t xml:space="preserve">attention to the ways that the identity of a complainant might be discovered notwithstanding confidentiality guarantees (e.g. </w:t>
      </w:r>
      <w:r w:rsidR="001D4672">
        <w:rPr>
          <w:rFonts w:cs="Times New Roman"/>
          <w:szCs w:val="24"/>
        </w:rPr>
        <w:t>as a result of</w:t>
      </w:r>
      <w:r w:rsidRPr="00FD3029">
        <w:rPr>
          <w:rFonts w:cs="Times New Roman"/>
          <w:szCs w:val="24"/>
        </w:rPr>
        <w:t xml:space="preserve"> a failure to provide a private place </w:t>
      </w:r>
      <w:r w:rsidR="001D7BA6">
        <w:rPr>
          <w:rFonts w:cs="Times New Roman"/>
          <w:szCs w:val="24"/>
        </w:rPr>
        <w:t>for</w:t>
      </w:r>
      <w:r w:rsidRPr="00FD3029">
        <w:rPr>
          <w:rFonts w:cs="Times New Roman"/>
          <w:szCs w:val="24"/>
        </w:rPr>
        <w:t xml:space="preserve"> witness statement</w:t>
      </w:r>
      <w:r w:rsidR="001D7BA6">
        <w:rPr>
          <w:rFonts w:cs="Times New Roman"/>
          <w:szCs w:val="24"/>
        </w:rPr>
        <w:t>s</w:t>
      </w:r>
      <w:r w:rsidRPr="00FD3029">
        <w:rPr>
          <w:rFonts w:cs="Times New Roman"/>
          <w:szCs w:val="24"/>
        </w:rPr>
        <w:t xml:space="preserve">).  A number of </w:t>
      </w:r>
      <w:r w:rsidR="006014C7">
        <w:rPr>
          <w:rFonts w:cs="Times New Roman"/>
          <w:szCs w:val="24"/>
        </w:rPr>
        <w:t xml:space="preserve">grievance mechanism users have </w:t>
      </w:r>
      <w:r w:rsidRPr="00FD3029">
        <w:rPr>
          <w:rFonts w:cs="Times New Roman"/>
          <w:szCs w:val="24"/>
        </w:rPr>
        <w:t>urged a more targeted approach to safeguarding, informed by a detailed risk assessment process</w:t>
      </w:r>
      <w:r w:rsidR="00EA772E">
        <w:rPr>
          <w:rFonts w:cs="Times New Roman"/>
          <w:szCs w:val="24"/>
        </w:rPr>
        <w:t xml:space="preserve"> that takes account of the relevant operating environment, the state of civic space, and instances of reprisals against human rights defenders</w:t>
      </w:r>
      <w:r w:rsidRPr="00FD3029">
        <w:rPr>
          <w:rFonts w:cs="Times New Roman"/>
          <w:szCs w:val="24"/>
        </w:rPr>
        <w:t>.</w:t>
      </w:r>
    </w:p>
    <w:p w14:paraId="62AFCCE8" w14:textId="77777777" w:rsidR="00BD53DC" w:rsidRPr="00FD3029" w:rsidRDefault="00BD53DC" w:rsidP="00BD53DC">
      <w:pPr>
        <w:jc w:val="both"/>
        <w:rPr>
          <w:rFonts w:cs="Times New Roman"/>
          <w:szCs w:val="24"/>
        </w:rPr>
      </w:pPr>
    </w:p>
    <w:p w14:paraId="0D54D2A0" w14:textId="77777777" w:rsidR="004254BF" w:rsidRPr="00FD3029" w:rsidRDefault="004254BF" w:rsidP="00BD53DC">
      <w:pPr>
        <w:jc w:val="both"/>
        <w:rPr>
          <w:rFonts w:cs="Times New Roman"/>
          <w:szCs w:val="24"/>
        </w:rPr>
      </w:pPr>
      <w:r w:rsidRPr="00FD3029">
        <w:rPr>
          <w:rFonts w:cs="Times New Roman"/>
          <w:szCs w:val="24"/>
        </w:rPr>
        <w:t xml:space="preserve">The concerns </w:t>
      </w:r>
      <w:r w:rsidR="006014C7">
        <w:rPr>
          <w:rFonts w:cs="Times New Roman"/>
          <w:szCs w:val="24"/>
        </w:rPr>
        <w:t xml:space="preserve">about safeguarding </w:t>
      </w:r>
      <w:r w:rsidRPr="00FD3029">
        <w:rPr>
          <w:rFonts w:cs="Times New Roman"/>
          <w:szCs w:val="24"/>
        </w:rPr>
        <w:t xml:space="preserve">clearly speak to wider failures by law enforcement bodies and regulatory agencies in many jurisdictions to effectively police such cases.  </w:t>
      </w:r>
      <w:r w:rsidR="006014C7">
        <w:rPr>
          <w:rFonts w:cs="Times New Roman"/>
          <w:szCs w:val="24"/>
        </w:rPr>
        <w:t xml:space="preserve">Beyond </w:t>
      </w:r>
      <w:r w:rsidRPr="00FD3029">
        <w:rPr>
          <w:rFonts w:cs="Times New Roman"/>
          <w:szCs w:val="24"/>
        </w:rPr>
        <w:t>severely undermining trust in the ability of the relevant mechanism to deliver a beneficial outcome, these failures contribute to a sense of impunity on the part of abusers.</w:t>
      </w:r>
    </w:p>
    <w:p w14:paraId="0A20FEA6" w14:textId="77777777" w:rsidR="00BD53DC" w:rsidRPr="00FD3029" w:rsidRDefault="00BD53DC" w:rsidP="00BD53DC">
      <w:pPr>
        <w:jc w:val="both"/>
        <w:rPr>
          <w:rFonts w:cs="Times New Roman"/>
          <w:szCs w:val="24"/>
        </w:rPr>
      </w:pPr>
    </w:p>
    <w:p w14:paraId="2ED5D476" w14:textId="77777777" w:rsidR="001D4672" w:rsidRDefault="004254BF" w:rsidP="00BD53DC">
      <w:pPr>
        <w:jc w:val="both"/>
        <w:rPr>
          <w:rFonts w:cs="Times New Roman"/>
          <w:szCs w:val="24"/>
        </w:rPr>
      </w:pPr>
      <w:r w:rsidRPr="00FD3029">
        <w:rPr>
          <w:rFonts w:cs="Times New Roman"/>
          <w:szCs w:val="24"/>
        </w:rPr>
        <w:t xml:space="preserve">Against this background of failure and mistrust, it is not surprising when people also show reluctance to initiate non-State-based grievance processes that may result in referrals of complaints to law enforcement processes without their consent.  It is clearly important for the policies and procedures of non-State-based grievance mechanisms on interactions with State agencies (see C.2) to take these particular safeguarding risks into account.  </w:t>
      </w:r>
    </w:p>
    <w:p w14:paraId="5C448882" w14:textId="77777777" w:rsidR="001D4672" w:rsidRDefault="001D4672" w:rsidP="00BD53DC">
      <w:pPr>
        <w:jc w:val="both"/>
        <w:rPr>
          <w:rFonts w:cs="Times New Roman"/>
          <w:szCs w:val="24"/>
        </w:rPr>
      </w:pPr>
    </w:p>
    <w:p w14:paraId="4C35D4AB" w14:textId="77777777" w:rsidR="00FF37AC" w:rsidRPr="00FD3029" w:rsidRDefault="004254BF" w:rsidP="00BD53DC">
      <w:pPr>
        <w:jc w:val="both"/>
        <w:rPr>
          <w:rFonts w:cs="Times New Roman"/>
          <w:szCs w:val="24"/>
        </w:rPr>
      </w:pPr>
      <w:r w:rsidRPr="00FD3029">
        <w:rPr>
          <w:rFonts w:cs="Times New Roman"/>
          <w:szCs w:val="24"/>
        </w:rPr>
        <w:t xml:space="preserve">Moreover, and in further illustration of the points made above that non-State-based grievance mechanisms do not exist in a vacuum (see C.2 and C.3), States have clear duties under international law to ensure sufficient legal protections for people at risk of retaliation and </w:t>
      </w:r>
      <w:r w:rsidR="00D73DA1">
        <w:rPr>
          <w:rFonts w:cs="Times New Roman"/>
          <w:szCs w:val="24"/>
        </w:rPr>
        <w:t>intimidation</w:t>
      </w:r>
      <w:r w:rsidRPr="00FD3029">
        <w:rPr>
          <w:rFonts w:cs="Times New Roman"/>
          <w:szCs w:val="24"/>
        </w:rPr>
        <w:t xml:space="preserve">.  </w:t>
      </w:r>
      <w:r w:rsidR="00D73DA1">
        <w:rPr>
          <w:rFonts w:cs="Times New Roman"/>
          <w:szCs w:val="24"/>
        </w:rPr>
        <w:t>I</w:t>
      </w:r>
      <w:r w:rsidRPr="00FD3029">
        <w:rPr>
          <w:rFonts w:cs="Times New Roman"/>
          <w:szCs w:val="24"/>
        </w:rPr>
        <w:t>n addition to physical abuse, various kinds of psychological and economic abuse</w:t>
      </w:r>
      <w:r w:rsidR="00D73DA1">
        <w:rPr>
          <w:rFonts w:cs="Times New Roman"/>
          <w:szCs w:val="24"/>
        </w:rPr>
        <w:t xml:space="preserve"> are common</w:t>
      </w:r>
      <w:r w:rsidRPr="00FD3029">
        <w:rPr>
          <w:rFonts w:cs="Times New Roman"/>
          <w:szCs w:val="24"/>
        </w:rPr>
        <w:t xml:space="preserve">.  These more subtle forms of retaliation and intimidation may not be well understood by law enforcement and regulators.  </w:t>
      </w:r>
      <w:r w:rsidR="001D4672" w:rsidRPr="001D4672">
        <w:rPr>
          <w:rFonts w:cs="Times New Roman"/>
          <w:szCs w:val="24"/>
        </w:rPr>
        <w:t>A proper understanding of the range of retaliation and intimidation tactics that may be deployed against users of non-State-based grievance mechanisms is needed for relevant background legal regimes</w:t>
      </w:r>
      <w:r w:rsidR="001D4672">
        <w:rPr>
          <w:rFonts w:cs="Times New Roman"/>
          <w:szCs w:val="24"/>
        </w:rPr>
        <w:t xml:space="preserve"> to be developed</w:t>
      </w:r>
      <w:r w:rsidR="00D73DA1">
        <w:rPr>
          <w:rFonts w:cs="Times New Roman"/>
          <w:szCs w:val="24"/>
        </w:rPr>
        <w:t xml:space="preserve"> and </w:t>
      </w:r>
      <w:r w:rsidR="001D4672">
        <w:rPr>
          <w:rFonts w:cs="Times New Roman"/>
          <w:szCs w:val="24"/>
        </w:rPr>
        <w:t>implemented effectively</w:t>
      </w:r>
      <w:r w:rsidRPr="00FD3029">
        <w:rPr>
          <w:rFonts w:cs="Times New Roman"/>
          <w:szCs w:val="24"/>
        </w:rPr>
        <w:t>.</w:t>
      </w:r>
    </w:p>
    <w:p w14:paraId="5080C945" w14:textId="77777777" w:rsidR="001234D5" w:rsidRDefault="001234D5" w:rsidP="001234D5">
      <w:pPr>
        <w:jc w:val="both"/>
        <w:rPr>
          <w:rFonts w:cs="Times New Roman"/>
          <w:szCs w:val="24"/>
        </w:rPr>
      </w:pPr>
    </w:p>
    <w:tbl>
      <w:tblPr>
        <w:tblStyle w:val="TableGrid"/>
        <w:tblW w:w="0" w:type="auto"/>
        <w:tblLook w:val="04A0" w:firstRow="1" w:lastRow="0" w:firstColumn="1" w:lastColumn="0" w:noHBand="0" w:noVBand="1"/>
      </w:tblPr>
      <w:tblGrid>
        <w:gridCol w:w="9016"/>
      </w:tblGrid>
      <w:tr w:rsidR="001234D5" w:rsidRPr="00FD3029" w14:paraId="2996FE55" w14:textId="77777777" w:rsidTr="00651E35">
        <w:trPr>
          <w:trHeight w:val="841"/>
        </w:trPr>
        <w:tc>
          <w:tcPr>
            <w:tcW w:w="9016" w:type="dxa"/>
            <w:shd w:val="clear" w:color="auto" w:fill="DEEAF6" w:themeFill="accent1" w:themeFillTint="33"/>
          </w:tcPr>
          <w:p w14:paraId="77B63202" w14:textId="77777777" w:rsidR="001234D5" w:rsidRDefault="001234D5" w:rsidP="00651E35">
            <w:pPr>
              <w:jc w:val="both"/>
              <w:rPr>
                <w:rFonts w:cs="Times New Roman"/>
                <w:b/>
                <w:i/>
                <w:szCs w:val="24"/>
              </w:rPr>
            </w:pPr>
            <w:r>
              <w:rPr>
                <w:rFonts w:cs="Times New Roman"/>
                <w:b/>
                <w:i/>
                <w:szCs w:val="24"/>
              </w:rPr>
              <w:t>Discussion Questions</w:t>
            </w:r>
          </w:p>
          <w:p w14:paraId="23A95DAE" w14:textId="77777777" w:rsidR="001234D5" w:rsidRDefault="001234D5" w:rsidP="00651E35">
            <w:pPr>
              <w:pStyle w:val="ListParagraph"/>
              <w:numPr>
                <w:ilvl w:val="0"/>
                <w:numId w:val="49"/>
              </w:numPr>
              <w:jc w:val="both"/>
              <w:rPr>
                <w:rFonts w:cs="Times New Roman"/>
                <w:szCs w:val="24"/>
              </w:rPr>
            </w:pPr>
            <w:r w:rsidRPr="00BD52E4">
              <w:rPr>
                <w:rFonts w:cs="Times New Roman"/>
                <w:szCs w:val="24"/>
              </w:rPr>
              <w:t>Do you agree with the observations made in this section?  If not, why not?</w:t>
            </w:r>
          </w:p>
          <w:p w14:paraId="337BA5DE" w14:textId="77777777" w:rsidR="001234D5" w:rsidRPr="00BD52E4" w:rsidRDefault="001234D5" w:rsidP="00651E35">
            <w:pPr>
              <w:pStyle w:val="ListParagraph"/>
              <w:numPr>
                <w:ilvl w:val="0"/>
                <w:numId w:val="49"/>
              </w:numPr>
              <w:jc w:val="both"/>
              <w:rPr>
                <w:rFonts w:cs="Times New Roman"/>
                <w:szCs w:val="24"/>
              </w:rPr>
            </w:pPr>
            <w:r w:rsidRPr="00BD52E4">
              <w:rPr>
                <w:rFonts w:cs="Times New Roman"/>
                <w:szCs w:val="24"/>
              </w:rPr>
              <w:t>Are there any further issues, challenges, trends</w:t>
            </w:r>
            <w:r>
              <w:rPr>
                <w:rFonts w:cs="Times New Roman"/>
                <w:szCs w:val="24"/>
              </w:rPr>
              <w:t>,</w:t>
            </w:r>
            <w:r w:rsidRPr="00BD52E4">
              <w:rPr>
                <w:rFonts w:cs="Times New Roman"/>
                <w:szCs w:val="24"/>
              </w:rPr>
              <w:t xml:space="preserve"> or opportunities that you would like to bring to the attention of the ARP III team?  If so, what are these?</w:t>
            </w:r>
          </w:p>
        </w:tc>
      </w:tr>
    </w:tbl>
    <w:p w14:paraId="482C7E1C" w14:textId="4E8A6392" w:rsidR="004254BF" w:rsidRPr="00FD3029" w:rsidRDefault="004254BF" w:rsidP="00BD53DC">
      <w:pPr>
        <w:jc w:val="both"/>
        <w:rPr>
          <w:rFonts w:cs="Times New Roman"/>
          <w:b/>
        </w:rPr>
      </w:pPr>
    </w:p>
    <w:p w14:paraId="6DEED7C7" w14:textId="1D76F597" w:rsidR="00BD53DC" w:rsidRDefault="00BD53DC" w:rsidP="00BD53DC">
      <w:pPr>
        <w:jc w:val="both"/>
        <w:rPr>
          <w:rFonts w:cs="Times New Roman"/>
          <w:b/>
        </w:rPr>
      </w:pPr>
    </w:p>
    <w:p w14:paraId="77B85CEF" w14:textId="77777777" w:rsidR="0027584E" w:rsidRPr="00FD3029" w:rsidRDefault="0027584E" w:rsidP="00BD53DC">
      <w:pPr>
        <w:jc w:val="both"/>
        <w:rPr>
          <w:rFonts w:cs="Times New Roman"/>
          <w:b/>
        </w:rPr>
      </w:pPr>
    </w:p>
    <w:p w14:paraId="7ED8E4CD" w14:textId="77777777" w:rsidR="004254BF" w:rsidRPr="00FD3029" w:rsidRDefault="00FE727F" w:rsidP="00FE727F">
      <w:pPr>
        <w:pStyle w:val="Heading3"/>
        <w:spacing w:before="0"/>
        <w:ind w:left="1439" w:hanging="645"/>
        <w:rPr>
          <w:rFonts w:cs="Times New Roman"/>
        </w:rPr>
      </w:pPr>
      <w:r w:rsidRPr="00FD3029">
        <w:rPr>
          <w:rFonts w:cs="Times New Roman"/>
        </w:rPr>
        <w:t>C.6</w:t>
      </w:r>
      <w:r w:rsidRPr="00FD3029">
        <w:rPr>
          <w:rFonts w:cs="Times New Roman"/>
        </w:rPr>
        <w:tab/>
      </w:r>
      <w:r w:rsidR="004254BF" w:rsidRPr="00FD3029">
        <w:rPr>
          <w:rFonts w:cs="Times New Roman"/>
        </w:rPr>
        <w:t>Agency, autonomy</w:t>
      </w:r>
      <w:r w:rsidR="003E6D77">
        <w:rPr>
          <w:rFonts w:cs="Times New Roman"/>
        </w:rPr>
        <w:t>,</w:t>
      </w:r>
      <w:r w:rsidR="004254BF" w:rsidRPr="00FD3029">
        <w:rPr>
          <w:rFonts w:cs="Times New Roman"/>
        </w:rPr>
        <w:t xml:space="preserve"> and effective representation of affected individuals and communities</w:t>
      </w:r>
    </w:p>
    <w:p w14:paraId="61CE81E2" w14:textId="77777777" w:rsidR="00BD53DC" w:rsidRPr="00FD3029" w:rsidRDefault="00BD53DC" w:rsidP="00BD53DC">
      <w:pPr>
        <w:jc w:val="both"/>
        <w:rPr>
          <w:rFonts w:cs="Times New Roman"/>
          <w:szCs w:val="24"/>
        </w:rPr>
      </w:pPr>
    </w:p>
    <w:p w14:paraId="4A59AD38" w14:textId="77777777" w:rsidR="00651D59" w:rsidRDefault="004254BF" w:rsidP="00BD53DC">
      <w:pPr>
        <w:jc w:val="both"/>
        <w:rPr>
          <w:rFonts w:cs="Times New Roman"/>
          <w:szCs w:val="24"/>
        </w:rPr>
      </w:pPr>
      <w:r w:rsidRPr="00FD3029">
        <w:rPr>
          <w:rFonts w:cs="Times New Roman"/>
          <w:szCs w:val="24"/>
        </w:rPr>
        <w:t xml:space="preserve">Although many non-State-based grievance mechanisms hold out the promise of being directly and readily accessible by affected individuals and communities, the balance of opinion </w:t>
      </w:r>
      <w:r w:rsidR="00F31F13">
        <w:rPr>
          <w:rFonts w:cs="Times New Roman"/>
          <w:szCs w:val="24"/>
        </w:rPr>
        <w:t>from users and their representatives</w:t>
      </w:r>
      <w:r w:rsidRPr="00FD3029">
        <w:rPr>
          <w:rFonts w:cs="Times New Roman"/>
          <w:szCs w:val="24"/>
        </w:rPr>
        <w:t xml:space="preserve"> is that they are actually not.  </w:t>
      </w:r>
      <w:r w:rsidR="00651D59">
        <w:rPr>
          <w:rFonts w:cs="Times New Roman"/>
          <w:szCs w:val="24"/>
        </w:rPr>
        <w:t>L</w:t>
      </w:r>
      <w:r w:rsidR="00651D59" w:rsidRPr="00FD3029">
        <w:rPr>
          <w:rFonts w:cs="Times New Roman"/>
          <w:szCs w:val="24"/>
        </w:rPr>
        <w:t>anguage, educational, technical, and technological barriers make some form of assistance necessary in many cases.</w:t>
      </w:r>
    </w:p>
    <w:p w14:paraId="6D570952" w14:textId="77777777" w:rsidR="00651D59" w:rsidRDefault="00651D59" w:rsidP="00BD53DC">
      <w:pPr>
        <w:jc w:val="both"/>
        <w:rPr>
          <w:rFonts w:cs="Times New Roman"/>
          <w:szCs w:val="24"/>
        </w:rPr>
      </w:pPr>
    </w:p>
    <w:p w14:paraId="3F0D6FAC" w14:textId="77777777" w:rsidR="004254BF" w:rsidRPr="00FD3029" w:rsidRDefault="004254BF" w:rsidP="00BD53DC">
      <w:pPr>
        <w:jc w:val="both"/>
        <w:rPr>
          <w:rFonts w:cs="Times New Roman"/>
          <w:szCs w:val="24"/>
        </w:rPr>
      </w:pPr>
      <w:r w:rsidRPr="00FD3029">
        <w:rPr>
          <w:rFonts w:cs="Times New Roman"/>
          <w:szCs w:val="24"/>
        </w:rPr>
        <w:t xml:space="preserve">This lack of direct accessibility </w:t>
      </w:r>
      <w:r w:rsidR="00DA49DA">
        <w:rPr>
          <w:rFonts w:cs="Times New Roman"/>
          <w:szCs w:val="24"/>
        </w:rPr>
        <w:t xml:space="preserve">can place a considerable </w:t>
      </w:r>
      <w:r w:rsidRPr="00FD3029">
        <w:rPr>
          <w:rFonts w:cs="Times New Roman"/>
          <w:szCs w:val="24"/>
        </w:rPr>
        <w:t xml:space="preserve">burden on civil society organisations </w:t>
      </w:r>
      <w:r w:rsidR="003E6D77">
        <w:rPr>
          <w:rFonts w:cs="Times New Roman"/>
          <w:szCs w:val="24"/>
        </w:rPr>
        <w:t xml:space="preserve">that help </w:t>
      </w:r>
      <w:r w:rsidR="00651D59">
        <w:rPr>
          <w:rFonts w:cs="Times New Roman"/>
          <w:szCs w:val="24"/>
        </w:rPr>
        <w:t>affected individuals or communities</w:t>
      </w:r>
      <w:r w:rsidR="00DA49DA">
        <w:rPr>
          <w:rFonts w:cs="Times New Roman"/>
          <w:szCs w:val="24"/>
        </w:rPr>
        <w:t xml:space="preserve"> navigate the grievance process</w:t>
      </w:r>
      <w:r w:rsidRPr="00FD3029">
        <w:rPr>
          <w:rFonts w:cs="Times New Roman"/>
          <w:szCs w:val="24"/>
        </w:rPr>
        <w:t xml:space="preserve">.  </w:t>
      </w:r>
      <w:r w:rsidR="003E6D77">
        <w:rPr>
          <w:rFonts w:cs="Times New Roman"/>
          <w:szCs w:val="24"/>
        </w:rPr>
        <w:t>C</w:t>
      </w:r>
      <w:r w:rsidRPr="00FD3029">
        <w:rPr>
          <w:rFonts w:cs="Times New Roman"/>
          <w:szCs w:val="24"/>
        </w:rPr>
        <w:t>ivil society organisations seem to be the largest providers of assistance, although community organisations, legal aid “hubs</w:t>
      </w:r>
      <w:r w:rsidR="00811B0C">
        <w:rPr>
          <w:rFonts w:cs="Times New Roman"/>
          <w:szCs w:val="24"/>
        </w:rPr>
        <w:t>,</w:t>
      </w:r>
      <w:r w:rsidRPr="00FD3029">
        <w:rPr>
          <w:rFonts w:cs="Times New Roman"/>
          <w:szCs w:val="24"/>
        </w:rPr>
        <w:t xml:space="preserve">” and </w:t>
      </w:r>
      <w:r w:rsidRPr="00EA772E">
        <w:rPr>
          <w:rFonts w:cs="Times New Roman"/>
          <w:i/>
          <w:szCs w:val="24"/>
        </w:rPr>
        <w:t>pro bono</w:t>
      </w:r>
      <w:r w:rsidRPr="00FD3029">
        <w:rPr>
          <w:rFonts w:cs="Times New Roman"/>
          <w:szCs w:val="24"/>
        </w:rPr>
        <w:t xml:space="preserve"> legal service providers also play an important role.</w:t>
      </w:r>
    </w:p>
    <w:p w14:paraId="0181EE15" w14:textId="77777777" w:rsidR="00BD53DC" w:rsidRPr="00FD3029" w:rsidRDefault="00BD53DC" w:rsidP="00BD53DC">
      <w:pPr>
        <w:jc w:val="both"/>
        <w:rPr>
          <w:rFonts w:cs="Times New Roman"/>
          <w:szCs w:val="24"/>
        </w:rPr>
      </w:pPr>
    </w:p>
    <w:p w14:paraId="709751E0" w14:textId="77777777" w:rsidR="004254BF" w:rsidRPr="00FD3029" w:rsidRDefault="004254BF" w:rsidP="00BD53DC">
      <w:pPr>
        <w:jc w:val="both"/>
        <w:rPr>
          <w:rFonts w:cs="Times New Roman"/>
          <w:szCs w:val="24"/>
        </w:rPr>
      </w:pPr>
      <w:r w:rsidRPr="00FD3029">
        <w:rPr>
          <w:rFonts w:cs="Times New Roman"/>
          <w:szCs w:val="24"/>
        </w:rPr>
        <w:t xml:space="preserve">Despite the strenuous efforts made by many civil society organisations to </w:t>
      </w:r>
      <w:r w:rsidR="00811B0C">
        <w:rPr>
          <w:rFonts w:cs="Times New Roman"/>
          <w:szCs w:val="24"/>
        </w:rPr>
        <w:t xml:space="preserve">help affected individuals and communities access </w:t>
      </w:r>
      <w:r w:rsidRPr="00FD3029">
        <w:rPr>
          <w:rFonts w:cs="Times New Roman"/>
          <w:szCs w:val="24"/>
        </w:rPr>
        <w:t xml:space="preserve">non-State-based grievance mechanisms, the lack of “equality of arms” between companies and affected people remains an intractable problem in many (if not most) cases.  </w:t>
      </w:r>
      <w:r w:rsidR="00811B0C">
        <w:rPr>
          <w:rFonts w:cs="Times New Roman"/>
          <w:szCs w:val="24"/>
        </w:rPr>
        <w:t>S</w:t>
      </w:r>
      <w:r w:rsidRPr="00FD3029">
        <w:rPr>
          <w:rFonts w:cs="Times New Roman"/>
          <w:szCs w:val="24"/>
        </w:rPr>
        <w:t>ome examples of strategies that have been used to assist affected individuals and communities includ</w:t>
      </w:r>
      <w:r w:rsidR="00811B0C">
        <w:rPr>
          <w:rFonts w:cs="Times New Roman"/>
          <w:szCs w:val="24"/>
        </w:rPr>
        <w:t>e corporate</w:t>
      </w:r>
      <w:r w:rsidRPr="00FD3029">
        <w:rPr>
          <w:rFonts w:cs="Times New Roman"/>
          <w:szCs w:val="24"/>
        </w:rPr>
        <w:t xml:space="preserve"> financial assistance for hiring experts and legal counsel</w:t>
      </w:r>
      <w:r w:rsidR="00811B0C">
        <w:rPr>
          <w:rFonts w:cs="Times New Roman"/>
          <w:szCs w:val="24"/>
        </w:rPr>
        <w:t>,</w:t>
      </w:r>
      <w:r w:rsidRPr="00FD3029">
        <w:rPr>
          <w:rFonts w:cs="Times New Roman"/>
          <w:szCs w:val="24"/>
        </w:rPr>
        <w:t xml:space="preserve"> and making confidential information available to auditors and lawyers for review.</w:t>
      </w:r>
    </w:p>
    <w:p w14:paraId="782CEBB2" w14:textId="77777777" w:rsidR="00BD53DC" w:rsidRPr="00FD3029" w:rsidRDefault="00BD53DC" w:rsidP="00BD53DC">
      <w:pPr>
        <w:jc w:val="both"/>
        <w:rPr>
          <w:rFonts w:cs="Times New Roman"/>
          <w:szCs w:val="24"/>
        </w:rPr>
      </w:pPr>
    </w:p>
    <w:p w14:paraId="6E5AF1A4" w14:textId="52048A1A" w:rsidR="004254BF" w:rsidRPr="00FD3029" w:rsidRDefault="004254BF" w:rsidP="00BD53DC">
      <w:pPr>
        <w:jc w:val="both"/>
        <w:rPr>
          <w:rFonts w:cs="Times New Roman"/>
        </w:rPr>
      </w:pPr>
      <w:r w:rsidRPr="00FD3029">
        <w:rPr>
          <w:rFonts w:cs="Times New Roman"/>
          <w:szCs w:val="24"/>
        </w:rPr>
        <w:t xml:space="preserve">Where complaints are complex, involving multiple individuals and/or communities with diverse perspectives and preferences, it can be challenging to identify the appropriate person (or persons) to represent the interests of affected people.   As a number of contributors have advised, the people claiming to represent the interests of a community may not have that authority </w:t>
      </w:r>
      <w:r w:rsidRPr="00FD3029">
        <w:rPr>
          <w:rFonts w:cs="Times New Roman"/>
          <w:i/>
          <w:szCs w:val="24"/>
        </w:rPr>
        <w:t>in fact</w:t>
      </w:r>
      <w:r w:rsidRPr="00FD3029">
        <w:rPr>
          <w:rFonts w:cs="Times New Roman"/>
          <w:szCs w:val="24"/>
        </w:rPr>
        <w:t xml:space="preserve">, or be suitably qualified to act.  </w:t>
      </w:r>
      <w:r w:rsidR="005F6F73">
        <w:rPr>
          <w:rFonts w:cs="Times New Roman"/>
          <w:szCs w:val="24"/>
        </w:rPr>
        <w:t>Detailed inquiries are</w:t>
      </w:r>
      <w:r w:rsidRPr="00FD3029">
        <w:rPr>
          <w:rFonts w:cs="Times New Roman"/>
          <w:szCs w:val="24"/>
        </w:rPr>
        <w:t xml:space="preserve"> required, not just into the claims of putative representatives but also into the decision-making structures that they rely upon.  This can require time, patience</w:t>
      </w:r>
      <w:r w:rsidR="00811B0C">
        <w:rPr>
          <w:rFonts w:cs="Times New Roman"/>
          <w:szCs w:val="24"/>
        </w:rPr>
        <w:t>,</w:t>
      </w:r>
      <w:r w:rsidRPr="00FD3029">
        <w:rPr>
          <w:rFonts w:cs="Times New Roman"/>
          <w:szCs w:val="24"/>
        </w:rPr>
        <w:t xml:space="preserve"> and effort.  Where tensions are found between traditional decision-making structures and </w:t>
      </w:r>
      <w:r w:rsidR="005F6F73">
        <w:rPr>
          <w:rFonts w:cs="Times New Roman"/>
          <w:szCs w:val="24"/>
        </w:rPr>
        <w:t>international human rights norms</w:t>
      </w:r>
      <w:r w:rsidR="00184BAB">
        <w:rPr>
          <w:rFonts w:cs="Times New Roman"/>
          <w:szCs w:val="24"/>
        </w:rPr>
        <w:t>,</w:t>
      </w:r>
      <w:r w:rsidRPr="00FD3029">
        <w:rPr>
          <w:rFonts w:cs="Times New Roman"/>
          <w:szCs w:val="24"/>
        </w:rPr>
        <w:t xml:space="preserve"> culturally</w:t>
      </w:r>
      <w:r w:rsidR="00184BAB">
        <w:rPr>
          <w:rFonts w:cs="Times New Roman"/>
          <w:szCs w:val="24"/>
        </w:rPr>
        <w:t>-</w:t>
      </w:r>
      <w:r w:rsidRPr="00FD3029">
        <w:rPr>
          <w:rFonts w:cs="Times New Roman"/>
          <w:szCs w:val="24"/>
        </w:rPr>
        <w:t>sensitive work</w:t>
      </w:r>
      <w:r w:rsidR="00811B0C">
        <w:rPr>
          <w:rFonts w:cs="Times New Roman"/>
          <w:szCs w:val="24"/>
        </w:rPr>
        <w:t>a</w:t>
      </w:r>
      <w:r w:rsidRPr="00FD3029">
        <w:rPr>
          <w:rFonts w:cs="Times New Roman"/>
          <w:szCs w:val="24"/>
        </w:rPr>
        <w:t>rounds</w:t>
      </w:r>
      <w:r w:rsidR="005F6F73">
        <w:rPr>
          <w:rFonts w:cs="Times New Roman"/>
          <w:szCs w:val="24"/>
        </w:rPr>
        <w:t xml:space="preserve"> should be sought</w:t>
      </w:r>
      <w:r w:rsidR="00811B0C">
        <w:rPr>
          <w:rFonts w:cs="Times New Roman"/>
          <w:szCs w:val="24"/>
        </w:rPr>
        <w:t>.</w:t>
      </w:r>
      <w:r w:rsidRPr="00FD3029">
        <w:rPr>
          <w:rFonts w:cs="Times New Roman"/>
          <w:szCs w:val="24"/>
        </w:rPr>
        <w:t xml:space="preserve">  Some contributors </w:t>
      </w:r>
      <w:r w:rsidR="005F6F73">
        <w:rPr>
          <w:rFonts w:cs="Times New Roman"/>
          <w:szCs w:val="24"/>
        </w:rPr>
        <w:t>highlighted the value of</w:t>
      </w:r>
      <w:r w:rsidRPr="00FD3029">
        <w:rPr>
          <w:rFonts w:cs="Times New Roman"/>
          <w:szCs w:val="24"/>
        </w:rPr>
        <w:t xml:space="preserve"> “pre-agreements” as a way of providing clarity to all sides about the elements of a novel process, which will include details of which parties will be representing which interest groups, and the preferred methods of consultation.</w:t>
      </w:r>
    </w:p>
    <w:p w14:paraId="35539B2F" w14:textId="77777777" w:rsidR="001234D5" w:rsidRDefault="001234D5" w:rsidP="001234D5">
      <w:pPr>
        <w:jc w:val="both"/>
        <w:rPr>
          <w:rFonts w:cs="Times New Roman"/>
          <w:szCs w:val="24"/>
        </w:rPr>
      </w:pPr>
    </w:p>
    <w:tbl>
      <w:tblPr>
        <w:tblStyle w:val="TableGrid"/>
        <w:tblW w:w="0" w:type="auto"/>
        <w:tblLook w:val="04A0" w:firstRow="1" w:lastRow="0" w:firstColumn="1" w:lastColumn="0" w:noHBand="0" w:noVBand="1"/>
      </w:tblPr>
      <w:tblGrid>
        <w:gridCol w:w="9016"/>
      </w:tblGrid>
      <w:tr w:rsidR="001234D5" w:rsidRPr="00FD3029" w14:paraId="06E59E87" w14:textId="77777777" w:rsidTr="00651E35">
        <w:trPr>
          <w:trHeight w:val="841"/>
        </w:trPr>
        <w:tc>
          <w:tcPr>
            <w:tcW w:w="9016" w:type="dxa"/>
            <w:shd w:val="clear" w:color="auto" w:fill="DEEAF6" w:themeFill="accent1" w:themeFillTint="33"/>
          </w:tcPr>
          <w:p w14:paraId="637527D9" w14:textId="77777777" w:rsidR="001234D5" w:rsidRDefault="001234D5" w:rsidP="00651E35">
            <w:pPr>
              <w:jc w:val="both"/>
              <w:rPr>
                <w:rFonts w:cs="Times New Roman"/>
                <w:b/>
                <w:i/>
                <w:szCs w:val="24"/>
              </w:rPr>
            </w:pPr>
            <w:r>
              <w:rPr>
                <w:rFonts w:cs="Times New Roman"/>
                <w:b/>
                <w:i/>
                <w:szCs w:val="24"/>
              </w:rPr>
              <w:t>Discussion Questions</w:t>
            </w:r>
          </w:p>
          <w:p w14:paraId="20869E81" w14:textId="77777777" w:rsidR="001234D5" w:rsidRDefault="001234D5" w:rsidP="00651E35">
            <w:pPr>
              <w:pStyle w:val="ListParagraph"/>
              <w:numPr>
                <w:ilvl w:val="0"/>
                <w:numId w:val="49"/>
              </w:numPr>
              <w:jc w:val="both"/>
              <w:rPr>
                <w:rFonts w:cs="Times New Roman"/>
                <w:szCs w:val="24"/>
              </w:rPr>
            </w:pPr>
            <w:r w:rsidRPr="00BD52E4">
              <w:rPr>
                <w:rFonts w:cs="Times New Roman"/>
                <w:szCs w:val="24"/>
              </w:rPr>
              <w:t>Do you agree with the observations made in this section?  If not, why not?</w:t>
            </w:r>
          </w:p>
          <w:p w14:paraId="677B7934" w14:textId="77777777" w:rsidR="001234D5" w:rsidRPr="00BD52E4" w:rsidRDefault="001234D5" w:rsidP="00651E35">
            <w:pPr>
              <w:pStyle w:val="ListParagraph"/>
              <w:numPr>
                <w:ilvl w:val="0"/>
                <w:numId w:val="49"/>
              </w:numPr>
              <w:jc w:val="both"/>
              <w:rPr>
                <w:rFonts w:cs="Times New Roman"/>
                <w:szCs w:val="24"/>
              </w:rPr>
            </w:pPr>
            <w:r w:rsidRPr="00BD52E4">
              <w:rPr>
                <w:rFonts w:cs="Times New Roman"/>
                <w:szCs w:val="24"/>
              </w:rPr>
              <w:t>Are there any further issues, challenges, trends</w:t>
            </w:r>
            <w:r>
              <w:rPr>
                <w:rFonts w:cs="Times New Roman"/>
                <w:szCs w:val="24"/>
              </w:rPr>
              <w:t>,</w:t>
            </w:r>
            <w:r w:rsidRPr="00BD52E4">
              <w:rPr>
                <w:rFonts w:cs="Times New Roman"/>
                <w:szCs w:val="24"/>
              </w:rPr>
              <w:t xml:space="preserve"> or opportunities that you would like to bring to the attention of the ARP III team?  If so, what are these?</w:t>
            </w:r>
          </w:p>
        </w:tc>
      </w:tr>
    </w:tbl>
    <w:p w14:paraId="31F502A9" w14:textId="140D2B87" w:rsidR="004254BF" w:rsidRPr="00FD3029" w:rsidRDefault="004254BF" w:rsidP="00BD53DC">
      <w:pPr>
        <w:jc w:val="both"/>
        <w:rPr>
          <w:rFonts w:cs="Times New Roman"/>
          <w:szCs w:val="24"/>
        </w:rPr>
      </w:pPr>
    </w:p>
    <w:p w14:paraId="1F73DE65" w14:textId="77777777" w:rsidR="001D4672" w:rsidRPr="00FD3029" w:rsidRDefault="001D4672" w:rsidP="001D4672">
      <w:pPr>
        <w:jc w:val="both"/>
        <w:rPr>
          <w:rFonts w:cs="Times New Roman"/>
          <w:b/>
        </w:rPr>
      </w:pPr>
    </w:p>
    <w:p w14:paraId="3B2789BB" w14:textId="40F924FF" w:rsidR="001D4672" w:rsidRPr="00FD3029" w:rsidRDefault="001D4672" w:rsidP="001D4672">
      <w:pPr>
        <w:pStyle w:val="Heading3"/>
        <w:spacing w:before="0"/>
        <w:ind w:left="1439" w:hanging="645"/>
        <w:rPr>
          <w:rFonts w:cs="Times New Roman"/>
        </w:rPr>
      </w:pPr>
      <w:r w:rsidRPr="00FD3029">
        <w:rPr>
          <w:rFonts w:cs="Times New Roman"/>
        </w:rPr>
        <w:t>C.</w:t>
      </w:r>
      <w:r>
        <w:rPr>
          <w:rFonts w:cs="Times New Roman"/>
        </w:rPr>
        <w:t>7</w:t>
      </w:r>
      <w:r w:rsidRPr="00FD3029">
        <w:rPr>
          <w:rFonts w:cs="Times New Roman"/>
        </w:rPr>
        <w:tab/>
      </w:r>
      <w:r w:rsidRPr="001D4672">
        <w:rPr>
          <w:rFonts w:cs="Times New Roman"/>
        </w:rPr>
        <w:t xml:space="preserve">Rights-compatible outcomes: </w:t>
      </w:r>
      <w:r w:rsidR="004D4A47">
        <w:rPr>
          <w:rFonts w:cs="Times New Roman"/>
        </w:rPr>
        <w:t>U</w:t>
      </w:r>
      <w:r w:rsidRPr="001D4672">
        <w:rPr>
          <w:rFonts w:cs="Times New Roman"/>
        </w:rPr>
        <w:t xml:space="preserve">nderstanding and addressing </w:t>
      </w:r>
      <w:r w:rsidR="004D4A47">
        <w:rPr>
          <w:rFonts w:cs="Times New Roman"/>
        </w:rPr>
        <w:t xml:space="preserve">the </w:t>
      </w:r>
      <w:r w:rsidRPr="001D4672">
        <w:rPr>
          <w:rFonts w:cs="Times New Roman"/>
        </w:rPr>
        <w:t>short</w:t>
      </w:r>
      <w:r w:rsidR="004D4A47">
        <w:rPr>
          <w:rFonts w:cs="Times New Roman"/>
        </w:rPr>
        <w:t>-</w:t>
      </w:r>
      <w:r w:rsidRPr="001D4672">
        <w:rPr>
          <w:rFonts w:cs="Times New Roman"/>
        </w:rPr>
        <w:t>, medium</w:t>
      </w:r>
      <w:r w:rsidR="004D4A47">
        <w:rPr>
          <w:rFonts w:cs="Times New Roman"/>
        </w:rPr>
        <w:t>-</w:t>
      </w:r>
      <w:r w:rsidR="00EA772E">
        <w:rPr>
          <w:rFonts w:cs="Times New Roman"/>
        </w:rPr>
        <w:t>,</w:t>
      </w:r>
      <w:r w:rsidRPr="001D4672">
        <w:rPr>
          <w:rFonts w:cs="Times New Roman"/>
        </w:rPr>
        <w:t xml:space="preserve"> and long</w:t>
      </w:r>
      <w:r w:rsidR="004D4A47">
        <w:rPr>
          <w:rFonts w:cs="Times New Roman"/>
        </w:rPr>
        <w:t>-</w:t>
      </w:r>
      <w:r w:rsidRPr="001D4672">
        <w:rPr>
          <w:rFonts w:cs="Times New Roman"/>
        </w:rPr>
        <w:t xml:space="preserve">term human rights implications of remedial </w:t>
      </w:r>
      <w:r w:rsidR="004D4A47">
        <w:rPr>
          <w:rFonts w:cs="Times New Roman"/>
        </w:rPr>
        <w:t>outcomes</w:t>
      </w:r>
    </w:p>
    <w:p w14:paraId="76DB97E2" w14:textId="77777777" w:rsidR="001D4672" w:rsidRPr="00FD3029" w:rsidRDefault="001D4672" w:rsidP="001D4672">
      <w:pPr>
        <w:jc w:val="both"/>
        <w:rPr>
          <w:rFonts w:cs="Times New Roman"/>
          <w:szCs w:val="24"/>
        </w:rPr>
      </w:pPr>
    </w:p>
    <w:p w14:paraId="615EA7D8" w14:textId="39FA62F7" w:rsidR="001D4672" w:rsidRDefault="001D4672" w:rsidP="001D4672">
      <w:pPr>
        <w:jc w:val="both"/>
        <w:rPr>
          <w:rFonts w:cs="Times New Roman"/>
          <w:szCs w:val="24"/>
        </w:rPr>
      </w:pPr>
      <w:r w:rsidRPr="001D4672">
        <w:rPr>
          <w:rFonts w:cs="Times New Roman"/>
          <w:szCs w:val="24"/>
        </w:rPr>
        <w:t xml:space="preserve">In addition to the inadequacy of many remedial outcomes </w:t>
      </w:r>
      <w:r w:rsidR="00DF4F0F" w:rsidRPr="00184BAB">
        <w:rPr>
          <w:rFonts w:cs="Times New Roman"/>
          <w:i/>
          <w:szCs w:val="24"/>
        </w:rPr>
        <w:t>per se</w:t>
      </w:r>
      <w:r w:rsidRPr="001D4672">
        <w:rPr>
          <w:rFonts w:cs="Times New Roman"/>
          <w:szCs w:val="24"/>
        </w:rPr>
        <w:t xml:space="preserve">, </w:t>
      </w:r>
      <w:r w:rsidR="00F15310">
        <w:rPr>
          <w:rFonts w:cs="Times New Roman"/>
          <w:szCs w:val="24"/>
        </w:rPr>
        <w:t>contributors</w:t>
      </w:r>
      <w:r w:rsidRPr="001D4672">
        <w:rPr>
          <w:rFonts w:cs="Times New Roman"/>
          <w:szCs w:val="24"/>
        </w:rPr>
        <w:t xml:space="preserve"> have provided examples of cases where inadequate attention by non-State-based grievance mechanisms to the practicalities of delivering a remedy in a particular social, political</w:t>
      </w:r>
      <w:r w:rsidR="004D4A47">
        <w:rPr>
          <w:rFonts w:cs="Times New Roman"/>
          <w:szCs w:val="24"/>
        </w:rPr>
        <w:t>,</w:t>
      </w:r>
      <w:r w:rsidRPr="001D4672">
        <w:rPr>
          <w:rFonts w:cs="Times New Roman"/>
          <w:szCs w:val="24"/>
        </w:rPr>
        <w:t xml:space="preserve"> or operating context has resulted in further adverse impacts for individuals and communities.  For instance, it was pointed out that the lack of ready access to banking services and financial advice, or the presence of underlying social problems such as conflict, drug and alcohol dependency, and domestic violence, can have implications for the way in which financial settlements can be safely</w:t>
      </w:r>
      <w:r w:rsidR="00F466B7">
        <w:rPr>
          <w:rFonts w:cs="Times New Roman"/>
          <w:szCs w:val="24"/>
        </w:rPr>
        <w:t>, securely</w:t>
      </w:r>
      <w:r w:rsidR="00184BAB">
        <w:rPr>
          <w:rFonts w:cs="Times New Roman"/>
          <w:szCs w:val="24"/>
        </w:rPr>
        <w:t>,</w:t>
      </w:r>
      <w:r w:rsidRPr="001D4672">
        <w:rPr>
          <w:rFonts w:cs="Times New Roman"/>
          <w:szCs w:val="24"/>
        </w:rPr>
        <w:t xml:space="preserve"> and fairly distributed between individuals and groups.  </w:t>
      </w:r>
      <w:r w:rsidR="00206966">
        <w:rPr>
          <w:rFonts w:cs="Times New Roman"/>
          <w:szCs w:val="24"/>
        </w:rPr>
        <w:t xml:space="preserve">Lack of </w:t>
      </w:r>
      <w:r w:rsidR="00742139">
        <w:rPr>
          <w:rFonts w:cs="Times New Roman"/>
          <w:szCs w:val="24"/>
        </w:rPr>
        <w:t xml:space="preserve">awareness and sensitivity with respect to prevailing social attitudes towards women can </w:t>
      </w:r>
      <w:r w:rsidR="00F165C7">
        <w:rPr>
          <w:rFonts w:cs="Times New Roman"/>
          <w:szCs w:val="24"/>
        </w:rPr>
        <w:t xml:space="preserve">also </w:t>
      </w:r>
      <w:r w:rsidR="00742139">
        <w:rPr>
          <w:rFonts w:cs="Times New Roman"/>
          <w:szCs w:val="24"/>
        </w:rPr>
        <w:t xml:space="preserve">contribute to further </w:t>
      </w:r>
      <w:r w:rsidR="001234D5">
        <w:rPr>
          <w:rFonts w:cs="Times New Roman"/>
          <w:szCs w:val="24"/>
        </w:rPr>
        <w:t>mistreatment</w:t>
      </w:r>
      <w:r w:rsidR="00742139">
        <w:rPr>
          <w:rFonts w:cs="Times New Roman"/>
          <w:szCs w:val="24"/>
        </w:rPr>
        <w:t xml:space="preserve"> and isolation of female sufferers of sexual harassment and abuse.</w:t>
      </w:r>
      <w:r w:rsidR="00206966">
        <w:rPr>
          <w:rFonts w:cs="Times New Roman"/>
          <w:szCs w:val="24"/>
        </w:rPr>
        <w:t xml:space="preserve"> </w:t>
      </w:r>
      <w:r w:rsidR="00742139">
        <w:rPr>
          <w:rFonts w:cs="Times New Roman"/>
          <w:szCs w:val="24"/>
        </w:rPr>
        <w:t xml:space="preserve"> </w:t>
      </w:r>
      <w:r w:rsidRPr="001D4672">
        <w:rPr>
          <w:rFonts w:cs="Times New Roman"/>
          <w:szCs w:val="24"/>
        </w:rPr>
        <w:t xml:space="preserve">Disagreements within communities about the management of a community trust fund, or how settlement funds </w:t>
      </w:r>
      <w:r w:rsidR="004D4A47">
        <w:rPr>
          <w:rFonts w:cs="Times New Roman"/>
          <w:szCs w:val="24"/>
        </w:rPr>
        <w:t>should be</w:t>
      </w:r>
      <w:r w:rsidR="004D4A47" w:rsidRPr="001D4672">
        <w:rPr>
          <w:rFonts w:cs="Times New Roman"/>
          <w:szCs w:val="24"/>
        </w:rPr>
        <w:t xml:space="preserve"> </w:t>
      </w:r>
      <w:r w:rsidRPr="001D4672">
        <w:rPr>
          <w:rFonts w:cs="Times New Roman"/>
          <w:szCs w:val="24"/>
        </w:rPr>
        <w:t>allocated between different projects, can exacerbate community tensions and undermine the effectiveness of decision-making structures and institutions.</w:t>
      </w:r>
    </w:p>
    <w:p w14:paraId="0759F54B" w14:textId="77777777" w:rsidR="001D4672" w:rsidRDefault="001D4672" w:rsidP="001D4672">
      <w:pPr>
        <w:jc w:val="both"/>
        <w:rPr>
          <w:rFonts w:cs="Times New Roman"/>
          <w:szCs w:val="24"/>
        </w:rPr>
      </w:pPr>
    </w:p>
    <w:p w14:paraId="21240056" w14:textId="443F1B8E" w:rsidR="001D4672" w:rsidRDefault="001D4672" w:rsidP="001D4672">
      <w:pPr>
        <w:jc w:val="both"/>
        <w:rPr>
          <w:rFonts w:cs="Times New Roman"/>
          <w:szCs w:val="24"/>
        </w:rPr>
      </w:pPr>
      <w:r w:rsidRPr="001D4672">
        <w:rPr>
          <w:rFonts w:cs="Times New Roman"/>
          <w:szCs w:val="24"/>
        </w:rPr>
        <w:t>Greater involvement of rights-holders in the design of grievance mechanisms and remedies (see B.</w:t>
      </w:r>
      <w:r w:rsidR="00916A62">
        <w:rPr>
          <w:rFonts w:cs="Times New Roman"/>
          <w:szCs w:val="24"/>
        </w:rPr>
        <w:t>1</w:t>
      </w:r>
      <w:r w:rsidRPr="001D4672">
        <w:rPr>
          <w:rFonts w:cs="Times New Roman"/>
          <w:szCs w:val="24"/>
        </w:rPr>
        <w:t>) can help those responsible for administrating non-State-based grievance mechanisms anticipate these potential risks and address them more effectively.  Ensuring that there are processes for feeding back “lessons learned” to relevant decision-makers within the body responsible for the mechanism can help to reduce the risk of past mistakes being repeated.</w:t>
      </w:r>
    </w:p>
    <w:p w14:paraId="7D2D9EA8" w14:textId="77777777" w:rsidR="001D4672" w:rsidRDefault="001D4672" w:rsidP="001D4672">
      <w:pPr>
        <w:jc w:val="both"/>
        <w:rPr>
          <w:rFonts w:cs="Times New Roman"/>
          <w:szCs w:val="24"/>
        </w:rPr>
      </w:pPr>
    </w:p>
    <w:p w14:paraId="5A2C94CE" w14:textId="77777777" w:rsidR="001D4672" w:rsidRDefault="004D4A47" w:rsidP="001D4672">
      <w:pPr>
        <w:jc w:val="both"/>
        <w:rPr>
          <w:rFonts w:cs="Times New Roman"/>
          <w:szCs w:val="24"/>
        </w:rPr>
      </w:pPr>
      <w:r>
        <w:rPr>
          <w:rFonts w:cs="Times New Roman"/>
          <w:szCs w:val="24"/>
        </w:rPr>
        <w:t xml:space="preserve">Several </w:t>
      </w:r>
      <w:r w:rsidR="001D4672" w:rsidRPr="001D4672">
        <w:rPr>
          <w:rFonts w:cs="Times New Roman"/>
          <w:szCs w:val="24"/>
        </w:rPr>
        <w:t xml:space="preserve">representatives of multi-stakeholder-led mechanisms acknowledged the need for further work and investment in “follow up and aftercare” of rights-holders after </w:t>
      </w:r>
      <w:r>
        <w:rPr>
          <w:rFonts w:cs="Times New Roman"/>
          <w:szCs w:val="24"/>
        </w:rPr>
        <w:t xml:space="preserve">grievance </w:t>
      </w:r>
      <w:r w:rsidR="001D4672" w:rsidRPr="001D4672">
        <w:rPr>
          <w:rFonts w:cs="Times New Roman"/>
          <w:szCs w:val="24"/>
        </w:rPr>
        <w:t xml:space="preserve">processes have been concluded.  To be meaningful, such exercises should provide the relevant organisation with robust feedback as to levels of stakeholder satisfaction with the remedies provided and their manner of delivery, as well as an understanding of the impacts of the remedy (positive or negative) in human rights terms.  However, care should be taken to ensure that such follow-up activities do not perpetuate or exacerbate power imbalances (see C.6), but instead contribute to empowerment and </w:t>
      </w:r>
      <w:r w:rsidR="006B34E1">
        <w:rPr>
          <w:rFonts w:cs="Times New Roman"/>
          <w:szCs w:val="24"/>
        </w:rPr>
        <w:t xml:space="preserve">the </w:t>
      </w:r>
      <w:r w:rsidR="001D4672" w:rsidRPr="001D4672">
        <w:rPr>
          <w:rFonts w:cs="Times New Roman"/>
          <w:szCs w:val="24"/>
        </w:rPr>
        <w:t>autonomy of individuals and communities.</w:t>
      </w:r>
    </w:p>
    <w:p w14:paraId="7B5593C0" w14:textId="77777777" w:rsidR="00B30785" w:rsidRDefault="00B30785" w:rsidP="00B30785">
      <w:pPr>
        <w:jc w:val="both"/>
        <w:rPr>
          <w:rFonts w:cs="Times New Roman"/>
          <w:szCs w:val="24"/>
        </w:rPr>
      </w:pPr>
    </w:p>
    <w:tbl>
      <w:tblPr>
        <w:tblStyle w:val="TableGrid"/>
        <w:tblW w:w="0" w:type="auto"/>
        <w:tblLook w:val="04A0" w:firstRow="1" w:lastRow="0" w:firstColumn="1" w:lastColumn="0" w:noHBand="0" w:noVBand="1"/>
      </w:tblPr>
      <w:tblGrid>
        <w:gridCol w:w="9016"/>
      </w:tblGrid>
      <w:tr w:rsidR="00B30785" w:rsidRPr="00FD3029" w14:paraId="3078A45F" w14:textId="77777777" w:rsidTr="00B93E3D">
        <w:trPr>
          <w:trHeight w:val="841"/>
        </w:trPr>
        <w:tc>
          <w:tcPr>
            <w:tcW w:w="9016" w:type="dxa"/>
            <w:shd w:val="clear" w:color="auto" w:fill="DEEAF6" w:themeFill="accent1" w:themeFillTint="33"/>
          </w:tcPr>
          <w:p w14:paraId="1D1222B1" w14:textId="77777777" w:rsidR="00B30785" w:rsidRDefault="00B30785" w:rsidP="00B93E3D">
            <w:pPr>
              <w:jc w:val="both"/>
              <w:rPr>
                <w:rFonts w:cs="Times New Roman"/>
                <w:b/>
                <w:i/>
                <w:szCs w:val="24"/>
              </w:rPr>
            </w:pPr>
            <w:r>
              <w:rPr>
                <w:rFonts w:cs="Times New Roman"/>
                <w:b/>
                <w:i/>
                <w:szCs w:val="24"/>
              </w:rPr>
              <w:t>Discussion Questions</w:t>
            </w:r>
          </w:p>
          <w:p w14:paraId="5BC9902E" w14:textId="77777777" w:rsidR="00B30785" w:rsidRDefault="00B30785" w:rsidP="00B93E3D">
            <w:pPr>
              <w:pStyle w:val="ListParagraph"/>
              <w:numPr>
                <w:ilvl w:val="0"/>
                <w:numId w:val="49"/>
              </w:numPr>
              <w:jc w:val="both"/>
              <w:rPr>
                <w:rFonts w:cs="Times New Roman"/>
                <w:szCs w:val="24"/>
              </w:rPr>
            </w:pPr>
            <w:r w:rsidRPr="00BD52E4">
              <w:rPr>
                <w:rFonts w:cs="Times New Roman"/>
                <w:szCs w:val="24"/>
              </w:rPr>
              <w:t>Do you agree with the observations made in this section?  If not, why not?</w:t>
            </w:r>
          </w:p>
          <w:p w14:paraId="5EAD112C" w14:textId="77777777" w:rsidR="00B30785" w:rsidRPr="00BD52E4" w:rsidRDefault="00B30785" w:rsidP="00B93E3D">
            <w:pPr>
              <w:pStyle w:val="ListParagraph"/>
              <w:numPr>
                <w:ilvl w:val="0"/>
                <w:numId w:val="49"/>
              </w:numPr>
              <w:jc w:val="both"/>
              <w:rPr>
                <w:rFonts w:cs="Times New Roman"/>
                <w:szCs w:val="24"/>
              </w:rPr>
            </w:pPr>
            <w:r w:rsidRPr="00BD52E4">
              <w:rPr>
                <w:rFonts w:cs="Times New Roman"/>
                <w:szCs w:val="24"/>
              </w:rPr>
              <w:t>Are there any further issues, challenges, trends</w:t>
            </w:r>
            <w:r>
              <w:rPr>
                <w:rFonts w:cs="Times New Roman"/>
                <w:szCs w:val="24"/>
              </w:rPr>
              <w:t>,</w:t>
            </w:r>
            <w:r w:rsidRPr="00BD52E4">
              <w:rPr>
                <w:rFonts w:cs="Times New Roman"/>
                <w:szCs w:val="24"/>
              </w:rPr>
              <w:t xml:space="preserve"> or opportunities that you would like to bring to the attention of the ARP III team?  If so, what are these?</w:t>
            </w:r>
          </w:p>
        </w:tc>
      </w:tr>
    </w:tbl>
    <w:p w14:paraId="7092A373" w14:textId="53709B5B" w:rsidR="001D4672" w:rsidRPr="00FD3029" w:rsidRDefault="001D4672" w:rsidP="001D4672">
      <w:pPr>
        <w:jc w:val="both"/>
        <w:rPr>
          <w:rFonts w:cs="Times New Roman"/>
          <w:szCs w:val="24"/>
        </w:rPr>
      </w:pPr>
    </w:p>
    <w:p w14:paraId="44955CBA" w14:textId="77777777" w:rsidR="008269BC" w:rsidRPr="00FD3029" w:rsidRDefault="004254BF" w:rsidP="008269BC">
      <w:pPr>
        <w:pStyle w:val="Heading2"/>
      </w:pPr>
      <w:bookmarkStart w:id="14" w:name="_Toc25057787"/>
      <w:r w:rsidRPr="00FD3029">
        <w:t>Practical implementation of the UNGP “effectiveness criteria”</w:t>
      </w:r>
      <w:bookmarkEnd w:id="14"/>
    </w:p>
    <w:p w14:paraId="31131F6B" w14:textId="77777777" w:rsidR="00FE727F" w:rsidRPr="00FD3029" w:rsidRDefault="00FE727F" w:rsidP="008269BC">
      <w:pPr>
        <w:jc w:val="both"/>
        <w:rPr>
          <w:rFonts w:cs="Times New Roman"/>
          <w:szCs w:val="24"/>
        </w:rPr>
      </w:pPr>
    </w:p>
    <w:p w14:paraId="45A9092A" w14:textId="61FD85CF" w:rsidR="008269BC" w:rsidRPr="00FD3029" w:rsidRDefault="00B11A92" w:rsidP="008269BC">
      <w:pPr>
        <w:jc w:val="both"/>
        <w:rPr>
          <w:rFonts w:cs="Times New Roman"/>
          <w:szCs w:val="24"/>
        </w:rPr>
      </w:pPr>
      <w:r>
        <w:rPr>
          <w:rFonts w:cs="Times New Roman"/>
          <w:szCs w:val="24"/>
        </w:rPr>
        <w:t>The table in the Annex sets out</w:t>
      </w:r>
      <w:r w:rsidR="004254BF" w:rsidRPr="00FD3029">
        <w:rPr>
          <w:rFonts w:cs="Times New Roman"/>
          <w:szCs w:val="24"/>
        </w:rPr>
        <w:t xml:space="preserve">, for illustrative and discussion purposes, some features of non-Sate-based grievance mechanisms that appear relevant to the “effectiveness criteria” for non-judicial mechanisms in Guiding Principle 31 of the UNGPs. </w:t>
      </w:r>
    </w:p>
    <w:p w14:paraId="00D15A11" w14:textId="77777777" w:rsidR="008269BC" w:rsidRPr="00FD3029" w:rsidRDefault="008269BC" w:rsidP="008269BC">
      <w:pPr>
        <w:jc w:val="both"/>
        <w:rPr>
          <w:rFonts w:cs="Times New Roman"/>
          <w:szCs w:val="24"/>
        </w:rPr>
      </w:pPr>
    </w:p>
    <w:p w14:paraId="7A78EE6D" w14:textId="46654436" w:rsidR="00B11A92" w:rsidRDefault="004254BF" w:rsidP="008269BC">
      <w:pPr>
        <w:jc w:val="both"/>
        <w:rPr>
          <w:rFonts w:cs="Times New Roman"/>
          <w:szCs w:val="24"/>
        </w:rPr>
      </w:pPr>
      <w:r w:rsidRPr="00FD3029">
        <w:rPr>
          <w:rFonts w:cs="Times New Roman"/>
          <w:szCs w:val="24"/>
        </w:rPr>
        <w:t>These examples have been drawn from all of the various information-gathering activities covered by this paper (see “Methodology” above).  The examples given have been selected on the basis that they have potential relevance to a wide range of different mechanisms (i.e. are not “mechanism specific”).  However, not all of the examples will be relevant to all mechanism types, sectors, and legal and operating contexts.</w:t>
      </w:r>
    </w:p>
    <w:p w14:paraId="0C5FCAE8" w14:textId="77777777" w:rsidR="00B11A92" w:rsidRDefault="00B11A92" w:rsidP="008269BC">
      <w:pPr>
        <w:jc w:val="both"/>
        <w:rPr>
          <w:rFonts w:cs="Times New Roman"/>
          <w:szCs w:val="24"/>
        </w:rPr>
      </w:pPr>
    </w:p>
    <w:p w14:paraId="4AC61A88" w14:textId="61064AA6" w:rsidR="002D5447" w:rsidRPr="00FD3029" w:rsidRDefault="00613219" w:rsidP="00C5233D">
      <w:pPr>
        <w:jc w:val="both"/>
        <w:rPr>
          <w:rFonts w:cs="Times New Roman"/>
          <w:szCs w:val="24"/>
        </w:rPr>
      </w:pPr>
      <w:r>
        <w:rPr>
          <w:rFonts w:cs="Times New Roman"/>
          <w:szCs w:val="24"/>
        </w:rPr>
        <w:t xml:space="preserve">The UNGP 31 effectiveness criteria </w:t>
      </w:r>
      <w:r w:rsidR="008E2A88">
        <w:rPr>
          <w:rFonts w:cs="Times New Roman"/>
          <w:szCs w:val="24"/>
        </w:rPr>
        <w:t xml:space="preserve">are interconnected and influence each other.  </w:t>
      </w:r>
      <w:r w:rsidR="000D7AC5">
        <w:rPr>
          <w:rFonts w:cs="Times New Roman"/>
          <w:szCs w:val="24"/>
        </w:rPr>
        <w:t xml:space="preserve">For instance, </w:t>
      </w:r>
      <w:r w:rsidR="008E2A88">
        <w:rPr>
          <w:rFonts w:cs="Times New Roman"/>
          <w:szCs w:val="24"/>
        </w:rPr>
        <w:t xml:space="preserve">potential users might not trust mechanisms that are not “accessible” or “equitable,” thus the mechanism would lack </w:t>
      </w:r>
      <w:r w:rsidR="000D7AC5">
        <w:rPr>
          <w:rFonts w:cs="Times New Roman"/>
          <w:szCs w:val="24"/>
        </w:rPr>
        <w:t>“legitimacy</w:t>
      </w:r>
      <w:r w:rsidR="004D3992">
        <w:rPr>
          <w:rFonts w:cs="Times New Roman"/>
          <w:szCs w:val="24"/>
        </w:rPr>
        <w:t>.</w:t>
      </w:r>
      <w:r w:rsidR="000D7AC5">
        <w:rPr>
          <w:rFonts w:cs="Times New Roman"/>
          <w:szCs w:val="24"/>
        </w:rPr>
        <w:t>”  Equally, “predictab</w:t>
      </w:r>
      <w:r w:rsidR="008E2A88">
        <w:rPr>
          <w:rFonts w:cs="Times New Roman"/>
          <w:szCs w:val="24"/>
        </w:rPr>
        <w:t>le</w:t>
      </w:r>
      <w:r w:rsidR="000D7AC5">
        <w:rPr>
          <w:rFonts w:cs="Times New Roman"/>
          <w:szCs w:val="24"/>
        </w:rPr>
        <w:t>”</w:t>
      </w:r>
      <w:r w:rsidR="008E2A88">
        <w:rPr>
          <w:rFonts w:cs="Times New Roman"/>
          <w:szCs w:val="24"/>
        </w:rPr>
        <w:t xml:space="preserve"> mechanisms require a certain level of</w:t>
      </w:r>
      <w:r w:rsidR="000D7AC5">
        <w:rPr>
          <w:rFonts w:cs="Times New Roman"/>
          <w:szCs w:val="24"/>
        </w:rPr>
        <w:t xml:space="preserve"> “transparency</w:t>
      </w:r>
      <w:r w:rsidR="008E2A88">
        <w:rPr>
          <w:rFonts w:cs="Times New Roman"/>
          <w:szCs w:val="24"/>
        </w:rPr>
        <w:t>.</w:t>
      </w:r>
      <w:r w:rsidR="000D7AC5">
        <w:rPr>
          <w:rFonts w:cs="Times New Roman"/>
          <w:szCs w:val="24"/>
        </w:rPr>
        <w:t xml:space="preserve">” </w:t>
      </w:r>
      <w:r w:rsidR="008E2A88">
        <w:rPr>
          <w:rFonts w:cs="Times New Roman"/>
          <w:szCs w:val="24"/>
        </w:rPr>
        <w:t>Thus</w:t>
      </w:r>
      <w:r w:rsidR="000D7AC5">
        <w:rPr>
          <w:rFonts w:cs="Times New Roman"/>
          <w:szCs w:val="24"/>
        </w:rPr>
        <w:t xml:space="preserve">, </w:t>
      </w:r>
      <w:r w:rsidR="008E2A88">
        <w:rPr>
          <w:rFonts w:cs="Times New Roman"/>
          <w:szCs w:val="24"/>
        </w:rPr>
        <w:t xml:space="preserve">the </w:t>
      </w:r>
      <w:r w:rsidR="000D7AC5">
        <w:rPr>
          <w:rFonts w:cs="Times New Roman"/>
          <w:szCs w:val="24"/>
        </w:rPr>
        <w:t xml:space="preserve">illustrative examples </w:t>
      </w:r>
      <w:r w:rsidR="008E2A88">
        <w:rPr>
          <w:rFonts w:cs="Times New Roman"/>
          <w:szCs w:val="24"/>
        </w:rPr>
        <w:t xml:space="preserve">in the Annex </w:t>
      </w:r>
      <w:r w:rsidR="00B41B9E">
        <w:rPr>
          <w:rFonts w:cs="Times New Roman"/>
          <w:szCs w:val="24"/>
        </w:rPr>
        <w:t>are sometimes noted against multiple</w:t>
      </w:r>
      <w:r w:rsidR="000D7AC5">
        <w:rPr>
          <w:rFonts w:cs="Times New Roman"/>
          <w:szCs w:val="24"/>
        </w:rPr>
        <w:t xml:space="preserve"> effectiveness criteria</w:t>
      </w:r>
      <w:r w:rsidR="00167421">
        <w:rPr>
          <w:rFonts w:cs="Times New Roman"/>
          <w:szCs w:val="24"/>
        </w:rPr>
        <w:t>, even though this results in a certain amount of repetition.</w:t>
      </w:r>
    </w:p>
    <w:p w14:paraId="2CF4C320" w14:textId="77777777" w:rsidR="00B30785" w:rsidRDefault="00B30785" w:rsidP="00B30785">
      <w:pPr>
        <w:jc w:val="both"/>
        <w:rPr>
          <w:rFonts w:cs="Times New Roman"/>
          <w:szCs w:val="24"/>
        </w:rPr>
      </w:pPr>
    </w:p>
    <w:tbl>
      <w:tblPr>
        <w:tblStyle w:val="TableGrid"/>
        <w:tblW w:w="0" w:type="auto"/>
        <w:tblLook w:val="04A0" w:firstRow="1" w:lastRow="0" w:firstColumn="1" w:lastColumn="0" w:noHBand="0" w:noVBand="1"/>
      </w:tblPr>
      <w:tblGrid>
        <w:gridCol w:w="9016"/>
      </w:tblGrid>
      <w:tr w:rsidR="00B30785" w:rsidRPr="00FD3029" w14:paraId="049FBFE2" w14:textId="77777777" w:rsidTr="00B93E3D">
        <w:trPr>
          <w:trHeight w:val="841"/>
        </w:trPr>
        <w:tc>
          <w:tcPr>
            <w:tcW w:w="9016" w:type="dxa"/>
            <w:shd w:val="clear" w:color="auto" w:fill="DEEAF6" w:themeFill="accent1" w:themeFillTint="33"/>
          </w:tcPr>
          <w:p w14:paraId="44EE75CC" w14:textId="77777777" w:rsidR="00B30785" w:rsidRPr="00BD52E4" w:rsidRDefault="00B30785" w:rsidP="00B93E3D">
            <w:pPr>
              <w:jc w:val="both"/>
              <w:rPr>
                <w:rFonts w:cs="Times New Roman"/>
                <w:b/>
                <w:i/>
                <w:szCs w:val="24"/>
              </w:rPr>
            </w:pPr>
            <w:r>
              <w:rPr>
                <w:rFonts w:cs="Times New Roman"/>
                <w:b/>
                <w:i/>
                <w:szCs w:val="24"/>
              </w:rPr>
              <w:t>Discussion Questions</w:t>
            </w:r>
          </w:p>
          <w:p w14:paraId="0B29DE6A" w14:textId="3D1EBED2" w:rsidR="00B30785" w:rsidRDefault="00B30785" w:rsidP="00B93E3D">
            <w:pPr>
              <w:pStyle w:val="ListParagraph"/>
              <w:numPr>
                <w:ilvl w:val="0"/>
                <w:numId w:val="49"/>
              </w:numPr>
              <w:jc w:val="both"/>
              <w:rPr>
                <w:rFonts w:cs="Times New Roman"/>
                <w:szCs w:val="24"/>
              </w:rPr>
            </w:pPr>
            <w:r w:rsidRPr="00BD52E4">
              <w:rPr>
                <w:rFonts w:cs="Times New Roman"/>
                <w:szCs w:val="24"/>
              </w:rPr>
              <w:t xml:space="preserve">Do </w:t>
            </w:r>
            <w:r w:rsidR="00C5233D">
              <w:rPr>
                <w:rFonts w:cs="Times New Roman"/>
                <w:szCs w:val="24"/>
              </w:rPr>
              <w:t>you have any concerns about the examples included in the table in the annex? If so, what are these?</w:t>
            </w:r>
          </w:p>
          <w:p w14:paraId="60465109" w14:textId="7CD67C4F" w:rsidR="00B30785" w:rsidRPr="00BD52E4" w:rsidRDefault="00C5233D" w:rsidP="00C5233D">
            <w:pPr>
              <w:pStyle w:val="ListParagraph"/>
              <w:numPr>
                <w:ilvl w:val="0"/>
                <w:numId w:val="49"/>
              </w:numPr>
              <w:jc w:val="both"/>
              <w:rPr>
                <w:rFonts w:cs="Times New Roman"/>
                <w:szCs w:val="24"/>
              </w:rPr>
            </w:pPr>
            <w:r>
              <w:rPr>
                <w:rFonts w:cs="Times New Roman"/>
                <w:szCs w:val="24"/>
              </w:rPr>
              <w:t>What further examples should OHCHR be made aware of for the purposes of this illustrative list (and why)?</w:t>
            </w:r>
          </w:p>
        </w:tc>
      </w:tr>
    </w:tbl>
    <w:p w14:paraId="5FDA1231" w14:textId="38531661" w:rsidR="004254BF" w:rsidRPr="00FD3029" w:rsidRDefault="004254BF" w:rsidP="00BD53DC">
      <w:pPr>
        <w:pStyle w:val="Heading1"/>
        <w:spacing w:before="0"/>
        <w:rPr>
          <w:rFonts w:cs="Times New Roman"/>
        </w:rPr>
      </w:pPr>
      <w:bookmarkStart w:id="15" w:name="_Toc25057788"/>
      <w:r w:rsidRPr="00FD3029">
        <w:rPr>
          <w:rFonts w:cs="Times New Roman"/>
        </w:rPr>
        <w:t xml:space="preserve">Next </w:t>
      </w:r>
      <w:r w:rsidR="00040CD8">
        <w:rPr>
          <w:rFonts w:cs="Times New Roman"/>
        </w:rPr>
        <w:t>S</w:t>
      </w:r>
      <w:r w:rsidRPr="00FD3029">
        <w:rPr>
          <w:rFonts w:cs="Times New Roman"/>
        </w:rPr>
        <w:t>teps</w:t>
      </w:r>
      <w:bookmarkEnd w:id="15"/>
    </w:p>
    <w:p w14:paraId="4BF8DDF5" w14:textId="77777777" w:rsidR="002D5447" w:rsidRPr="00FD3029" w:rsidRDefault="002D5447" w:rsidP="00BD53DC">
      <w:pPr>
        <w:pStyle w:val="Heading1"/>
        <w:spacing w:before="0"/>
        <w:rPr>
          <w:rFonts w:eastAsiaTheme="minorHAnsi" w:cs="Times New Roman"/>
          <w:sz w:val="24"/>
          <w:szCs w:val="24"/>
        </w:rPr>
      </w:pPr>
    </w:p>
    <w:p w14:paraId="2567D905" w14:textId="1F00F5EA" w:rsidR="004254BF" w:rsidRPr="00FE318B" w:rsidRDefault="004254BF" w:rsidP="00FE318B">
      <w:pPr>
        <w:jc w:val="both"/>
        <w:rPr>
          <w:rFonts w:cs="Times New Roman"/>
          <w:b/>
          <w:bCs/>
          <w:szCs w:val="24"/>
        </w:rPr>
      </w:pPr>
      <w:r w:rsidRPr="00FE318B">
        <w:rPr>
          <w:rFonts w:cs="Times New Roman"/>
          <w:szCs w:val="24"/>
        </w:rPr>
        <w:t xml:space="preserve">The issues raised in this paper will </w:t>
      </w:r>
      <w:r w:rsidR="008F118E">
        <w:rPr>
          <w:rFonts w:cs="Times New Roman"/>
          <w:szCs w:val="24"/>
        </w:rPr>
        <w:t>form the basis of discussion at a multi-stakeholder consultation taking place in Geneva on 28 November 2019</w:t>
      </w:r>
      <w:r w:rsidRPr="00FE318B">
        <w:rPr>
          <w:rFonts w:cs="Times New Roman"/>
          <w:szCs w:val="24"/>
        </w:rPr>
        <w:t>.</w:t>
      </w:r>
      <w:r w:rsidR="0014195B" w:rsidRPr="0014195B">
        <w:rPr>
          <w:rFonts w:cs="Times New Roman"/>
          <w:szCs w:val="24"/>
        </w:rPr>
        <w:t xml:space="preserve"> </w:t>
      </w:r>
      <w:r w:rsidR="0014195B">
        <w:rPr>
          <w:rFonts w:cs="Times New Roman"/>
          <w:szCs w:val="24"/>
        </w:rPr>
        <w:t xml:space="preserve"> </w:t>
      </w:r>
      <w:r w:rsidR="0014195B" w:rsidRPr="00FD3029">
        <w:rPr>
          <w:rFonts w:cs="Times New Roman"/>
          <w:szCs w:val="24"/>
        </w:rPr>
        <w:t>Feedback on the co</w:t>
      </w:r>
      <w:r w:rsidR="0014195B">
        <w:rPr>
          <w:rFonts w:cs="Times New Roman"/>
          <w:szCs w:val="24"/>
        </w:rPr>
        <w:t>ntents of this paper is welcome</w:t>
      </w:r>
      <w:r w:rsidR="0014195B" w:rsidRPr="00FD3029">
        <w:rPr>
          <w:rFonts w:cs="Times New Roman"/>
          <w:szCs w:val="24"/>
        </w:rPr>
        <w:t xml:space="preserve"> from all stakeholders and should be sent to </w:t>
      </w:r>
      <w:hyperlink r:id="rId30" w:history="1">
        <w:r w:rsidR="0014195B" w:rsidRPr="00FD3029">
          <w:rPr>
            <w:rStyle w:val="Hyperlink"/>
            <w:rFonts w:cs="Times New Roman"/>
            <w:szCs w:val="24"/>
          </w:rPr>
          <w:t>business-access2remedy@ohchr.org</w:t>
        </w:r>
      </w:hyperlink>
      <w:r w:rsidR="0014195B" w:rsidRPr="00FD3029">
        <w:rPr>
          <w:rFonts w:cs="Times New Roman"/>
          <w:szCs w:val="24"/>
        </w:rPr>
        <w:t xml:space="preserve"> by </w:t>
      </w:r>
      <w:r w:rsidR="0014195B" w:rsidRPr="0014195B">
        <w:rPr>
          <w:rFonts w:cs="Times New Roman"/>
          <w:b/>
          <w:szCs w:val="24"/>
        </w:rPr>
        <w:t>15 December 2019</w:t>
      </w:r>
      <w:r w:rsidR="0014195B">
        <w:rPr>
          <w:rFonts w:cs="Times New Roman"/>
          <w:szCs w:val="24"/>
        </w:rPr>
        <w:t>.</w:t>
      </w:r>
    </w:p>
    <w:p w14:paraId="1BFD6691" w14:textId="77777777" w:rsidR="00FE318B" w:rsidRDefault="00FE318B" w:rsidP="00FE318B">
      <w:pPr>
        <w:jc w:val="both"/>
        <w:rPr>
          <w:rFonts w:cs="Times New Roman"/>
          <w:szCs w:val="24"/>
        </w:rPr>
      </w:pPr>
    </w:p>
    <w:p w14:paraId="635482AB" w14:textId="77777777" w:rsidR="004254BF" w:rsidRPr="00FE318B" w:rsidRDefault="004254BF" w:rsidP="00FE318B">
      <w:pPr>
        <w:jc w:val="both"/>
        <w:rPr>
          <w:rFonts w:cs="Times New Roman"/>
          <w:b/>
          <w:bCs/>
          <w:szCs w:val="24"/>
        </w:rPr>
      </w:pPr>
      <w:r w:rsidRPr="00FE318B">
        <w:rPr>
          <w:rFonts w:cs="Times New Roman"/>
          <w:szCs w:val="24"/>
        </w:rPr>
        <w:t xml:space="preserve">In light of the feedback </w:t>
      </w:r>
      <w:r w:rsidR="008F118E">
        <w:rPr>
          <w:rFonts w:cs="Times New Roman"/>
          <w:szCs w:val="24"/>
        </w:rPr>
        <w:t>received</w:t>
      </w:r>
      <w:r w:rsidRPr="00FE318B">
        <w:rPr>
          <w:rFonts w:cs="Times New Roman"/>
          <w:szCs w:val="24"/>
        </w:rPr>
        <w:t>, OHCHR will publish a consultation draft of its report to the Human Rights Council</w:t>
      </w:r>
      <w:r w:rsidR="008F118E">
        <w:rPr>
          <w:rFonts w:cs="Times New Roman"/>
          <w:szCs w:val="24"/>
        </w:rPr>
        <w:t xml:space="preserve"> in early 2020</w:t>
      </w:r>
      <w:r w:rsidRPr="00FE318B">
        <w:rPr>
          <w:rFonts w:cs="Times New Roman"/>
          <w:szCs w:val="24"/>
        </w:rPr>
        <w:t>.</w:t>
      </w:r>
    </w:p>
    <w:p w14:paraId="3C25CA97" w14:textId="77777777" w:rsidR="002D5447" w:rsidRPr="00FE318B" w:rsidRDefault="002D5447" w:rsidP="00FE318B">
      <w:pPr>
        <w:jc w:val="both"/>
        <w:rPr>
          <w:rFonts w:cs="Times New Roman"/>
          <w:szCs w:val="24"/>
        </w:rPr>
      </w:pPr>
    </w:p>
    <w:p w14:paraId="10D9CEFC" w14:textId="5DD5E8AA" w:rsidR="004254BF" w:rsidRPr="00FE318B" w:rsidRDefault="004254BF" w:rsidP="00FE318B">
      <w:pPr>
        <w:jc w:val="both"/>
        <w:rPr>
          <w:rFonts w:cs="Times New Roman"/>
          <w:b/>
          <w:bCs/>
          <w:szCs w:val="24"/>
        </w:rPr>
      </w:pPr>
      <w:r w:rsidRPr="00FE318B">
        <w:rPr>
          <w:rFonts w:cs="Times New Roman"/>
          <w:szCs w:val="24"/>
        </w:rPr>
        <w:t xml:space="preserve">In keeping with the approach adopted in </w:t>
      </w:r>
      <w:hyperlink r:id="rId31" w:history="1">
        <w:r w:rsidR="00415F42" w:rsidRPr="00415F42">
          <w:rPr>
            <w:rStyle w:val="Hyperlink"/>
            <w:rFonts w:cs="Times New Roman"/>
            <w:szCs w:val="24"/>
          </w:rPr>
          <w:t>ARP I</w:t>
        </w:r>
      </w:hyperlink>
      <w:r w:rsidR="00415F42">
        <w:rPr>
          <w:rFonts w:cs="Times New Roman"/>
          <w:szCs w:val="24"/>
        </w:rPr>
        <w:t xml:space="preserve"> and </w:t>
      </w:r>
      <w:hyperlink r:id="rId32" w:history="1">
        <w:r w:rsidR="00415F42" w:rsidRPr="00415F42">
          <w:rPr>
            <w:rStyle w:val="Hyperlink"/>
            <w:rFonts w:cs="Times New Roman"/>
            <w:szCs w:val="24"/>
          </w:rPr>
          <w:t>ARP II</w:t>
        </w:r>
      </w:hyperlink>
      <w:r w:rsidRPr="00FE318B">
        <w:rPr>
          <w:rFonts w:cs="Times New Roman"/>
          <w:szCs w:val="24"/>
        </w:rPr>
        <w:t xml:space="preserve">, it is envisaged that this report will include a set of suggested policy objectives, supplemented by a series of elements intended to demonstrate the different ways in which </w:t>
      </w:r>
      <w:r w:rsidR="008B3F53">
        <w:rPr>
          <w:rFonts w:cs="Times New Roman"/>
          <w:szCs w:val="24"/>
        </w:rPr>
        <w:t>States, State-agencies, business enterprises</w:t>
      </w:r>
      <w:r w:rsidR="00315D64">
        <w:rPr>
          <w:rFonts w:cs="Times New Roman"/>
          <w:szCs w:val="24"/>
        </w:rPr>
        <w:t>,</w:t>
      </w:r>
      <w:r w:rsidR="008B3F53">
        <w:rPr>
          <w:rFonts w:cs="Times New Roman"/>
          <w:szCs w:val="24"/>
        </w:rPr>
        <w:t xml:space="preserve"> and other key actors </w:t>
      </w:r>
      <w:r w:rsidRPr="00FE318B">
        <w:rPr>
          <w:rFonts w:cs="Times New Roman"/>
          <w:szCs w:val="24"/>
        </w:rPr>
        <w:t xml:space="preserve">can work towards meeting those objectives in practice. </w:t>
      </w:r>
    </w:p>
    <w:p w14:paraId="0EE66201" w14:textId="77777777" w:rsidR="002D5447" w:rsidRPr="00FE318B" w:rsidRDefault="002D5447" w:rsidP="00FE318B">
      <w:pPr>
        <w:jc w:val="both"/>
        <w:rPr>
          <w:rFonts w:cs="Times New Roman"/>
          <w:szCs w:val="24"/>
        </w:rPr>
      </w:pPr>
    </w:p>
    <w:p w14:paraId="374A8CA4" w14:textId="17D04E05" w:rsidR="004254BF" w:rsidRPr="00FE318B" w:rsidRDefault="004254BF" w:rsidP="00FE318B">
      <w:pPr>
        <w:jc w:val="both"/>
        <w:rPr>
          <w:rFonts w:cs="Times New Roman"/>
          <w:b/>
          <w:bCs/>
          <w:szCs w:val="24"/>
        </w:rPr>
      </w:pPr>
      <w:r w:rsidRPr="00FE318B">
        <w:rPr>
          <w:rFonts w:cs="Times New Roman"/>
          <w:szCs w:val="24"/>
        </w:rPr>
        <w:t xml:space="preserve">Drawing from the </w:t>
      </w:r>
      <w:r w:rsidR="00D80F35">
        <w:rPr>
          <w:rFonts w:cs="Times New Roman"/>
          <w:szCs w:val="24"/>
        </w:rPr>
        <w:t>work done thus far</w:t>
      </w:r>
      <w:r w:rsidRPr="00FE318B">
        <w:rPr>
          <w:rFonts w:cs="Times New Roman"/>
          <w:szCs w:val="24"/>
        </w:rPr>
        <w:t>, these policy objectives and elements are expected to cover</w:t>
      </w:r>
      <w:r w:rsidR="00C06009">
        <w:rPr>
          <w:rFonts w:cs="Times New Roman"/>
          <w:szCs w:val="24"/>
        </w:rPr>
        <w:t>:</w:t>
      </w:r>
    </w:p>
    <w:p w14:paraId="420245F8" w14:textId="77777777" w:rsidR="004254BF" w:rsidRPr="00FE318B" w:rsidRDefault="004254BF" w:rsidP="00FE318B">
      <w:pPr>
        <w:pStyle w:val="ListParagraph"/>
        <w:numPr>
          <w:ilvl w:val="0"/>
          <w:numId w:val="43"/>
        </w:numPr>
        <w:jc w:val="both"/>
        <w:rPr>
          <w:rFonts w:cs="Times New Roman"/>
          <w:b/>
          <w:bCs/>
          <w:szCs w:val="24"/>
        </w:rPr>
      </w:pPr>
      <w:r w:rsidRPr="00FE318B">
        <w:rPr>
          <w:rFonts w:cs="Times New Roman"/>
          <w:szCs w:val="24"/>
        </w:rPr>
        <w:t xml:space="preserve">practical steps and strategies to improve implementation by non-State-based grievance mechanisms of the effectiveness criteria set out in </w:t>
      </w:r>
      <w:r w:rsidR="00D80F35">
        <w:rPr>
          <w:rFonts w:cs="Times New Roman"/>
          <w:szCs w:val="24"/>
        </w:rPr>
        <w:t>UNGP</w:t>
      </w:r>
      <w:r w:rsidRPr="00FE318B">
        <w:rPr>
          <w:rFonts w:cs="Times New Roman"/>
          <w:szCs w:val="24"/>
        </w:rPr>
        <w:t xml:space="preserve"> 31 in different legal, operati</w:t>
      </w:r>
      <w:r w:rsidR="00C76224">
        <w:rPr>
          <w:rFonts w:cs="Times New Roman"/>
          <w:szCs w:val="24"/>
        </w:rPr>
        <w:t>onal</w:t>
      </w:r>
      <w:r w:rsidRPr="00FE318B">
        <w:rPr>
          <w:rFonts w:cs="Times New Roman"/>
          <w:szCs w:val="24"/>
        </w:rPr>
        <w:t>, and cultural contexts, including in a cross-border context;</w:t>
      </w:r>
    </w:p>
    <w:p w14:paraId="6C43257D" w14:textId="77777777" w:rsidR="004254BF" w:rsidRPr="00FE318B" w:rsidRDefault="004254BF" w:rsidP="00FE318B">
      <w:pPr>
        <w:pStyle w:val="ListParagraph"/>
        <w:numPr>
          <w:ilvl w:val="0"/>
          <w:numId w:val="43"/>
        </w:numPr>
        <w:jc w:val="both"/>
        <w:rPr>
          <w:rFonts w:cs="Times New Roman"/>
          <w:b/>
          <w:bCs/>
          <w:szCs w:val="24"/>
        </w:rPr>
      </w:pPr>
      <w:r w:rsidRPr="00FE318B">
        <w:rPr>
          <w:rFonts w:cs="Times New Roman"/>
          <w:szCs w:val="24"/>
        </w:rPr>
        <w:t>practical steps and strategies to improve cooperation between non-State-based grievance mechanisms with a view to improving accountability and enhancing access to remedy in cases of business-related human rights abuses;</w:t>
      </w:r>
    </w:p>
    <w:p w14:paraId="670229EA" w14:textId="6DD71F30" w:rsidR="004254BF" w:rsidRPr="00FE318B" w:rsidRDefault="004254BF" w:rsidP="00FE318B">
      <w:pPr>
        <w:pStyle w:val="ListParagraph"/>
        <w:numPr>
          <w:ilvl w:val="0"/>
          <w:numId w:val="43"/>
        </w:numPr>
        <w:jc w:val="both"/>
        <w:rPr>
          <w:rFonts w:cs="Times New Roman"/>
          <w:b/>
          <w:bCs/>
          <w:szCs w:val="24"/>
        </w:rPr>
      </w:pPr>
      <w:r w:rsidRPr="00FE318B">
        <w:rPr>
          <w:rFonts w:cs="Times New Roman"/>
          <w:szCs w:val="24"/>
        </w:rPr>
        <w:t xml:space="preserve">actions that could be considered by States to support and enhance the provision of remedy through non-State-based grievance mechanisms, including elements relating to the interrelationships between </w:t>
      </w:r>
      <w:r w:rsidR="00C76224">
        <w:rPr>
          <w:rFonts w:cs="Times New Roman"/>
          <w:szCs w:val="24"/>
        </w:rPr>
        <w:t>non-State-based</w:t>
      </w:r>
      <w:r w:rsidRPr="00FE318B">
        <w:rPr>
          <w:rFonts w:cs="Times New Roman"/>
          <w:szCs w:val="24"/>
        </w:rPr>
        <w:t xml:space="preserve"> mechanisms and State-based mechanisms, law enforcement bodies</w:t>
      </w:r>
      <w:r w:rsidR="00315D64">
        <w:rPr>
          <w:rFonts w:cs="Times New Roman"/>
          <w:szCs w:val="24"/>
        </w:rPr>
        <w:t>,</w:t>
      </w:r>
      <w:r w:rsidRPr="00FE318B">
        <w:rPr>
          <w:rFonts w:cs="Times New Roman"/>
          <w:szCs w:val="24"/>
        </w:rPr>
        <w:t xml:space="preserve"> and relevant regulatory agencies. </w:t>
      </w:r>
    </w:p>
    <w:p w14:paraId="590ED970" w14:textId="77777777" w:rsidR="002D5447" w:rsidRPr="00FE318B" w:rsidRDefault="002D5447" w:rsidP="00FE318B">
      <w:pPr>
        <w:jc w:val="both"/>
        <w:rPr>
          <w:rFonts w:cs="Times New Roman"/>
          <w:szCs w:val="24"/>
        </w:rPr>
      </w:pPr>
    </w:p>
    <w:p w14:paraId="29B878F4" w14:textId="28F2926C" w:rsidR="0027584E" w:rsidRDefault="004254BF" w:rsidP="00FE318B">
      <w:pPr>
        <w:jc w:val="both"/>
        <w:rPr>
          <w:rFonts w:cs="Times New Roman"/>
          <w:szCs w:val="24"/>
        </w:rPr>
      </w:pPr>
      <w:r w:rsidRPr="00FE318B">
        <w:rPr>
          <w:rFonts w:cs="Times New Roman"/>
          <w:szCs w:val="24"/>
        </w:rPr>
        <w:t xml:space="preserve">Comments will be sought from all interested stakeholders on the consultation draft following which a final version of the draft report will be prepared for submission to the Human Rights Council and presented at its forty fourth session. </w:t>
      </w:r>
      <w:r w:rsidR="0027584E">
        <w:rPr>
          <w:rFonts w:cs="Times New Roman"/>
          <w:szCs w:val="24"/>
        </w:rPr>
        <w:br w:type="page"/>
      </w:r>
    </w:p>
    <w:p w14:paraId="5B17FD17" w14:textId="77777777" w:rsidR="00956010" w:rsidRDefault="00A865A9" w:rsidP="00C5233D">
      <w:pPr>
        <w:pStyle w:val="Heading1"/>
        <w:jc w:val="both"/>
      </w:pPr>
      <w:bookmarkStart w:id="16" w:name="_Toc25057789"/>
      <w:r>
        <w:t>Annex</w:t>
      </w:r>
      <w:r w:rsidR="001646CF" w:rsidRPr="00315D64">
        <w:rPr>
          <w:u w:val="none"/>
        </w:rPr>
        <w:t>: Illustrative examples of features of non-State-based grievance mechanisms potentially relevant to the implementation of the UNGP “effectiveness criteria”</w:t>
      </w:r>
      <w:bookmarkEnd w:id="16"/>
    </w:p>
    <w:p w14:paraId="425530EC" w14:textId="77777777" w:rsidR="00A865A9" w:rsidRDefault="00A865A9" w:rsidP="00A865A9"/>
    <w:p w14:paraId="6FA1A75C" w14:textId="77777777" w:rsidR="00A865A9" w:rsidRPr="00E76652" w:rsidRDefault="00A865A9" w:rsidP="00A865A9">
      <w:pPr>
        <w:jc w:val="both"/>
        <w:rPr>
          <w:rFonts w:cs="Times New Roman"/>
          <w:szCs w:val="24"/>
        </w:rPr>
      </w:pPr>
    </w:p>
    <w:tbl>
      <w:tblPr>
        <w:tblStyle w:val="LightShading-Accent1"/>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6139"/>
      </w:tblGrid>
      <w:tr w:rsidR="00A865A9" w:rsidRPr="00FD3029" w14:paraId="1488E680" w14:textId="77777777" w:rsidTr="00E508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none" w:sz="0" w:space="0" w:color="auto"/>
              <w:left w:val="none" w:sz="0" w:space="0" w:color="auto"/>
              <w:bottom w:val="none" w:sz="0" w:space="0" w:color="auto"/>
              <w:right w:val="none" w:sz="0" w:space="0" w:color="auto"/>
            </w:tcBorders>
            <w:vAlign w:val="center"/>
          </w:tcPr>
          <w:p w14:paraId="279E7A05" w14:textId="77777777" w:rsidR="00A865A9" w:rsidRPr="001646CF" w:rsidRDefault="00A865A9" w:rsidP="00E508C0">
            <w:pPr>
              <w:spacing w:before="120" w:after="120"/>
              <w:jc w:val="center"/>
              <w:rPr>
                <w:rFonts w:cs="Times New Roman"/>
                <w:color w:val="auto"/>
                <w:szCs w:val="20"/>
              </w:rPr>
            </w:pPr>
            <w:r w:rsidRPr="001646CF">
              <w:rPr>
                <w:rFonts w:cs="Times New Roman"/>
                <w:color w:val="auto"/>
                <w:szCs w:val="20"/>
              </w:rPr>
              <w:t>Effectiveness criteria (UNGP 31)</w:t>
            </w:r>
          </w:p>
        </w:tc>
        <w:tc>
          <w:tcPr>
            <w:tcW w:w="6146" w:type="dxa"/>
            <w:tcBorders>
              <w:top w:val="none" w:sz="0" w:space="0" w:color="auto"/>
              <w:left w:val="none" w:sz="0" w:space="0" w:color="auto"/>
              <w:bottom w:val="none" w:sz="0" w:space="0" w:color="auto"/>
              <w:right w:val="none" w:sz="0" w:space="0" w:color="auto"/>
            </w:tcBorders>
            <w:vAlign w:val="center"/>
          </w:tcPr>
          <w:p w14:paraId="05BBE690" w14:textId="77777777" w:rsidR="00A865A9" w:rsidRPr="001646CF" w:rsidRDefault="00A865A9" w:rsidP="001646CF">
            <w:pPr>
              <w:jc w:val="center"/>
              <w:cnfStyle w:val="100000000000" w:firstRow="1" w:lastRow="0" w:firstColumn="0" w:lastColumn="0" w:oddVBand="0" w:evenVBand="0" w:oddHBand="0" w:evenHBand="0" w:firstRowFirstColumn="0" w:firstRowLastColumn="0" w:lastRowFirstColumn="0" w:lastRowLastColumn="0"/>
              <w:rPr>
                <w:rFonts w:cs="Times New Roman"/>
                <w:color w:val="auto"/>
                <w:szCs w:val="20"/>
              </w:rPr>
            </w:pPr>
            <w:r w:rsidRPr="001646CF">
              <w:rPr>
                <w:rFonts w:cs="Times New Roman"/>
                <w:color w:val="auto"/>
                <w:szCs w:val="20"/>
              </w:rPr>
              <w:t>Illustrative examples from information gathering exercises</w:t>
            </w:r>
          </w:p>
        </w:tc>
      </w:tr>
      <w:tr w:rsidR="00A865A9" w:rsidRPr="00FD3029" w14:paraId="1D87DBBF" w14:textId="77777777" w:rsidTr="00E50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left w:val="none" w:sz="0" w:space="0" w:color="auto"/>
              <w:right w:val="none" w:sz="0" w:space="0" w:color="auto"/>
            </w:tcBorders>
          </w:tcPr>
          <w:p w14:paraId="62FF7B37" w14:textId="77777777" w:rsidR="00A865A9" w:rsidRPr="001646CF" w:rsidRDefault="00A865A9" w:rsidP="001646CF">
            <w:pPr>
              <w:pStyle w:val="Heading1"/>
              <w:spacing w:before="0"/>
              <w:jc w:val="both"/>
              <w:outlineLvl w:val="0"/>
              <w:rPr>
                <w:rFonts w:eastAsiaTheme="minorHAnsi" w:cs="Times New Roman"/>
                <w:bCs w:val="0"/>
                <w:color w:val="auto"/>
                <w:sz w:val="20"/>
                <w:szCs w:val="20"/>
                <w:u w:val="none"/>
              </w:rPr>
            </w:pPr>
          </w:p>
          <w:p w14:paraId="7E26C817" w14:textId="77777777" w:rsidR="00A865A9" w:rsidRPr="001646CF" w:rsidRDefault="00A865A9" w:rsidP="001646CF">
            <w:pPr>
              <w:jc w:val="both"/>
              <w:rPr>
                <w:b w:val="0"/>
                <w:color w:val="auto"/>
                <w:sz w:val="20"/>
                <w:szCs w:val="20"/>
              </w:rPr>
            </w:pPr>
            <w:bookmarkStart w:id="17" w:name="_Toc24702684"/>
            <w:r w:rsidRPr="001646CF">
              <w:rPr>
                <w:b w:val="0"/>
                <w:color w:val="auto"/>
                <w:sz w:val="20"/>
                <w:szCs w:val="20"/>
              </w:rPr>
              <w:t xml:space="preserve">(a) </w:t>
            </w:r>
            <w:r w:rsidRPr="001646CF">
              <w:rPr>
                <w:color w:val="auto"/>
                <w:sz w:val="20"/>
                <w:szCs w:val="20"/>
              </w:rPr>
              <w:t>Legitimate</w:t>
            </w:r>
            <w:r w:rsidRPr="001646CF">
              <w:rPr>
                <w:b w:val="0"/>
                <w:color w:val="auto"/>
                <w:sz w:val="20"/>
                <w:szCs w:val="20"/>
              </w:rPr>
              <w:t>: enabling trust from the stakeholder groups for whose use they are intended, and being accountable for the fair conduct of grievance processes</w:t>
            </w:r>
            <w:bookmarkEnd w:id="17"/>
          </w:p>
          <w:p w14:paraId="30D715C3" w14:textId="77777777" w:rsidR="00A865A9" w:rsidRPr="001646CF" w:rsidRDefault="00A865A9" w:rsidP="001646CF">
            <w:pPr>
              <w:pStyle w:val="Heading1"/>
              <w:spacing w:before="0"/>
              <w:jc w:val="both"/>
              <w:outlineLvl w:val="0"/>
              <w:rPr>
                <w:rFonts w:eastAsiaTheme="minorHAnsi" w:cs="Times New Roman"/>
                <w:color w:val="auto"/>
                <w:sz w:val="20"/>
                <w:szCs w:val="20"/>
                <w:u w:val="none"/>
              </w:rPr>
            </w:pPr>
          </w:p>
          <w:p w14:paraId="466AB9F9" w14:textId="77777777" w:rsidR="00A865A9" w:rsidRPr="001646CF" w:rsidRDefault="00A865A9" w:rsidP="001646CF">
            <w:pPr>
              <w:jc w:val="both"/>
              <w:rPr>
                <w:rFonts w:cs="Times New Roman"/>
                <w:b w:val="0"/>
                <w:color w:val="auto"/>
                <w:sz w:val="20"/>
                <w:szCs w:val="20"/>
              </w:rPr>
            </w:pPr>
          </w:p>
        </w:tc>
        <w:tc>
          <w:tcPr>
            <w:tcW w:w="6146" w:type="dxa"/>
            <w:tcBorders>
              <w:left w:val="none" w:sz="0" w:space="0" w:color="auto"/>
              <w:right w:val="none" w:sz="0" w:space="0" w:color="auto"/>
            </w:tcBorders>
          </w:tcPr>
          <w:p w14:paraId="076D6106" w14:textId="77777777" w:rsidR="00A865A9" w:rsidRPr="001646CF" w:rsidRDefault="00A865A9" w:rsidP="001646CF">
            <w:p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p>
          <w:p w14:paraId="3303F406" w14:textId="2FC6952B" w:rsidR="00256A1B" w:rsidRPr="00ED3ECE" w:rsidRDefault="00B80326" w:rsidP="00256A1B">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bookmarkStart w:id="18" w:name="_Toc24702685"/>
            <w:r w:rsidRPr="001646CF">
              <w:rPr>
                <w:rFonts w:cs="Times New Roman"/>
                <w:color w:val="auto"/>
                <w:sz w:val="20"/>
                <w:szCs w:val="20"/>
              </w:rPr>
              <w:t xml:space="preserve">Use of “user-centred” </w:t>
            </w:r>
            <w:r>
              <w:rPr>
                <w:rFonts w:cs="Times New Roman"/>
                <w:color w:val="auto"/>
                <w:sz w:val="20"/>
                <w:szCs w:val="20"/>
              </w:rPr>
              <w:t>(</w:t>
            </w:r>
            <w:r w:rsidRPr="001646CF">
              <w:rPr>
                <w:rFonts w:cs="Times New Roman"/>
                <w:color w:val="auto"/>
                <w:sz w:val="20"/>
                <w:szCs w:val="20"/>
              </w:rPr>
              <w:t>and “co-design”</w:t>
            </w:r>
            <w:r>
              <w:rPr>
                <w:rFonts w:cs="Times New Roman"/>
                <w:color w:val="auto"/>
                <w:sz w:val="20"/>
                <w:szCs w:val="20"/>
              </w:rPr>
              <w:t>)</w:t>
            </w:r>
            <w:r w:rsidRPr="001646CF">
              <w:rPr>
                <w:rFonts w:cs="Times New Roman"/>
                <w:color w:val="auto"/>
                <w:sz w:val="20"/>
                <w:szCs w:val="20"/>
              </w:rPr>
              <w:t xml:space="preserve"> methodologies for the </w:t>
            </w:r>
            <w:r>
              <w:rPr>
                <w:rFonts w:cs="Times New Roman"/>
                <w:color w:val="auto"/>
                <w:sz w:val="20"/>
                <w:szCs w:val="20"/>
              </w:rPr>
              <w:t>design and performance of the mechanism, which ensure effective representation of, and meaningful participation by, all sections of affected communities, giving particular attention to the needs of people who may be at risk of vulnerability or marginalisation</w:t>
            </w:r>
          </w:p>
          <w:p w14:paraId="70B202A6" w14:textId="77777777" w:rsidR="00651E35" w:rsidRPr="001646CF" w:rsidRDefault="00651E35" w:rsidP="00651E35">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646CF">
              <w:rPr>
                <w:rFonts w:cs="Times New Roman"/>
                <w:color w:val="auto"/>
                <w:sz w:val="20"/>
                <w:szCs w:val="20"/>
              </w:rPr>
              <w:t>Properly reso</w:t>
            </w:r>
            <w:r>
              <w:rPr>
                <w:rFonts w:cs="Times New Roman"/>
                <w:color w:val="auto"/>
                <w:sz w:val="20"/>
                <w:szCs w:val="20"/>
              </w:rPr>
              <w:t>urced</w:t>
            </w:r>
          </w:p>
          <w:p w14:paraId="1F205BC0" w14:textId="7A021237" w:rsidR="00651E35" w:rsidRPr="00C904BF" w:rsidRDefault="00651E35" w:rsidP="00651E35">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646CF">
              <w:rPr>
                <w:rFonts w:cs="Times New Roman"/>
                <w:color w:val="auto"/>
                <w:sz w:val="20"/>
                <w:szCs w:val="20"/>
              </w:rPr>
              <w:t>Policies and protocols developed in consulta</w:t>
            </w:r>
            <w:r>
              <w:rPr>
                <w:rFonts w:cs="Times New Roman"/>
                <w:color w:val="auto"/>
                <w:sz w:val="20"/>
                <w:szCs w:val="20"/>
              </w:rPr>
              <w:t>tion with affected stakeholders</w:t>
            </w:r>
          </w:p>
          <w:p w14:paraId="021432F0" w14:textId="6CA4E467" w:rsidR="00651E35" w:rsidRPr="001646CF" w:rsidRDefault="00651E35" w:rsidP="00651E35">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646CF">
              <w:rPr>
                <w:rFonts w:cs="Times New Roman"/>
                <w:color w:val="auto"/>
                <w:sz w:val="20"/>
                <w:szCs w:val="20"/>
              </w:rPr>
              <w:t>Policies are designed to avoid “capture” by different interest groups and c</w:t>
            </w:r>
            <w:r>
              <w:rPr>
                <w:rFonts w:cs="Times New Roman"/>
                <w:color w:val="auto"/>
                <w:sz w:val="20"/>
                <w:szCs w:val="20"/>
              </w:rPr>
              <w:t>onflicts of interest, and provide for the removal of grievance mechanism personnel</w:t>
            </w:r>
          </w:p>
          <w:p w14:paraId="7B6321AB" w14:textId="401A7C2C" w:rsidR="00651E35" w:rsidRPr="001646CF" w:rsidRDefault="00651E35" w:rsidP="00651E35">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646CF">
              <w:rPr>
                <w:rFonts w:cs="Times New Roman"/>
                <w:color w:val="auto"/>
                <w:sz w:val="20"/>
                <w:szCs w:val="20"/>
              </w:rPr>
              <w:t>Mandate, terms of reference</w:t>
            </w:r>
            <w:r>
              <w:rPr>
                <w:rFonts w:cs="Times New Roman"/>
                <w:color w:val="auto"/>
                <w:sz w:val="20"/>
                <w:szCs w:val="20"/>
              </w:rPr>
              <w:t>,</w:t>
            </w:r>
            <w:r w:rsidRPr="001646CF">
              <w:rPr>
                <w:rFonts w:cs="Times New Roman"/>
                <w:color w:val="auto"/>
                <w:sz w:val="20"/>
                <w:szCs w:val="20"/>
              </w:rPr>
              <w:t xml:space="preserve"> and budget ap</w:t>
            </w:r>
            <w:r w:rsidR="00760F77">
              <w:rPr>
                <w:rFonts w:cs="Times New Roman"/>
                <w:color w:val="auto"/>
                <w:sz w:val="20"/>
                <w:szCs w:val="20"/>
              </w:rPr>
              <w:t>proved (and amendable) only by b</w:t>
            </w:r>
            <w:r w:rsidRPr="001646CF">
              <w:rPr>
                <w:rFonts w:cs="Times New Roman"/>
                <w:color w:val="auto"/>
                <w:sz w:val="20"/>
                <w:szCs w:val="20"/>
              </w:rPr>
              <w:t>oard</w:t>
            </w:r>
          </w:p>
          <w:p w14:paraId="04F8A414" w14:textId="2955EBF0" w:rsidR="00651E35" w:rsidRDefault="00651E35" w:rsidP="00651E35">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646CF">
              <w:rPr>
                <w:rFonts w:cs="Times New Roman"/>
                <w:color w:val="auto"/>
                <w:sz w:val="20"/>
                <w:szCs w:val="20"/>
              </w:rPr>
              <w:t>Independent recruitment and appointment proces</w:t>
            </w:r>
            <w:r>
              <w:rPr>
                <w:rFonts w:cs="Times New Roman"/>
                <w:color w:val="auto"/>
                <w:sz w:val="20"/>
                <w:szCs w:val="20"/>
              </w:rPr>
              <w:t>ses, involving external stakeholders, including representatives of civil society</w:t>
            </w:r>
          </w:p>
          <w:p w14:paraId="60490F35" w14:textId="6DA6EDB3" w:rsidR="00651E35" w:rsidRPr="001646CF" w:rsidRDefault="00651E35" w:rsidP="00651E35">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Restrictions on company personnel working in operations from shifting to working for the grievance mechanism, and vice versa</w:t>
            </w:r>
          </w:p>
          <w:p w14:paraId="4CEFC873" w14:textId="77777777" w:rsidR="00651E35" w:rsidRPr="001646CF" w:rsidRDefault="00651E35" w:rsidP="00651E35">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646CF">
              <w:rPr>
                <w:rFonts w:cs="Times New Roman"/>
                <w:color w:val="auto"/>
                <w:sz w:val="20"/>
                <w:szCs w:val="20"/>
              </w:rPr>
              <w:t>Re</w:t>
            </w:r>
            <w:r>
              <w:rPr>
                <w:rFonts w:cs="Times New Roman"/>
                <w:color w:val="auto"/>
                <w:sz w:val="20"/>
                <w:szCs w:val="20"/>
              </w:rPr>
              <w:t>gular rotation of key personnel</w:t>
            </w:r>
          </w:p>
          <w:p w14:paraId="5C29C8D9" w14:textId="6F70B938" w:rsidR="00651E35" w:rsidRDefault="00651E35" w:rsidP="00651E35">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Composition of bodies processing complaints are gender-balanced</w:t>
            </w:r>
          </w:p>
          <w:p w14:paraId="527E8098" w14:textId="63E3A98F" w:rsidR="00651E35" w:rsidRDefault="00651E35" w:rsidP="00651E35">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Employing outreach and liaison officers drawn from local communities</w:t>
            </w:r>
            <w:r w:rsidR="00885300">
              <w:rPr>
                <w:rFonts w:cs="Times New Roman"/>
                <w:color w:val="auto"/>
                <w:sz w:val="20"/>
                <w:szCs w:val="20"/>
              </w:rPr>
              <w:t xml:space="preserve"> and who can speak the local language</w:t>
            </w:r>
          </w:p>
          <w:p w14:paraId="71AB9696" w14:textId="757808E0" w:rsidR="002B5951" w:rsidRPr="001646CF" w:rsidRDefault="002B5951" w:rsidP="002B5951">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646CF">
              <w:rPr>
                <w:rFonts w:cs="Times New Roman"/>
                <w:color w:val="auto"/>
                <w:sz w:val="20"/>
                <w:szCs w:val="20"/>
              </w:rPr>
              <w:t xml:space="preserve">Education and awareness-raising sessions, delivered </w:t>
            </w:r>
            <w:r>
              <w:rPr>
                <w:rFonts w:cs="Times New Roman"/>
                <w:color w:val="auto"/>
                <w:sz w:val="20"/>
                <w:szCs w:val="20"/>
              </w:rPr>
              <w:t xml:space="preserve">in a culturally aware and sensitive manner </w:t>
            </w:r>
            <w:r w:rsidRPr="001646CF">
              <w:rPr>
                <w:rFonts w:cs="Times New Roman"/>
                <w:color w:val="auto"/>
                <w:sz w:val="20"/>
                <w:szCs w:val="20"/>
              </w:rPr>
              <w:t>by peers</w:t>
            </w:r>
            <w:r>
              <w:rPr>
                <w:rFonts w:cs="Times New Roman"/>
                <w:color w:val="auto"/>
                <w:sz w:val="20"/>
                <w:szCs w:val="20"/>
              </w:rPr>
              <w:t>, union representatives</w:t>
            </w:r>
            <w:r w:rsidR="00760F77">
              <w:rPr>
                <w:rFonts w:cs="Times New Roman"/>
                <w:color w:val="auto"/>
                <w:sz w:val="20"/>
                <w:szCs w:val="20"/>
              </w:rPr>
              <w:t>,</w:t>
            </w:r>
            <w:r w:rsidRPr="001646CF">
              <w:rPr>
                <w:rFonts w:cs="Times New Roman"/>
                <w:color w:val="auto"/>
                <w:sz w:val="20"/>
                <w:szCs w:val="20"/>
              </w:rPr>
              <w:t xml:space="preserve"> and/or local community members to whom r</w:t>
            </w:r>
            <w:r>
              <w:rPr>
                <w:rFonts w:cs="Times New Roman"/>
                <w:color w:val="auto"/>
                <w:sz w:val="20"/>
                <w:szCs w:val="20"/>
              </w:rPr>
              <w:t>ight-holders can easily relate</w:t>
            </w:r>
          </w:p>
          <w:p w14:paraId="5EBCF5D8" w14:textId="77777777" w:rsidR="002B5951" w:rsidRPr="001646CF" w:rsidRDefault="002B5951" w:rsidP="002B5951">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646CF">
              <w:rPr>
                <w:rFonts w:cs="Times New Roman"/>
                <w:color w:val="auto"/>
                <w:sz w:val="20"/>
                <w:szCs w:val="20"/>
              </w:rPr>
              <w:t xml:space="preserve">Well-resourced </w:t>
            </w:r>
            <w:r>
              <w:rPr>
                <w:rFonts w:cs="Times New Roman"/>
                <w:color w:val="auto"/>
                <w:sz w:val="20"/>
                <w:szCs w:val="20"/>
              </w:rPr>
              <w:t xml:space="preserve">and proactive </w:t>
            </w:r>
            <w:r w:rsidRPr="001646CF">
              <w:rPr>
                <w:rFonts w:cs="Times New Roman"/>
                <w:color w:val="auto"/>
                <w:sz w:val="20"/>
                <w:szCs w:val="20"/>
              </w:rPr>
              <w:t>outreach programmes</w:t>
            </w:r>
            <w:r>
              <w:rPr>
                <w:rFonts w:cs="Times New Roman"/>
                <w:color w:val="auto"/>
                <w:sz w:val="20"/>
                <w:szCs w:val="20"/>
              </w:rPr>
              <w:t xml:space="preserve"> to raise awareness about stakeholder rights, the grievance mechanism, and how to use it</w:t>
            </w:r>
          </w:p>
          <w:p w14:paraId="6399D31B" w14:textId="4D6BE2C4" w:rsidR="00885300" w:rsidRDefault="00885300" w:rsidP="00651E35">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Ensuring appropriate complainant protections, such as providing a private means of raising grievances and sharing information</w:t>
            </w:r>
          </w:p>
          <w:bookmarkEnd w:id="18"/>
          <w:p w14:paraId="7C5281F0" w14:textId="67459F02" w:rsidR="00256A1B" w:rsidRDefault="00256A1B" w:rsidP="00256A1B">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646CF">
              <w:rPr>
                <w:rFonts w:cs="Times New Roman"/>
                <w:color w:val="auto"/>
                <w:sz w:val="20"/>
                <w:szCs w:val="20"/>
              </w:rPr>
              <w:t>Use of independent, multi-stakeholder advisory panel</w:t>
            </w:r>
            <w:r>
              <w:rPr>
                <w:rFonts w:cs="Times New Roman"/>
                <w:color w:val="auto"/>
                <w:sz w:val="20"/>
                <w:szCs w:val="20"/>
              </w:rPr>
              <w:t>, that is gender-balanced and properly representative of anticipated user groups and interests</w:t>
            </w:r>
          </w:p>
          <w:p w14:paraId="74F2025D" w14:textId="59B342B2" w:rsidR="00885300" w:rsidRPr="001646CF" w:rsidRDefault="00885300" w:rsidP="00885300">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 xml:space="preserve">Delegation </w:t>
            </w:r>
            <w:r w:rsidR="00760F77">
              <w:rPr>
                <w:rFonts w:cs="Times New Roman"/>
                <w:color w:val="auto"/>
                <w:sz w:val="20"/>
                <w:szCs w:val="20"/>
              </w:rPr>
              <w:t xml:space="preserve">of </w:t>
            </w:r>
            <w:r>
              <w:rPr>
                <w:rFonts w:cs="Times New Roman"/>
                <w:color w:val="auto"/>
                <w:sz w:val="20"/>
                <w:szCs w:val="20"/>
              </w:rPr>
              <w:t>dispute resolution and decision-making to</w:t>
            </w:r>
            <w:r>
              <w:t xml:space="preserve"> </w:t>
            </w:r>
            <w:r w:rsidRPr="00885300">
              <w:rPr>
                <w:rFonts w:cs="Times New Roman"/>
                <w:color w:val="auto"/>
                <w:sz w:val="20"/>
                <w:szCs w:val="20"/>
              </w:rPr>
              <w:t>legitimate, independent third-party mechanism</w:t>
            </w:r>
            <w:r>
              <w:rPr>
                <w:rFonts w:cs="Times New Roman"/>
                <w:color w:val="auto"/>
                <w:sz w:val="20"/>
                <w:szCs w:val="20"/>
              </w:rPr>
              <w:t>s in appropriate cases</w:t>
            </w:r>
          </w:p>
          <w:p w14:paraId="58E0323F" w14:textId="729245BF" w:rsidR="00651E35" w:rsidRPr="001646CF" w:rsidRDefault="00651E35" w:rsidP="00651E35">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Preserves the possibility of overlapping or parallel processes (e.g. access to mechanism is not conditional on waivers of rights to seek judicial or non-judicial remedies elsewhere)</w:t>
            </w:r>
          </w:p>
          <w:p w14:paraId="1BFF34CF" w14:textId="17838E32" w:rsidR="00651E35" w:rsidRPr="001646CF" w:rsidRDefault="00651E35" w:rsidP="00651E35">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646CF">
              <w:rPr>
                <w:rFonts w:cs="Times New Roman"/>
                <w:color w:val="auto"/>
                <w:sz w:val="20"/>
                <w:szCs w:val="20"/>
              </w:rPr>
              <w:t>Clear and transparent appea</w:t>
            </w:r>
            <w:r>
              <w:rPr>
                <w:rFonts w:cs="Times New Roman"/>
                <w:color w:val="auto"/>
                <w:sz w:val="20"/>
                <w:szCs w:val="20"/>
              </w:rPr>
              <w:t>ls process from decision-making</w:t>
            </w:r>
          </w:p>
          <w:p w14:paraId="5FDE0AF5" w14:textId="7E8F54B2" w:rsidR="00256A1B" w:rsidRDefault="00256A1B" w:rsidP="00256A1B">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646CF">
              <w:rPr>
                <w:rFonts w:cs="Times New Roman"/>
                <w:color w:val="auto"/>
                <w:sz w:val="20"/>
                <w:szCs w:val="20"/>
              </w:rPr>
              <w:t xml:space="preserve">Publication of outcomes of processes (subject </w:t>
            </w:r>
            <w:r w:rsidR="00651E35">
              <w:rPr>
                <w:rFonts w:cs="Times New Roman"/>
                <w:color w:val="auto"/>
                <w:sz w:val="20"/>
                <w:szCs w:val="20"/>
              </w:rPr>
              <w:t>to confidentiality commitments)</w:t>
            </w:r>
          </w:p>
          <w:p w14:paraId="5BB13463" w14:textId="3830B418" w:rsidR="00885300" w:rsidRDefault="00885300" w:rsidP="00256A1B">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Use of external audits to ensure compliance with policies, and to provide feedback and guidance</w:t>
            </w:r>
          </w:p>
          <w:p w14:paraId="2C3C39F3" w14:textId="77777777" w:rsidR="00A865A9" w:rsidRPr="001646CF" w:rsidRDefault="00A865A9" w:rsidP="00651E35">
            <w:pPr>
              <w:pStyle w:val="ListParagraph"/>
              <w:ind w:left="360"/>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p>
        </w:tc>
      </w:tr>
      <w:tr w:rsidR="00A865A9" w:rsidRPr="00FD3029" w14:paraId="289C467A" w14:textId="77777777" w:rsidTr="00E508C0">
        <w:tc>
          <w:tcPr>
            <w:cnfStyle w:val="001000000000" w:firstRow="0" w:lastRow="0" w:firstColumn="1" w:lastColumn="0" w:oddVBand="0" w:evenVBand="0" w:oddHBand="0" w:evenHBand="0" w:firstRowFirstColumn="0" w:firstRowLastColumn="0" w:lastRowFirstColumn="0" w:lastRowLastColumn="0"/>
            <w:tcW w:w="2880" w:type="dxa"/>
          </w:tcPr>
          <w:p w14:paraId="0005F845" w14:textId="77777777" w:rsidR="00A865A9" w:rsidRPr="001646CF" w:rsidRDefault="00A865A9" w:rsidP="001646CF">
            <w:pPr>
              <w:pStyle w:val="Heading1"/>
              <w:spacing w:before="0"/>
              <w:jc w:val="both"/>
              <w:outlineLvl w:val="0"/>
              <w:rPr>
                <w:rFonts w:eastAsiaTheme="minorHAnsi" w:cs="Times New Roman"/>
                <w:bCs w:val="0"/>
                <w:color w:val="auto"/>
                <w:sz w:val="20"/>
                <w:szCs w:val="20"/>
                <w:u w:val="none"/>
              </w:rPr>
            </w:pPr>
          </w:p>
          <w:p w14:paraId="0012264B" w14:textId="77777777" w:rsidR="00A865A9" w:rsidRPr="001646CF" w:rsidRDefault="00A865A9" w:rsidP="001646CF">
            <w:pPr>
              <w:jc w:val="both"/>
              <w:rPr>
                <w:b w:val="0"/>
                <w:color w:val="auto"/>
                <w:sz w:val="20"/>
                <w:szCs w:val="20"/>
              </w:rPr>
            </w:pPr>
            <w:bookmarkStart w:id="19" w:name="_Toc24702686"/>
            <w:r w:rsidRPr="001646CF">
              <w:rPr>
                <w:b w:val="0"/>
                <w:color w:val="auto"/>
                <w:sz w:val="20"/>
                <w:szCs w:val="20"/>
              </w:rPr>
              <w:t xml:space="preserve">(b) </w:t>
            </w:r>
            <w:r w:rsidRPr="001646CF">
              <w:rPr>
                <w:color w:val="auto"/>
                <w:sz w:val="20"/>
                <w:szCs w:val="20"/>
              </w:rPr>
              <w:t>Accessible</w:t>
            </w:r>
            <w:r w:rsidRPr="001646CF">
              <w:rPr>
                <w:b w:val="0"/>
                <w:color w:val="auto"/>
                <w:sz w:val="20"/>
                <w:szCs w:val="20"/>
              </w:rPr>
              <w:t>: being known to all stakeholder groups for whose use they are intended, and providing adequate assistance for those who may face particular barriers to access</w:t>
            </w:r>
            <w:bookmarkEnd w:id="19"/>
          </w:p>
          <w:p w14:paraId="5353B9B4" w14:textId="77777777" w:rsidR="00A865A9" w:rsidRPr="001646CF" w:rsidRDefault="00A865A9" w:rsidP="001646CF">
            <w:pPr>
              <w:pStyle w:val="Heading1"/>
              <w:spacing w:before="0"/>
              <w:jc w:val="both"/>
              <w:outlineLvl w:val="0"/>
              <w:rPr>
                <w:rFonts w:eastAsiaTheme="minorHAnsi" w:cs="Times New Roman"/>
                <w:color w:val="auto"/>
                <w:sz w:val="20"/>
                <w:szCs w:val="20"/>
                <w:u w:val="none"/>
              </w:rPr>
            </w:pPr>
          </w:p>
          <w:p w14:paraId="4E080733" w14:textId="77777777" w:rsidR="00A865A9" w:rsidRPr="001646CF" w:rsidRDefault="00A865A9" w:rsidP="001646CF">
            <w:pPr>
              <w:jc w:val="both"/>
              <w:rPr>
                <w:rFonts w:cs="Times New Roman"/>
                <w:b w:val="0"/>
                <w:color w:val="auto"/>
                <w:sz w:val="20"/>
                <w:szCs w:val="20"/>
              </w:rPr>
            </w:pPr>
          </w:p>
        </w:tc>
        <w:tc>
          <w:tcPr>
            <w:tcW w:w="6146" w:type="dxa"/>
          </w:tcPr>
          <w:p w14:paraId="25090699" w14:textId="77777777" w:rsidR="00A865A9" w:rsidRPr="001646CF" w:rsidRDefault="00A865A9" w:rsidP="001646CF">
            <w:pPr>
              <w:pStyle w:val="ListParagraph"/>
              <w:ind w:left="360"/>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p>
          <w:p w14:paraId="3E67218A" w14:textId="3C390263" w:rsidR="002B5951" w:rsidRPr="001646CF" w:rsidRDefault="002B5951" w:rsidP="002B5951">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Those seeking to access the mechanism are not required to waive their rights to seek judicial or non-judicial remedies elsewhere</w:t>
            </w:r>
          </w:p>
          <w:p w14:paraId="31F8769E" w14:textId="4FE637FE" w:rsidR="00256A1B" w:rsidRDefault="002B5951"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 xml:space="preserve"> </w:t>
            </w:r>
            <w:r w:rsidR="00256A1B" w:rsidRPr="001646CF">
              <w:rPr>
                <w:rFonts w:cs="Times New Roman"/>
                <w:color w:val="auto"/>
                <w:sz w:val="20"/>
                <w:szCs w:val="20"/>
              </w:rPr>
              <w:t>“Zero-tolerance” policies on retaliation a</w:t>
            </w:r>
            <w:r>
              <w:rPr>
                <w:rFonts w:cs="Times New Roman"/>
                <w:color w:val="auto"/>
                <w:sz w:val="20"/>
                <w:szCs w:val="20"/>
              </w:rPr>
              <w:t>nd intimidation</w:t>
            </w:r>
          </w:p>
          <w:p w14:paraId="23EB6B62" w14:textId="0F11937F" w:rsidR="00256A1B" w:rsidRDefault="00256A1B"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Bespoke safeguarding strategies that are inform</w:t>
            </w:r>
            <w:r w:rsidR="002B5951">
              <w:rPr>
                <w:rFonts w:cs="Times New Roman"/>
                <w:color w:val="auto"/>
                <w:sz w:val="20"/>
                <w:szCs w:val="20"/>
              </w:rPr>
              <w:t>ed by thorough risk assessments</w:t>
            </w:r>
          </w:p>
          <w:p w14:paraId="79B8B93A" w14:textId="77DCECF3" w:rsidR="002B5951" w:rsidRDefault="00C56D6E" w:rsidP="002B5951">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Raising awareness of the mechanism through different channels in a clear way, such as through flyers and highly-visible links to the grievance mechanism on websites (particularly on homepages and contact pages)</w:t>
            </w:r>
          </w:p>
          <w:p w14:paraId="717B0E0D" w14:textId="3F80B3FF" w:rsidR="00C56D6E" w:rsidRDefault="00C56D6E" w:rsidP="002B5951">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Raising awareness of the mechanism through business relationships</w:t>
            </w:r>
            <w:r w:rsidR="009A50F7">
              <w:rPr>
                <w:rFonts w:cs="Times New Roman"/>
                <w:color w:val="auto"/>
                <w:sz w:val="20"/>
                <w:szCs w:val="20"/>
              </w:rPr>
              <w:t xml:space="preserve">, for instance among workers engaged in supply chains (e.g., through contractual agreements with suppliers) or among those </w:t>
            </w:r>
            <w:r w:rsidR="00760F77">
              <w:rPr>
                <w:rFonts w:cs="Times New Roman"/>
                <w:color w:val="auto"/>
                <w:sz w:val="20"/>
                <w:szCs w:val="20"/>
              </w:rPr>
              <w:t xml:space="preserve">(potentially) </w:t>
            </w:r>
            <w:r w:rsidR="009A50F7">
              <w:rPr>
                <w:rFonts w:cs="Times New Roman"/>
                <w:color w:val="auto"/>
                <w:sz w:val="20"/>
                <w:szCs w:val="20"/>
              </w:rPr>
              <w:t>affected by funded projects</w:t>
            </w:r>
          </w:p>
          <w:p w14:paraId="0D0FFB6D" w14:textId="0193EF53" w:rsidR="002B5951" w:rsidRPr="001646CF" w:rsidRDefault="002B5951" w:rsidP="002B5951">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 xml:space="preserve">Education and awareness-raising sessions, delivered </w:t>
            </w:r>
            <w:r>
              <w:rPr>
                <w:rFonts w:cs="Times New Roman"/>
                <w:color w:val="auto"/>
                <w:sz w:val="20"/>
                <w:szCs w:val="20"/>
              </w:rPr>
              <w:t xml:space="preserve">in a culturally aware and sensitive manner </w:t>
            </w:r>
            <w:r w:rsidRPr="001646CF">
              <w:rPr>
                <w:rFonts w:cs="Times New Roman"/>
                <w:color w:val="auto"/>
                <w:sz w:val="20"/>
                <w:szCs w:val="20"/>
              </w:rPr>
              <w:t>by peers</w:t>
            </w:r>
            <w:r>
              <w:rPr>
                <w:rFonts w:cs="Times New Roman"/>
                <w:color w:val="auto"/>
                <w:sz w:val="20"/>
                <w:szCs w:val="20"/>
              </w:rPr>
              <w:t>, union representatives</w:t>
            </w:r>
            <w:r w:rsidR="00760F77">
              <w:rPr>
                <w:rFonts w:cs="Times New Roman"/>
                <w:color w:val="auto"/>
                <w:sz w:val="20"/>
                <w:szCs w:val="20"/>
              </w:rPr>
              <w:t>,</w:t>
            </w:r>
            <w:r w:rsidRPr="001646CF">
              <w:rPr>
                <w:rFonts w:cs="Times New Roman"/>
                <w:color w:val="auto"/>
                <w:sz w:val="20"/>
                <w:szCs w:val="20"/>
              </w:rPr>
              <w:t xml:space="preserve"> and/or local community members to whom r</w:t>
            </w:r>
            <w:r>
              <w:rPr>
                <w:rFonts w:cs="Times New Roman"/>
                <w:color w:val="auto"/>
                <w:sz w:val="20"/>
                <w:szCs w:val="20"/>
              </w:rPr>
              <w:t>ight-holders can easily relate</w:t>
            </w:r>
          </w:p>
          <w:p w14:paraId="3F6AE099" w14:textId="7A1DE76D" w:rsidR="002B5951" w:rsidRPr="001646CF" w:rsidRDefault="002B5951" w:rsidP="002B5951">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 xml:space="preserve">Well-resourced </w:t>
            </w:r>
            <w:r>
              <w:rPr>
                <w:rFonts w:cs="Times New Roman"/>
                <w:color w:val="auto"/>
                <w:sz w:val="20"/>
                <w:szCs w:val="20"/>
              </w:rPr>
              <w:t xml:space="preserve">and proactive </w:t>
            </w:r>
            <w:r w:rsidRPr="001646CF">
              <w:rPr>
                <w:rFonts w:cs="Times New Roman"/>
                <w:color w:val="auto"/>
                <w:sz w:val="20"/>
                <w:szCs w:val="20"/>
              </w:rPr>
              <w:t>outreach programmes</w:t>
            </w:r>
            <w:r>
              <w:rPr>
                <w:rFonts w:cs="Times New Roman"/>
                <w:color w:val="auto"/>
                <w:sz w:val="20"/>
                <w:szCs w:val="20"/>
              </w:rPr>
              <w:t xml:space="preserve"> to raise awareness about stakeholder rights, the grievance mechanism, and how to use it</w:t>
            </w:r>
          </w:p>
          <w:p w14:paraId="60692024" w14:textId="4C6FBE45" w:rsidR="002B5951" w:rsidRDefault="002B5951" w:rsidP="002B5951">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Clear, simple</w:t>
            </w:r>
            <w:r>
              <w:rPr>
                <w:rFonts w:cs="Times New Roman"/>
                <w:color w:val="auto"/>
                <w:sz w:val="20"/>
                <w:szCs w:val="20"/>
              </w:rPr>
              <w:t>,</w:t>
            </w:r>
            <w:r w:rsidRPr="001646CF">
              <w:rPr>
                <w:rFonts w:cs="Times New Roman"/>
                <w:color w:val="auto"/>
                <w:sz w:val="20"/>
                <w:szCs w:val="20"/>
              </w:rPr>
              <w:t xml:space="preserve"> and flexible </w:t>
            </w:r>
            <w:r>
              <w:rPr>
                <w:rFonts w:cs="Times New Roman"/>
                <w:color w:val="auto"/>
                <w:sz w:val="20"/>
                <w:szCs w:val="20"/>
              </w:rPr>
              <w:t>eligibility requirements</w:t>
            </w:r>
          </w:p>
          <w:p w14:paraId="75E328D1" w14:textId="59628AC2" w:rsidR="00757307" w:rsidRDefault="009A50F7" w:rsidP="002B5951">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Flexibility as regards the time periods within which grievances can be raised (e.g., after the harm was noticed)</w:t>
            </w:r>
          </w:p>
          <w:p w14:paraId="7D805934" w14:textId="77777777" w:rsidR="009A50F7" w:rsidRDefault="009A50F7" w:rsidP="009A50F7">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Allows group actions to be raised</w:t>
            </w:r>
          </w:p>
          <w:p w14:paraId="7F66508B" w14:textId="286B51A2" w:rsidR="002B5951" w:rsidRDefault="002B5951" w:rsidP="002B5951">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Making grievance processes available at no cost (or nominal cost)</w:t>
            </w:r>
          </w:p>
          <w:p w14:paraId="19835C3B" w14:textId="2BFEFAB2" w:rsidR="00256A1B" w:rsidRPr="001646CF" w:rsidRDefault="00256A1B"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 xml:space="preserve">Financial assistance </w:t>
            </w:r>
            <w:r w:rsidR="002B5951">
              <w:rPr>
                <w:rFonts w:cs="Times New Roman"/>
                <w:color w:val="auto"/>
                <w:sz w:val="20"/>
                <w:szCs w:val="20"/>
              </w:rPr>
              <w:t>to offset legal and other costs</w:t>
            </w:r>
          </w:p>
          <w:p w14:paraId="1182FDC1" w14:textId="77777777" w:rsidR="002B5951" w:rsidRPr="001646CF" w:rsidRDefault="002B5951" w:rsidP="002B5951">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Provision of translation resources or services at no charge or minimal cost</w:t>
            </w:r>
          </w:p>
          <w:p w14:paraId="46E27CC2" w14:textId="1A26B5B2" w:rsidR="00256A1B" w:rsidRDefault="00256A1B"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Multiple entry points for users (e.g. toll-free telephone, e-mail, in pe</w:t>
            </w:r>
            <w:r w:rsidR="002B5951">
              <w:rPr>
                <w:rFonts w:cs="Times New Roman"/>
                <w:color w:val="auto"/>
                <w:sz w:val="20"/>
                <w:szCs w:val="20"/>
              </w:rPr>
              <w:t>rson, post, digital apps, etc.)</w:t>
            </w:r>
          </w:p>
          <w:p w14:paraId="5A1528B5" w14:textId="6EE4BFE4" w:rsidR="00C56D6E" w:rsidRPr="001646CF" w:rsidRDefault="00C56D6E"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Use of rights-respecting and safe digital technologies to raise grievances and share information</w:t>
            </w:r>
          </w:p>
          <w:p w14:paraId="33221172" w14:textId="77777777" w:rsidR="002B5951" w:rsidRPr="001646CF" w:rsidRDefault="002B5951" w:rsidP="002B5951">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Provision of template/model/example documents (e.g., complaint forms)</w:t>
            </w:r>
          </w:p>
          <w:p w14:paraId="39257603" w14:textId="77777777" w:rsidR="002B5951" w:rsidRPr="00C904BF" w:rsidRDefault="002B5951" w:rsidP="002B5951">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Ensuring that literature relating to policies and processes is available in a range of different languages relevant to needs of gro</w:t>
            </w:r>
            <w:r>
              <w:rPr>
                <w:rFonts w:cs="Times New Roman"/>
                <w:color w:val="auto"/>
                <w:sz w:val="20"/>
                <w:szCs w:val="20"/>
              </w:rPr>
              <w:t>ups for which they are intended</w:t>
            </w:r>
          </w:p>
          <w:p w14:paraId="304DED5F" w14:textId="77777777" w:rsidR="002B5951" w:rsidRPr="001646CF" w:rsidRDefault="002B5951" w:rsidP="002B5951">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 xml:space="preserve">Provision of </w:t>
            </w:r>
            <w:r>
              <w:rPr>
                <w:rFonts w:cs="Times New Roman"/>
                <w:color w:val="auto"/>
                <w:sz w:val="20"/>
                <w:szCs w:val="20"/>
              </w:rPr>
              <w:t>local helplines</w:t>
            </w:r>
          </w:p>
          <w:p w14:paraId="116807DF" w14:textId="06AA349D" w:rsidR="00256A1B" w:rsidRDefault="00256A1B"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 xml:space="preserve">Provision of designated </w:t>
            </w:r>
            <w:r w:rsidR="002B5951">
              <w:rPr>
                <w:rFonts w:cs="Times New Roman"/>
                <w:color w:val="auto"/>
                <w:sz w:val="20"/>
                <w:szCs w:val="20"/>
              </w:rPr>
              <w:t>case workers</w:t>
            </w:r>
          </w:p>
          <w:p w14:paraId="5F02B22D" w14:textId="0FD7EDC8" w:rsidR="00256A1B" w:rsidRPr="001646CF" w:rsidRDefault="00256A1B"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Provision of appropriately trained support personnel (e.g. counsellors)</w:t>
            </w:r>
          </w:p>
          <w:p w14:paraId="6AB38F8D" w14:textId="615A6938" w:rsidR="00256A1B" w:rsidRPr="001646CF" w:rsidRDefault="002B5951"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Child-friendly facilities</w:t>
            </w:r>
          </w:p>
          <w:p w14:paraId="0596FAE1" w14:textId="6F3E60ED" w:rsidR="00256A1B" w:rsidRDefault="00256A1B"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 xml:space="preserve">Special provisions for users, witnesses, and visitors with disabilities (e.g., provision of resources </w:t>
            </w:r>
            <w:r w:rsidR="002B5951">
              <w:rPr>
                <w:rFonts w:cs="Times New Roman"/>
                <w:color w:val="auto"/>
                <w:sz w:val="20"/>
                <w:szCs w:val="20"/>
              </w:rPr>
              <w:t>in Braille, audio format, etc.)</w:t>
            </w:r>
          </w:p>
          <w:p w14:paraId="47195B3C" w14:textId="60A5B814" w:rsidR="00C56D6E" w:rsidRPr="001646CF" w:rsidRDefault="00C56D6E"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Ensures protections for rights-holders, human rights defenders, and others (e.g., anonymous complaints)</w:t>
            </w:r>
          </w:p>
          <w:p w14:paraId="3E1002BD" w14:textId="0F85967C" w:rsidR="00256A1B" w:rsidRDefault="00256A1B"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 xml:space="preserve">Takes into account </w:t>
            </w:r>
            <w:r w:rsidRPr="00ED3ECE">
              <w:rPr>
                <w:rFonts w:cs="Times New Roman"/>
                <w:color w:val="auto"/>
                <w:sz w:val="20"/>
                <w:szCs w:val="20"/>
              </w:rPr>
              <w:t>various forms of discrimination, disadvantages</w:t>
            </w:r>
            <w:r w:rsidR="00C56D6E">
              <w:rPr>
                <w:rFonts w:cs="Times New Roman"/>
                <w:color w:val="auto"/>
                <w:sz w:val="20"/>
                <w:szCs w:val="20"/>
              </w:rPr>
              <w:t>,</w:t>
            </w:r>
            <w:r w:rsidRPr="00ED3ECE">
              <w:rPr>
                <w:rFonts w:cs="Times New Roman"/>
                <w:color w:val="auto"/>
                <w:sz w:val="20"/>
                <w:szCs w:val="20"/>
              </w:rPr>
              <w:t xml:space="preserve"> and barriers faced by affected women in seeking remedies and take</w:t>
            </w:r>
            <w:r>
              <w:rPr>
                <w:rFonts w:cs="Times New Roman"/>
                <w:color w:val="auto"/>
                <w:sz w:val="20"/>
                <w:szCs w:val="20"/>
              </w:rPr>
              <w:t>s</w:t>
            </w:r>
            <w:r w:rsidRPr="00ED3ECE">
              <w:rPr>
                <w:rFonts w:cs="Times New Roman"/>
                <w:color w:val="auto"/>
                <w:sz w:val="20"/>
                <w:szCs w:val="20"/>
              </w:rPr>
              <w:t xml:space="preserve"> appropriate measures to overcome those limitations</w:t>
            </w:r>
          </w:p>
          <w:p w14:paraId="12EABB23" w14:textId="1F3A7595" w:rsidR="00C56D6E" w:rsidRDefault="00C56D6E"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 xml:space="preserve">Allows grievances to be raised by </w:t>
            </w:r>
            <w:r w:rsidR="00757307">
              <w:rPr>
                <w:rFonts w:cs="Times New Roman"/>
                <w:color w:val="auto"/>
                <w:sz w:val="20"/>
                <w:szCs w:val="20"/>
              </w:rPr>
              <w:t>representatives of rights-holders</w:t>
            </w:r>
          </w:p>
          <w:p w14:paraId="4D530EB4" w14:textId="48BFF8D8" w:rsidR="00757307" w:rsidRPr="00757307" w:rsidRDefault="00757307" w:rsidP="00757307">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Allows grievances to be raised by all potentially affected stakeholder groups</w:t>
            </w:r>
          </w:p>
          <w:p w14:paraId="307C38D0" w14:textId="77777777" w:rsidR="00A865A9" w:rsidRPr="001646CF" w:rsidRDefault="00A865A9" w:rsidP="00256A1B">
            <w:pPr>
              <w:pStyle w:val="ListParagraph"/>
              <w:ind w:left="360"/>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p>
        </w:tc>
      </w:tr>
      <w:tr w:rsidR="00A865A9" w:rsidRPr="00FD3029" w14:paraId="57EAFC05" w14:textId="77777777" w:rsidTr="00E50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left w:val="none" w:sz="0" w:space="0" w:color="auto"/>
              <w:right w:val="none" w:sz="0" w:space="0" w:color="auto"/>
            </w:tcBorders>
          </w:tcPr>
          <w:p w14:paraId="0E4871AB" w14:textId="77777777" w:rsidR="00A865A9" w:rsidRPr="001646CF" w:rsidRDefault="00A865A9" w:rsidP="001646CF">
            <w:pPr>
              <w:pStyle w:val="Heading1"/>
              <w:spacing w:before="0"/>
              <w:jc w:val="both"/>
              <w:outlineLvl w:val="0"/>
              <w:rPr>
                <w:rFonts w:eastAsiaTheme="minorHAnsi" w:cs="Times New Roman"/>
                <w:bCs w:val="0"/>
                <w:color w:val="auto"/>
                <w:sz w:val="20"/>
                <w:szCs w:val="20"/>
                <w:u w:val="none"/>
              </w:rPr>
            </w:pPr>
          </w:p>
          <w:p w14:paraId="0C3D5B35" w14:textId="77777777" w:rsidR="00A865A9" w:rsidRPr="001646CF" w:rsidRDefault="00A865A9" w:rsidP="001646CF">
            <w:pPr>
              <w:jc w:val="both"/>
              <w:rPr>
                <w:b w:val="0"/>
                <w:color w:val="auto"/>
                <w:sz w:val="20"/>
                <w:szCs w:val="20"/>
              </w:rPr>
            </w:pPr>
            <w:bookmarkStart w:id="20" w:name="_Toc24702687"/>
            <w:r w:rsidRPr="001646CF">
              <w:rPr>
                <w:b w:val="0"/>
                <w:color w:val="auto"/>
                <w:sz w:val="20"/>
                <w:szCs w:val="20"/>
              </w:rPr>
              <w:t xml:space="preserve">(c) </w:t>
            </w:r>
            <w:r w:rsidRPr="001646CF">
              <w:rPr>
                <w:color w:val="auto"/>
                <w:sz w:val="20"/>
                <w:szCs w:val="20"/>
              </w:rPr>
              <w:t>Predictable</w:t>
            </w:r>
            <w:r w:rsidRPr="001646CF">
              <w:rPr>
                <w:b w:val="0"/>
                <w:color w:val="auto"/>
                <w:sz w:val="20"/>
                <w:szCs w:val="20"/>
              </w:rPr>
              <w:t>: providing a clear and known procedure with an indicative time frame for each stage, and clarity on the types of process and outcome available and means of monitoring implementation</w:t>
            </w:r>
            <w:bookmarkEnd w:id="20"/>
          </w:p>
          <w:p w14:paraId="28E0A891" w14:textId="77777777" w:rsidR="00A865A9" w:rsidRPr="001646CF" w:rsidRDefault="00A865A9" w:rsidP="001646CF">
            <w:pPr>
              <w:jc w:val="both"/>
              <w:rPr>
                <w:rFonts w:cs="Times New Roman"/>
                <w:b w:val="0"/>
                <w:color w:val="auto"/>
                <w:sz w:val="20"/>
                <w:szCs w:val="20"/>
              </w:rPr>
            </w:pPr>
          </w:p>
        </w:tc>
        <w:tc>
          <w:tcPr>
            <w:tcW w:w="6146" w:type="dxa"/>
            <w:tcBorders>
              <w:left w:val="none" w:sz="0" w:space="0" w:color="auto"/>
              <w:right w:val="none" w:sz="0" w:space="0" w:color="auto"/>
            </w:tcBorders>
          </w:tcPr>
          <w:p w14:paraId="4DAF91E0" w14:textId="77777777" w:rsidR="00A865A9" w:rsidRPr="001646CF" w:rsidRDefault="00A865A9" w:rsidP="001646CF">
            <w:pPr>
              <w:pStyle w:val="ListParagraph"/>
              <w:ind w:left="360"/>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p>
          <w:p w14:paraId="615F8C12" w14:textId="626A8419" w:rsidR="00256A1B" w:rsidRPr="001646CF" w:rsidRDefault="00256A1B" w:rsidP="00256A1B">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646CF">
              <w:rPr>
                <w:rFonts w:cs="Times New Roman"/>
                <w:color w:val="auto"/>
                <w:sz w:val="20"/>
                <w:szCs w:val="20"/>
              </w:rPr>
              <w:t>Online and hard copy resources (in plain language) explaining processes and key stages (e.</w:t>
            </w:r>
            <w:r w:rsidR="002559DD">
              <w:rPr>
                <w:rFonts w:cs="Times New Roman"/>
                <w:color w:val="auto"/>
                <w:sz w:val="20"/>
                <w:szCs w:val="20"/>
              </w:rPr>
              <w:t>g. “what to expect” literature)</w:t>
            </w:r>
          </w:p>
          <w:p w14:paraId="5CB63389" w14:textId="63F5A808" w:rsidR="002559DD" w:rsidRDefault="002559DD" w:rsidP="002559DD">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Publication of procedural rules</w:t>
            </w:r>
          </w:p>
          <w:p w14:paraId="623C21EF" w14:textId="2767F90D" w:rsidR="002559DD" w:rsidRDefault="002559DD" w:rsidP="002559DD">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Publication of timeframe for each stage of the process, and consistent compliance with the timeframe</w:t>
            </w:r>
          </w:p>
          <w:p w14:paraId="3D4D1759" w14:textId="542A83C2" w:rsidR="002559DD" w:rsidRPr="001646CF" w:rsidRDefault="002559DD" w:rsidP="002559DD">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Use of “pre-agreements” to clarify the way in which a generic grievance process will be applied in a specific situation or for a specific community (e.g. contact points, timetables, milestones, resources, disclosure of information</w:t>
            </w:r>
            <w:r w:rsidR="003659E3">
              <w:rPr>
                <w:rFonts w:cs="Times New Roman"/>
                <w:color w:val="auto"/>
                <w:sz w:val="20"/>
                <w:szCs w:val="20"/>
              </w:rPr>
              <w:t>,</w:t>
            </w:r>
            <w:r>
              <w:rPr>
                <w:rFonts w:cs="Times New Roman"/>
                <w:color w:val="auto"/>
                <w:sz w:val="20"/>
                <w:szCs w:val="20"/>
              </w:rPr>
              <w:t xml:space="preserve"> etc.)</w:t>
            </w:r>
          </w:p>
          <w:p w14:paraId="518579B6" w14:textId="0838608C" w:rsidR="002559DD" w:rsidRPr="00256A1B" w:rsidRDefault="002559DD" w:rsidP="002559DD">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646CF">
              <w:rPr>
                <w:rFonts w:cs="Times New Roman"/>
                <w:color w:val="auto"/>
                <w:sz w:val="20"/>
                <w:szCs w:val="20"/>
              </w:rPr>
              <w:t>Publication of information regarding arrangements for, and approach to, collaboration with oth</w:t>
            </w:r>
            <w:r>
              <w:rPr>
                <w:rFonts w:cs="Times New Roman"/>
                <w:color w:val="auto"/>
                <w:sz w:val="20"/>
                <w:szCs w:val="20"/>
              </w:rPr>
              <w:t>er organisations and mechanisms</w:t>
            </w:r>
          </w:p>
          <w:p w14:paraId="7D74CD64" w14:textId="77777777" w:rsidR="002559DD" w:rsidRPr="001646CF" w:rsidRDefault="002559DD" w:rsidP="002559DD">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646CF">
              <w:rPr>
                <w:rFonts w:cs="Times New Roman"/>
                <w:color w:val="auto"/>
                <w:sz w:val="20"/>
                <w:szCs w:val="20"/>
              </w:rPr>
              <w:t>Use of suitable technologies to facilitate professio</w:t>
            </w:r>
            <w:r>
              <w:rPr>
                <w:rFonts w:cs="Times New Roman"/>
                <w:color w:val="auto"/>
                <w:sz w:val="20"/>
                <w:szCs w:val="20"/>
              </w:rPr>
              <w:t>nal and efficient case handling</w:t>
            </w:r>
          </w:p>
          <w:p w14:paraId="298D68D4" w14:textId="24E4672B" w:rsidR="00256A1B" w:rsidRDefault="00256A1B" w:rsidP="00256A1B">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Provision of d</w:t>
            </w:r>
            <w:r w:rsidRPr="001646CF">
              <w:rPr>
                <w:rFonts w:cs="Times New Roman"/>
                <w:color w:val="auto"/>
                <w:sz w:val="20"/>
                <w:szCs w:val="20"/>
              </w:rPr>
              <w:t>edicated case-workers</w:t>
            </w:r>
          </w:p>
          <w:p w14:paraId="6956B4F6" w14:textId="0CE52CDA" w:rsidR="002559DD" w:rsidRPr="001646CF" w:rsidRDefault="002559DD" w:rsidP="00256A1B">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Mandate to monitor implementation of remedial outcomes</w:t>
            </w:r>
          </w:p>
          <w:p w14:paraId="175C732A" w14:textId="77777777" w:rsidR="00A865A9" w:rsidRDefault="00256A1B" w:rsidP="002559DD">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646CF">
              <w:rPr>
                <w:rFonts w:cs="Times New Roman"/>
                <w:color w:val="auto"/>
                <w:sz w:val="20"/>
                <w:szCs w:val="20"/>
              </w:rPr>
              <w:t xml:space="preserve">Publication of outcomes of processes (subject </w:t>
            </w:r>
            <w:r w:rsidR="002559DD">
              <w:rPr>
                <w:rFonts w:cs="Times New Roman"/>
                <w:color w:val="auto"/>
                <w:sz w:val="20"/>
                <w:szCs w:val="20"/>
              </w:rPr>
              <w:t>to confidentiality commitments)</w:t>
            </w:r>
          </w:p>
          <w:p w14:paraId="2DF2D53B" w14:textId="7B4EC159" w:rsidR="002559DD" w:rsidRPr="002559DD" w:rsidRDefault="002559DD" w:rsidP="002559DD">
            <w:pPr>
              <w:pStyle w:val="ListParagraph"/>
              <w:ind w:left="360"/>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p>
        </w:tc>
      </w:tr>
      <w:tr w:rsidR="00A865A9" w:rsidRPr="00FD3029" w14:paraId="2BA7765C" w14:textId="77777777" w:rsidTr="00E508C0">
        <w:tc>
          <w:tcPr>
            <w:cnfStyle w:val="001000000000" w:firstRow="0" w:lastRow="0" w:firstColumn="1" w:lastColumn="0" w:oddVBand="0" w:evenVBand="0" w:oddHBand="0" w:evenHBand="0" w:firstRowFirstColumn="0" w:firstRowLastColumn="0" w:lastRowFirstColumn="0" w:lastRowLastColumn="0"/>
            <w:tcW w:w="2880" w:type="dxa"/>
          </w:tcPr>
          <w:p w14:paraId="6CD31F82" w14:textId="77777777" w:rsidR="00A865A9" w:rsidRPr="001646CF" w:rsidRDefault="00A865A9" w:rsidP="001646CF">
            <w:pPr>
              <w:pStyle w:val="Heading1"/>
              <w:spacing w:before="0"/>
              <w:jc w:val="both"/>
              <w:outlineLvl w:val="0"/>
              <w:rPr>
                <w:rFonts w:eastAsiaTheme="minorHAnsi" w:cs="Times New Roman"/>
                <w:bCs w:val="0"/>
                <w:color w:val="auto"/>
                <w:sz w:val="20"/>
                <w:szCs w:val="20"/>
                <w:u w:val="none"/>
              </w:rPr>
            </w:pPr>
          </w:p>
          <w:p w14:paraId="7A6CBA4E" w14:textId="77777777" w:rsidR="00A865A9" w:rsidRPr="001646CF" w:rsidRDefault="00A865A9" w:rsidP="001646CF">
            <w:pPr>
              <w:jc w:val="both"/>
              <w:rPr>
                <w:b w:val="0"/>
                <w:color w:val="auto"/>
                <w:sz w:val="20"/>
                <w:szCs w:val="20"/>
              </w:rPr>
            </w:pPr>
            <w:bookmarkStart w:id="21" w:name="_Toc24702688"/>
            <w:r w:rsidRPr="001646CF">
              <w:rPr>
                <w:b w:val="0"/>
                <w:color w:val="auto"/>
                <w:sz w:val="20"/>
                <w:szCs w:val="20"/>
              </w:rPr>
              <w:t xml:space="preserve">(d) </w:t>
            </w:r>
            <w:r w:rsidRPr="001646CF">
              <w:rPr>
                <w:color w:val="auto"/>
                <w:sz w:val="20"/>
                <w:szCs w:val="20"/>
              </w:rPr>
              <w:t>Equitable</w:t>
            </w:r>
            <w:r w:rsidRPr="001646CF">
              <w:rPr>
                <w:b w:val="0"/>
                <w:color w:val="auto"/>
                <w:sz w:val="20"/>
                <w:szCs w:val="20"/>
              </w:rPr>
              <w:t>: seeking to ensure that aggrieved parties have reasonable access to sources of information, advice and expertise necessary to engage in a grievance process on fair, informed and respectful terms</w:t>
            </w:r>
            <w:bookmarkEnd w:id="21"/>
          </w:p>
          <w:p w14:paraId="38343ABF" w14:textId="77777777" w:rsidR="00A865A9" w:rsidRPr="001646CF" w:rsidRDefault="00A865A9" w:rsidP="001646CF">
            <w:pPr>
              <w:pStyle w:val="Heading1"/>
              <w:spacing w:before="0"/>
              <w:jc w:val="both"/>
              <w:outlineLvl w:val="0"/>
              <w:rPr>
                <w:rFonts w:eastAsiaTheme="minorHAnsi" w:cs="Times New Roman"/>
                <w:color w:val="auto"/>
                <w:sz w:val="20"/>
                <w:szCs w:val="20"/>
                <w:u w:val="none"/>
              </w:rPr>
            </w:pPr>
          </w:p>
        </w:tc>
        <w:tc>
          <w:tcPr>
            <w:tcW w:w="6146" w:type="dxa"/>
          </w:tcPr>
          <w:p w14:paraId="46BE8754" w14:textId="77777777" w:rsidR="00A865A9" w:rsidRPr="001646CF" w:rsidRDefault="00A865A9" w:rsidP="001646CF">
            <w:pPr>
              <w:pStyle w:val="ListParagraph"/>
              <w:ind w:left="360"/>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p>
          <w:p w14:paraId="48AD48FB" w14:textId="2CDB7E0A" w:rsidR="00B51900" w:rsidRPr="00C904BF" w:rsidRDefault="00B51900" w:rsidP="00B51900">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bookmarkStart w:id="22" w:name="_Toc24702689"/>
            <w:r w:rsidRPr="00C904BF">
              <w:rPr>
                <w:rFonts w:cs="Times New Roman"/>
                <w:color w:val="auto"/>
                <w:sz w:val="20"/>
                <w:szCs w:val="20"/>
              </w:rPr>
              <w:t>Clear policies with respe</w:t>
            </w:r>
            <w:r>
              <w:rPr>
                <w:rFonts w:cs="Times New Roman"/>
                <w:color w:val="auto"/>
                <w:sz w:val="20"/>
                <w:szCs w:val="20"/>
              </w:rPr>
              <w:t>ct to disclosure of information</w:t>
            </w:r>
          </w:p>
          <w:p w14:paraId="3739748D" w14:textId="747AC964" w:rsidR="00B51900" w:rsidRDefault="00B51900" w:rsidP="00B51900">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Provision of readily accessible information on sources of expertise that cou</w:t>
            </w:r>
            <w:r>
              <w:rPr>
                <w:rFonts w:cs="Times New Roman"/>
                <w:color w:val="auto"/>
                <w:sz w:val="20"/>
                <w:szCs w:val="20"/>
              </w:rPr>
              <w:t>ld assist different user groups</w:t>
            </w:r>
          </w:p>
          <w:p w14:paraId="04FF3656" w14:textId="77777777" w:rsidR="00B51900" w:rsidRPr="001646CF" w:rsidRDefault="00B51900" w:rsidP="00B51900">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Properly reso</w:t>
            </w:r>
            <w:r>
              <w:rPr>
                <w:rFonts w:cs="Times New Roman"/>
                <w:color w:val="auto"/>
                <w:sz w:val="20"/>
                <w:szCs w:val="20"/>
              </w:rPr>
              <w:t>urced</w:t>
            </w:r>
          </w:p>
          <w:p w14:paraId="217385CC" w14:textId="5F171B50" w:rsidR="00B51900" w:rsidRDefault="00B51900" w:rsidP="00B51900">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C904BF">
              <w:rPr>
                <w:rFonts w:cs="Times New Roman"/>
                <w:color w:val="auto"/>
                <w:sz w:val="20"/>
                <w:szCs w:val="20"/>
              </w:rPr>
              <w:t>Provision of financial resources for expert assistance (e.g. environmental experts, financial</w:t>
            </w:r>
            <w:r>
              <w:rPr>
                <w:rFonts w:cs="Times New Roman"/>
                <w:color w:val="auto"/>
                <w:sz w:val="20"/>
                <w:szCs w:val="20"/>
              </w:rPr>
              <w:t xml:space="preserve"> experts, legal counsel)</w:t>
            </w:r>
          </w:p>
          <w:p w14:paraId="7D2CAA9F" w14:textId="1631BDD1" w:rsidR="00B51900" w:rsidRDefault="00B51900" w:rsidP="00B51900">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Allows grievances to be raised by representatives of rights-holders</w:t>
            </w:r>
          </w:p>
          <w:p w14:paraId="0D4BC8C8" w14:textId="578A9407" w:rsidR="00C651AC" w:rsidRDefault="00C651AC" w:rsidP="00B51900">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Allows group actions to be raised</w:t>
            </w:r>
          </w:p>
          <w:p w14:paraId="52172ACB" w14:textId="2BC4001A" w:rsidR="00B51900" w:rsidRPr="001646CF" w:rsidRDefault="00B51900" w:rsidP="00B51900">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Provision of readily accessible online and paper resources to assist different user groups to en</w:t>
            </w:r>
            <w:r>
              <w:rPr>
                <w:rFonts w:cs="Times New Roman"/>
                <w:color w:val="auto"/>
                <w:sz w:val="20"/>
                <w:szCs w:val="20"/>
              </w:rPr>
              <w:t>gage with processes effectively</w:t>
            </w:r>
          </w:p>
          <w:p w14:paraId="37D12E83" w14:textId="77777777" w:rsidR="00B51900" w:rsidRPr="001646CF" w:rsidRDefault="00B51900" w:rsidP="00B51900">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Pr</w:t>
            </w:r>
            <w:r>
              <w:rPr>
                <w:rFonts w:cs="Times New Roman"/>
                <w:color w:val="auto"/>
                <w:sz w:val="20"/>
                <w:szCs w:val="20"/>
              </w:rPr>
              <w:t>ovision of a telephone helpline</w:t>
            </w:r>
          </w:p>
          <w:p w14:paraId="63EC8E87" w14:textId="76D23F1D" w:rsidR="00B51900" w:rsidRPr="00C904BF" w:rsidRDefault="00B51900" w:rsidP="00B51900">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C904BF">
              <w:rPr>
                <w:rFonts w:cs="Times New Roman"/>
                <w:color w:val="auto"/>
                <w:sz w:val="20"/>
                <w:szCs w:val="20"/>
              </w:rPr>
              <w:t>Prov</w:t>
            </w:r>
            <w:r>
              <w:rPr>
                <w:rFonts w:cs="Times New Roman"/>
                <w:color w:val="auto"/>
                <w:sz w:val="20"/>
                <w:szCs w:val="20"/>
              </w:rPr>
              <w:t>ision of dedicated case-workers who can inform rights-holders about the possibilities and limitations of the grievance mechanism, as well as other options to seek remedy</w:t>
            </w:r>
          </w:p>
          <w:p w14:paraId="019975EF" w14:textId="442652A4" w:rsidR="00256A1B" w:rsidRDefault="00256A1B"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Ensuring that staffing arrangements for mechanisms include staff highly familiar with the needs and cultural preferences of the different user groups for which they are intended</w:t>
            </w:r>
            <w:bookmarkEnd w:id="22"/>
          </w:p>
          <w:p w14:paraId="0D3D2956" w14:textId="411A6EEB" w:rsidR="00B51900" w:rsidRPr="001646CF" w:rsidRDefault="00B51900"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The mechanism covers the costs of the investigation and incidental expenses (e.g., costs of translation)</w:t>
            </w:r>
          </w:p>
          <w:p w14:paraId="774DFBDB" w14:textId="0883C36F" w:rsidR="00256A1B" w:rsidRDefault="00256A1B"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 xml:space="preserve">Education and awareness-raising sessions, delivered by </w:t>
            </w:r>
            <w:r w:rsidR="00B51900">
              <w:rPr>
                <w:rFonts w:cs="Times New Roman"/>
                <w:color w:val="auto"/>
                <w:sz w:val="20"/>
                <w:szCs w:val="20"/>
              </w:rPr>
              <w:t xml:space="preserve">in a culturally aware and sensitive manner by </w:t>
            </w:r>
            <w:r w:rsidRPr="001646CF">
              <w:rPr>
                <w:rFonts w:cs="Times New Roman"/>
                <w:color w:val="auto"/>
                <w:sz w:val="20"/>
                <w:szCs w:val="20"/>
              </w:rPr>
              <w:t>peers</w:t>
            </w:r>
            <w:r>
              <w:rPr>
                <w:rFonts w:cs="Times New Roman"/>
                <w:color w:val="auto"/>
                <w:sz w:val="20"/>
                <w:szCs w:val="20"/>
              </w:rPr>
              <w:t>, union</w:t>
            </w:r>
            <w:r w:rsidR="00B51900">
              <w:rPr>
                <w:rFonts w:cs="Times New Roman"/>
                <w:color w:val="auto"/>
                <w:sz w:val="20"/>
                <w:szCs w:val="20"/>
              </w:rPr>
              <w:t xml:space="preserve"> representative</w:t>
            </w:r>
            <w:r>
              <w:rPr>
                <w:rFonts w:cs="Times New Roman"/>
                <w:color w:val="auto"/>
                <w:sz w:val="20"/>
                <w:szCs w:val="20"/>
              </w:rPr>
              <w:t>s,</w:t>
            </w:r>
            <w:r w:rsidRPr="001646CF">
              <w:rPr>
                <w:rFonts w:cs="Times New Roman"/>
                <w:color w:val="auto"/>
                <w:sz w:val="20"/>
                <w:szCs w:val="20"/>
              </w:rPr>
              <w:t xml:space="preserve"> and/or local </w:t>
            </w:r>
            <w:r w:rsidRPr="00C904BF">
              <w:rPr>
                <w:rFonts w:cs="Times New Roman"/>
                <w:color w:val="auto"/>
                <w:sz w:val="20"/>
                <w:szCs w:val="20"/>
              </w:rPr>
              <w:t xml:space="preserve">community members to whom </w:t>
            </w:r>
            <w:r w:rsidR="00B51900">
              <w:rPr>
                <w:rFonts w:cs="Times New Roman"/>
                <w:color w:val="auto"/>
                <w:sz w:val="20"/>
                <w:szCs w:val="20"/>
              </w:rPr>
              <w:t>right-holders can easily relate</w:t>
            </w:r>
          </w:p>
          <w:p w14:paraId="3C5B838E" w14:textId="2EC23004" w:rsidR="00B51900" w:rsidRDefault="00B51900" w:rsidP="00B51900">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 xml:space="preserve">Well-resourced </w:t>
            </w:r>
            <w:r>
              <w:rPr>
                <w:rFonts w:cs="Times New Roman"/>
                <w:color w:val="auto"/>
                <w:sz w:val="20"/>
                <w:szCs w:val="20"/>
              </w:rPr>
              <w:t xml:space="preserve">and proactive </w:t>
            </w:r>
            <w:r w:rsidRPr="001646CF">
              <w:rPr>
                <w:rFonts w:cs="Times New Roman"/>
                <w:color w:val="auto"/>
                <w:sz w:val="20"/>
                <w:szCs w:val="20"/>
              </w:rPr>
              <w:t>outreach programmes</w:t>
            </w:r>
            <w:r>
              <w:rPr>
                <w:rFonts w:cs="Times New Roman"/>
                <w:color w:val="auto"/>
                <w:sz w:val="20"/>
                <w:szCs w:val="20"/>
              </w:rPr>
              <w:t xml:space="preserve"> to raise awareness about stakeholder rights, the grievance mechanism, and how to use it</w:t>
            </w:r>
          </w:p>
          <w:p w14:paraId="6AB8D9ED" w14:textId="0E99F4FD" w:rsidR="00B51900" w:rsidRPr="00B51900" w:rsidRDefault="00B51900" w:rsidP="00B51900">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Clear and transparent appea</w:t>
            </w:r>
            <w:r>
              <w:rPr>
                <w:rFonts w:cs="Times New Roman"/>
                <w:color w:val="auto"/>
                <w:sz w:val="20"/>
                <w:szCs w:val="20"/>
              </w:rPr>
              <w:t>ls process from decision-making</w:t>
            </w:r>
          </w:p>
          <w:p w14:paraId="1C595F3D" w14:textId="77777777" w:rsidR="00A865A9" w:rsidRPr="001646CF" w:rsidRDefault="00A865A9" w:rsidP="00B51900">
            <w:pPr>
              <w:pStyle w:val="ListParagraph"/>
              <w:ind w:left="360"/>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p>
        </w:tc>
      </w:tr>
      <w:tr w:rsidR="00A865A9" w:rsidRPr="00FD3029" w14:paraId="471EE749" w14:textId="77777777" w:rsidTr="00E50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left w:val="none" w:sz="0" w:space="0" w:color="auto"/>
              <w:right w:val="none" w:sz="0" w:space="0" w:color="auto"/>
            </w:tcBorders>
          </w:tcPr>
          <w:p w14:paraId="52748109" w14:textId="77777777" w:rsidR="00A865A9" w:rsidRPr="001646CF" w:rsidRDefault="00A865A9" w:rsidP="001646CF">
            <w:pPr>
              <w:pStyle w:val="Heading1"/>
              <w:spacing w:before="0"/>
              <w:jc w:val="both"/>
              <w:outlineLvl w:val="0"/>
              <w:rPr>
                <w:rFonts w:eastAsiaTheme="minorHAnsi" w:cs="Times New Roman"/>
                <w:bCs w:val="0"/>
                <w:color w:val="auto"/>
                <w:sz w:val="20"/>
                <w:szCs w:val="20"/>
                <w:u w:val="none"/>
              </w:rPr>
            </w:pPr>
          </w:p>
          <w:p w14:paraId="5A871966" w14:textId="77777777" w:rsidR="00A865A9" w:rsidRPr="001646CF" w:rsidRDefault="00A865A9" w:rsidP="001646CF">
            <w:pPr>
              <w:jc w:val="both"/>
              <w:rPr>
                <w:b w:val="0"/>
                <w:color w:val="auto"/>
                <w:sz w:val="20"/>
                <w:szCs w:val="20"/>
              </w:rPr>
            </w:pPr>
            <w:bookmarkStart w:id="23" w:name="_Toc24702690"/>
            <w:r w:rsidRPr="001646CF">
              <w:rPr>
                <w:b w:val="0"/>
                <w:color w:val="auto"/>
                <w:sz w:val="20"/>
                <w:szCs w:val="20"/>
              </w:rPr>
              <w:t xml:space="preserve">(e) </w:t>
            </w:r>
            <w:r w:rsidRPr="001646CF">
              <w:rPr>
                <w:color w:val="auto"/>
                <w:sz w:val="20"/>
                <w:szCs w:val="20"/>
              </w:rPr>
              <w:t>Transparent</w:t>
            </w:r>
            <w:r w:rsidRPr="001646CF">
              <w:rPr>
                <w:b w:val="0"/>
                <w:color w:val="auto"/>
                <w:sz w:val="20"/>
                <w:szCs w:val="20"/>
              </w:rPr>
              <w:t>: keeping parties to a grievance informed about its progress, and providing sufficient information about the mechanism’s performance to build confidence in its effectiveness and meet any public interest at stake</w:t>
            </w:r>
            <w:bookmarkEnd w:id="23"/>
          </w:p>
          <w:p w14:paraId="0BE643D0" w14:textId="77777777" w:rsidR="00A865A9" w:rsidRPr="001646CF" w:rsidRDefault="00A865A9" w:rsidP="001646CF">
            <w:pPr>
              <w:pStyle w:val="Heading1"/>
              <w:spacing w:before="0"/>
              <w:jc w:val="both"/>
              <w:outlineLvl w:val="0"/>
              <w:rPr>
                <w:rFonts w:eastAsiaTheme="minorHAnsi" w:cs="Times New Roman"/>
                <w:color w:val="auto"/>
                <w:sz w:val="20"/>
                <w:szCs w:val="20"/>
                <w:u w:val="none"/>
              </w:rPr>
            </w:pPr>
          </w:p>
        </w:tc>
        <w:tc>
          <w:tcPr>
            <w:tcW w:w="6146" w:type="dxa"/>
            <w:tcBorders>
              <w:left w:val="none" w:sz="0" w:space="0" w:color="auto"/>
              <w:right w:val="none" w:sz="0" w:space="0" w:color="auto"/>
            </w:tcBorders>
          </w:tcPr>
          <w:p w14:paraId="1BC4294E" w14:textId="77777777" w:rsidR="00A865A9" w:rsidRPr="001646CF" w:rsidRDefault="00A865A9" w:rsidP="001646CF">
            <w:pPr>
              <w:pStyle w:val="ListParagraph"/>
              <w:ind w:left="360"/>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p>
          <w:p w14:paraId="1A227F1C" w14:textId="3A69C3E9" w:rsidR="00256A1B" w:rsidRPr="001646CF" w:rsidRDefault="00256A1B" w:rsidP="00256A1B">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bookmarkStart w:id="24" w:name="_Toc24702691"/>
            <w:r w:rsidRPr="001646CF">
              <w:rPr>
                <w:rFonts w:cs="Times New Roman"/>
                <w:color w:val="auto"/>
                <w:sz w:val="20"/>
                <w:szCs w:val="20"/>
              </w:rPr>
              <w:t>Procedural rules that ensure that each party is properly informed of the allegations made and information provided by the other side and that there is adequate opportunity to comment</w:t>
            </w:r>
            <w:bookmarkEnd w:id="24"/>
          </w:p>
          <w:p w14:paraId="387308A6" w14:textId="627660CC" w:rsidR="00256A1B" w:rsidRPr="001646CF" w:rsidRDefault="00256A1B" w:rsidP="00256A1B">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646CF">
              <w:rPr>
                <w:rFonts w:cs="Times New Roman"/>
                <w:color w:val="auto"/>
                <w:sz w:val="20"/>
                <w:szCs w:val="20"/>
              </w:rPr>
              <w:t xml:space="preserve">Publication of </w:t>
            </w:r>
            <w:r w:rsidR="00C651AC">
              <w:rPr>
                <w:rFonts w:cs="Times New Roman"/>
                <w:color w:val="auto"/>
                <w:sz w:val="20"/>
                <w:szCs w:val="20"/>
              </w:rPr>
              <w:t xml:space="preserve">information on current and historic cases, as well as </w:t>
            </w:r>
            <w:r w:rsidRPr="001646CF">
              <w:rPr>
                <w:rFonts w:cs="Times New Roman"/>
                <w:color w:val="auto"/>
                <w:sz w:val="20"/>
                <w:szCs w:val="20"/>
              </w:rPr>
              <w:t xml:space="preserve">outcomes of processes (subject </w:t>
            </w:r>
            <w:r w:rsidR="00C651AC">
              <w:rPr>
                <w:rFonts w:cs="Times New Roman"/>
                <w:color w:val="auto"/>
                <w:sz w:val="20"/>
                <w:szCs w:val="20"/>
              </w:rPr>
              <w:t>to confidentiality commitments)</w:t>
            </w:r>
          </w:p>
          <w:p w14:paraId="301F99FA" w14:textId="0F253E31" w:rsidR="00256A1B" w:rsidRDefault="00256A1B" w:rsidP="00256A1B">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646CF">
              <w:rPr>
                <w:rFonts w:cs="Times New Roman"/>
                <w:color w:val="auto"/>
                <w:sz w:val="20"/>
                <w:szCs w:val="20"/>
              </w:rPr>
              <w:t>Publication of annual reports on performance against targets</w:t>
            </w:r>
            <w:r>
              <w:rPr>
                <w:rFonts w:cs="Times New Roman"/>
                <w:color w:val="auto"/>
                <w:sz w:val="20"/>
                <w:szCs w:val="20"/>
              </w:rPr>
              <w:t>, activities and financial situation,</w:t>
            </w:r>
            <w:r w:rsidRPr="001646CF">
              <w:rPr>
                <w:rFonts w:cs="Times New Roman"/>
                <w:color w:val="auto"/>
                <w:sz w:val="20"/>
                <w:szCs w:val="20"/>
              </w:rPr>
              <w:t xml:space="preserve"> and practica</w:t>
            </w:r>
            <w:r w:rsidR="00C651AC">
              <w:rPr>
                <w:rFonts w:cs="Times New Roman"/>
                <w:color w:val="auto"/>
                <w:sz w:val="20"/>
                <w:szCs w:val="20"/>
              </w:rPr>
              <w:t>l impact of grievance processes</w:t>
            </w:r>
          </w:p>
          <w:p w14:paraId="4762E536" w14:textId="46C843A0" w:rsidR="00256A1B" w:rsidRPr="001646CF" w:rsidRDefault="00256A1B" w:rsidP="00256A1B">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P</w:t>
            </w:r>
            <w:r w:rsidRPr="00C904BF">
              <w:rPr>
                <w:rFonts w:cs="Times New Roman"/>
                <w:color w:val="auto"/>
                <w:sz w:val="20"/>
                <w:szCs w:val="20"/>
              </w:rPr>
              <w:t>ublication of policies (e.g. with respect to safeguarding, conflicts of interest</w:t>
            </w:r>
            <w:r>
              <w:rPr>
                <w:rFonts w:cs="Times New Roman"/>
                <w:color w:val="auto"/>
                <w:sz w:val="20"/>
                <w:szCs w:val="20"/>
              </w:rPr>
              <w:t>,</w:t>
            </w:r>
            <w:r w:rsidRPr="00C904BF">
              <w:rPr>
                <w:rFonts w:cs="Times New Roman"/>
                <w:color w:val="auto"/>
                <w:sz w:val="20"/>
                <w:szCs w:val="20"/>
              </w:rPr>
              <w:t xml:space="preserve"> etc</w:t>
            </w:r>
            <w:r>
              <w:rPr>
                <w:rFonts w:cs="Times New Roman"/>
                <w:color w:val="auto"/>
                <w:sz w:val="20"/>
                <w:szCs w:val="20"/>
              </w:rPr>
              <w:t>.</w:t>
            </w:r>
            <w:r w:rsidR="00C651AC">
              <w:rPr>
                <w:rFonts w:cs="Times New Roman"/>
                <w:color w:val="auto"/>
                <w:sz w:val="20"/>
                <w:szCs w:val="20"/>
              </w:rPr>
              <w:t>)</w:t>
            </w:r>
          </w:p>
          <w:p w14:paraId="62934730" w14:textId="77777777" w:rsidR="00A865A9" w:rsidRPr="001646CF" w:rsidRDefault="00A865A9" w:rsidP="00256A1B">
            <w:pPr>
              <w:pStyle w:val="ListParagraph"/>
              <w:ind w:left="360"/>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p>
        </w:tc>
      </w:tr>
      <w:tr w:rsidR="00A865A9" w:rsidRPr="00FD3029" w14:paraId="1B7AC632" w14:textId="77777777" w:rsidTr="00E508C0">
        <w:tc>
          <w:tcPr>
            <w:cnfStyle w:val="001000000000" w:firstRow="0" w:lastRow="0" w:firstColumn="1" w:lastColumn="0" w:oddVBand="0" w:evenVBand="0" w:oddHBand="0" w:evenHBand="0" w:firstRowFirstColumn="0" w:firstRowLastColumn="0" w:lastRowFirstColumn="0" w:lastRowLastColumn="0"/>
            <w:tcW w:w="2880" w:type="dxa"/>
          </w:tcPr>
          <w:p w14:paraId="079BB61D" w14:textId="77777777" w:rsidR="00A865A9" w:rsidRPr="001646CF" w:rsidRDefault="00A865A9" w:rsidP="001646CF">
            <w:pPr>
              <w:pStyle w:val="Heading1"/>
              <w:spacing w:before="0"/>
              <w:jc w:val="both"/>
              <w:outlineLvl w:val="0"/>
              <w:rPr>
                <w:rFonts w:eastAsiaTheme="minorHAnsi" w:cs="Times New Roman"/>
                <w:bCs w:val="0"/>
                <w:color w:val="auto"/>
                <w:sz w:val="20"/>
                <w:szCs w:val="20"/>
                <w:u w:val="none"/>
              </w:rPr>
            </w:pPr>
          </w:p>
          <w:p w14:paraId="7BA61ACC" w14:textId="77777777" w:rsidR="00A865A9" w:rsidRPr="001646CF" w:rsidRDefault="00A865A9" w:rsidP="001646CF">
            <w:pPr>
              <w:jc w:val="both"/>
              <w:rPr>
                <w:b w:val="0"/>
                <w:color w:val="auto"/>
                <w:sz w:val="20"/>
                <w:szCs w:val="20"/>
              </w:rPr>
            </w:pPr>
            <w:bookmarkStart w:id="25" w:name="_Toc24702692"/>
            <w:r w:rsidRPr="001646CF">
              <w:rPr>
                <w:b w:val="0"/>
                <w:color w:val="auto"/>
                <w:sz w:val="20"/>
                <w:szCs w:val="20"/>
              </w:rPr>
              <w:t xml:space="preserve">(f) </w:t>
            </w:r>
            <w:r w:rsidRPr="001646CF">
              <w:rPr>
                <w:color w:val="auto"/>
                <w:sz w:val="20"/>
                <w:szCs w:val="20"/>
              </w:rPr>
              <w:t>Rights-compatible</w:t>
            </w:r>
            <w:r w:rsidRPr="001646CF">
              <w:rPr>
                <w:b w:val="0"/>
                <w:color w:val="auto"/>
                <w:sz w:val="20"/>
                <w:szCs w:val="20"/>
              </w:rPr>
              <w:t>: ensuring that outcomes and remedies accord with internationally recognized human rights</w:t>
            </w:r>
            <w:bookmarkEnd w:id="25"/>
          </w:p>
          <w:p w14:paraId="2E5F0104" w14:textId="77777777" w:rsidR="00A865A9" w:rsidRPr="001646CF" w:rsidRDefault="00A865A9" w:rsidP="001646CF">
            <w:pPr>
              <w:pStyle w:val="Heading1"/>
              <w:spacing w:before="0"/>
              <w:jc w:val="both"/>
              <w:outlineLvl w:val="0"/>
              <w:rPr>
                <w:rFonts w:eastAsiaTheme="minorHAnsi" w:cs="Times New Roman"/>
                <w:color w:val="auto"/>
                <w:sz w:val="20"/>
                <w:szCs w:val="20"/>
                <w:u w:val="none"/>
              </w:rPr>
            </w:pPr>
          </w:p>
        </w:tc>
        <w:tc>
          <w:tcPr>
            <w:tcW w:w="6146" w:type="dxa"/>
          </w:tcPr>
          <w:p w14:paraId="0DB6C881" w14:textId="77777777" w:rsidR="00A865A9" w:rsidRPr="001646CF" w:rsidRDefault="00A865A9" w:rsidP="001646CF">
            <w:pPr>
              <w:pStyle w:val="ListParagraph"/>
              <w:ind w:left="360"/>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p>
          <w:p w14:paraId="057E5891" w14:textId="44BC4D76" w:rsidR="00256A1B" w:rsidRPr="001646CF" w:rsidRDefault="00256A1B"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Provision of human rights training and cultur</w:t>
            </w:r>
            <w:r w:rsidR="00C651AC">
              <w:rPr>
                <w:rFonts w:cs="Times New Roman"/>
                <w:color w:val="auto"/>
                <w:sz w:val="20"/>
                <w:szCs w:val="20"/>
              </w:rPr>
              <w:t>al awareness training for staff</w:t>
            </w:r>
          </w:p>
          <w:p w14:paraId="5B1854B1" w14:textId="035E8224" w:rsidR="00256A1B" w:rsidRPr="001646CF" w:rsidRDefault="00256A1B"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Systems for regular, culturally appropriate</w:t>
            </w:r>
            <w:r w:rsidR="00C651AC">
              <w:rPr>
                <w:rFonts w:cs="Times New Roman"/>
                <w:color w:val="auto"/>
                <w:sz w:val="20"/>
                <w:szCs w:val="20"/>
              </w:rPr>
              <w:t xml:space="preserve"> contact with users</w:t>
            </w:r>
          </w:p>
          <w:p w14:paraId="4F75F5F9" w14:textId="03BF6A94" w:rsidR="00256A1B" w:rsidRPr="001646CF" w:rsidRDefault="00256A1B"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 xml:space="preserve">Thematic services (e.g. specially-designed </w:t>
            </w:r>
            <w:r w:rsidR="00C651AC">
              <w:rPr>
                <w:rFonts w:cs="Times New Roman"/>
                <w:color w:val="auto"/>
                <w:sz w:val="20"/>
                <w:szCs w:val="20"/>
              </w:rPr>
              <w:t>services for particular groups)</w:t>
            </w:r>
          </w:p>
          <w:p w14:paraId="7B6A2BF8" w14:textId="62E0B561" w:rsidR="00256A1B" w:rsidRPr="001646CF" w:rsidRDefault="00256A1B"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Strategies for p</w:t>
            </w:r>
            <w:r w:rsidRPr="001646CF">
              <w:rPr>
                <w:rFonts w:cs="Times New Roman"/>
                <w:color w:val="auto"/>
                <w:sz w:val="20"/>
                <w:szCs w:val="20"/>
              </w:rPr>
              <w:t>rioritisation of cases involving individuals or groups who appear to be particularly vulnerable in the circumstances or are deemed to be “at ri</w:t>
            </w:r>
            <w:r w:rsidR="00C651AC">
              <w:rPr>
                <w:rFonts w:cs="Times New Roman"/>
                <w:color w:val="auto"/>
                <w:sz w:val="20"/>
                <w:szCs w:val="20"/>
              </w:rPr>
              <w:t>sk” of physical harm</w:t>
            </w:r>
          </w:p>
          <w:p w14:paraId="3325B31E" w14:textId="50870C70" w:rsidR="00256A1B" w:rsidRPr="001646CF" w:rsidRDefault="00256A1B"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Special arrangements for vulnerable users and/or w</w:t>
            </w:r>
            <w:r w:rsidR="00C651AC">
              <w:rPr>
                <w:rFonts w:cs="Times New Roman"/>
                <w:color w:val="auto"/>
                <w:sz w:val="20"/>
                <w:szCs w:val="20"/>
              </w:rPr>
              <w:t>itnesses (e.g. child witnesses)</w:t>
            </w:r>
          </w:p>
          <w:p w14:paraId="2874272B" w14:textId="10F9F98A" w:rsidR="00C651AC" w:rsidRPr="001646CF" w:rsidRDefault="00C651AC" w:rsidP="00C651AC">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Policies and protocols, developed in consultation with affected stakeholders, on the mechanism’s approach to issues concerning fair and inclusive representation of groups</w:t>
            </w:r>
            <w:r w:rsidR="00926568">
              <w:rPr>
                <w:rFonts w:cs="Times New Roman"/>
                <w:color w:val="auto"/>
                <w:sz w:val="20"/>
                <w:szCs w:val="20"/>
              </w:rPr>
              <w:t xml:space="preserve"> of individuals and communities</w:t>
            </w:r>
          </w:p>
          <w:p w14:paraId="7E7DBEBB" w14:textId="5C2DC498" w:rsidR="00926568" w:rsidRDefault="00926568"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Capability to deliver a variety of different types of remedies (e.g., compensation, injunctive relief, symbolic remedies, etc.)</w:t>
            </w:r>
          </w:p>
          <w:p w14:paraId="62DBDA13" w14:textId="17A56567" w:rsidR="00926568" w:rsidRDefault="00926568" w:rsidP="00926568">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 xml:space="preserve">Ability to take interim measures in appropriate cases to </w:t>
            </w:r>
            <w:r w:rsidRPr="00926568">
              <w:rPr>
                <w:rFonts w:cs="Times New Roman"/>
                <w:color w:val="auto"/>
                <w:sz w:val="20"/>
                <w:szCs w:val="20"/>
              </w:rPr>
              <w:t xml:space="preserve"> avoid possible irreparable damage</w:t>
            </w:r>
          </w:p>
          <w:p w14:paraId="485560A3" w14:textId="3FA02A26" w:rsidR="00256A1B" w:rsidRPr="001646CF" w:rsidRDefault="00256A1B"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Policies and protocols, developed i</w:t>
            </w:r>
            <w:r w:rsidR="00926568">
              <w:rPr>
                <w:rFonts w:cs="Times New Roman"/>
                <w:color w:val="auto"/>
                <w:sz w:val="20"/>
                <w:szCs w:val="20"/>
              </w:rPr>
              <w:t xml:space="preserve">n consultation with potentially </w:t>
            </w:r>
            <w:r w:rsidRPr="001646CF">
              <w:rPr>
                <w:rFonts w:cs="Times New Roman"/>
                <w:color w:val="auto"/>
                <w:sz w:val="20"/>
                <w:szCs w:val="20"/>
              </w:rPr>
              <w:t>affected stakeholders, relating to effective, fair</w:t>
            </w:r>
            <w:r w:rsidR="00926568">
              <w:rPr>
                <w:rFonts w:cs="Times New Roman"/>
                <w:color w:val="auto"/>
                <w:sz w:val="20"/>
                <w:szCs w:val="20"/>
              </w:rPr>
              <w:t>,</w:t>
            </w:r>
            <w:r w:rsidRPr="001646CF">
              <w:rPr>
                <w:rFonts w:cs="Times New Roman"/>
                <w:color w:val="auto"/>
                <w:sz w:val="20"/>
                <w:szCs w:val="20"/>
              </w:rPr>
              <w:t xml:space="preserve"> and rights-compatible delivery </w:t>
            </w:r>
            <w:r w:rsidR="00926568">
              <w:rPr>
                <w:rFonts w:cs="Times New Roman"/>
                <w:color w:val="auto"/>
                <w:sz w:val="20"/>
                <w:szCs w:val="20"/>
              </w:rPr>
              <w:t>of remedial outcomes</w:t>
            </w:r>
          </w:p>
          <w:p w14:paraId="0E6925C9" w14:textId="7A5653AE" w:rsidR="00256A1B" w:rsidRPr="001646CF" w:rsidRDefault="00256A1B"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Policies and protocols, developed in consultation with potentially</w:t>
            </w:r>
            <w:r w:rsidR="00926568">
              <w:rPr>
                <w:rFonts w:cs="Times New Roman"/>
                <w:color w:val="auto"/>
                <w:sz w:val="20"/>
                <w:szCs w:val="20"/>
              </w:rPr>
              <w:t xml:space="preserve"> </w:t>
            </w:r>
            <w:r w:rsidRPr="001646CF">
              <w:rPr>
                <w:rFonts w:cs="Times New Roman"/>
                <w:color w:val="auto"/>
                <w:sz w:val="20"/>
                <w:szCs w:val="20"/>
              </w:rPr>
              <w:t>affected stakeholders, on</w:t>
            </w:r>
            <w:r w:rsidR="00926568">
              <w:rPr>
                <w:rFonts w:cs="Times New Roman"/>
                <w:color w:val="auto"/>
                <w:sz w:val="20"/>
                <w:szCs w:val="20"/>
              </w:rPr>
              <w:t xml:space="preserve"> engagement with State agencies</w:t>
            </w:r>
          </w:p>
          <w:p w14:paraId="5EFE84B9" w14:textId="418AEAF1" w:rsidR="00256A1B" w:rsidRPr="001646CF" w:rsidRDefault="00256A1B"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Procedures to ensure that retaliatory risks to rights-holders, human rights defenders</w:t>
            </w:r>
            <w:r w:rsidR="00926568">
              <w:rPr>
                <w:rFonts w:cs="Times New Roman"/>
                <w:color w:val="auto"/>
                <w:sz w:val="20"/>
                <w:szCs w:val="20"/>
              </w:rPr>
              <w:t>,</w:t>
            </w:r>
            <w:r w:rsidRPr="001646CF">
              <w:rPr>
                <w:rFonts w:cs="Times New Roman"/>
                <w:color w:val="auto"/>
                <w:sz w:val="20"/>
                <w:szCs w:val="20"/>
              </w:rPr>
              <w:t xml:space="preserve"> and others are properly assessed and appropriate risk mitigation actions ta</w:t>
            </w:r>
            <w:r w:rsidR="00926568">
              <w:rPr>
                <w:rFonts w:cs="Times New Roman"/>
                <w:color w:val="auto"/>
                <w:sz w:val="20"/>
                <w:szCs w:val="20"/>
              </w:rPr>
              <w:t>ken</w:t>
            </w:r>
          </w:p>
          <w:p w14:paraId="6101C1F5" w14:textId="77777777" w:rsidR="00A865A9" w:rsidRPr="001646CF" w:rsidRDefault="00A865A9" w:rsidP="00256A1B">
            <w:pPr>
              <w:pStyle w:val="ListParagraph"/>
              <w:ind w:left="360"/>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p>
        </w:tc>
      </w:tr>
      <w:tr w:rsidR="00A865A9" w:rsidRPr="00FD3029" w14:paraId="68900DA7" w14:textId="77777777" w:rsidTr="00E50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left w:val="none" w:sz="0" w:space="0" w:color="auto"/>
              <w:right w:val="none" w:sz="0" w:space="0" w:color="auto"/>
            </w:tcBorders>
          </w:tcPr>
          <w:p w14:paraId="50123F1C" w14:textId="77777777" w:rsidR="00A865A9" w:rsidRPr="001646CF" w:rsidRDefault="00A865A9" w:rsidP="001646CF">
            <w:pPr>
              <w:pStyle w:val="Heading1"/>
              <w:spacing w:before="0"/>
              <w:jc w:val="both"/>
              <w:outlineLvl w:val="0"/>
              <w:rPr>
                <w:rFonts w:eastAsiaTheme="minorHAnsi" w:cs="Times New Roman"/>
                <w:bCs w:val="0"/>
                <w:color w:val="auto"/>
                <w:sz w:val="20"/>
                <w:szCs w:val="20"/>
                <w:u w:val="none"/>
              </w:rPr>
            </w:pPr>
          </w:p>
          <w:p w14:paraId="670BF1EE" w14:textId="77777777" w:rsidR="00A865A9" w:rsidRPr="001646CF" w:rsidRDefault="00A865A9" w:rsidP="001646CF">
            <w:pPr>
              <w:jc w:val="both"/>
              <w:rPr>
                <w:b w:val="0"/>
                <w:color w:val="auto"/>
                <w:sz w:val="20"/>
                <w:szCs w:val="20"/>
              </w:rPr>
            </w:pPr>
            <w:bookmarkStart w:id="26" w:name="_Toc24702693"/>
            <w:r w:rsidRPr="001646CF">
              <w:rPr>
                <w:b w:val="0"/>
                <w:color w:val="auto"/>
                <w:sz w:val="20"/>
                <w:szCs w:val="20"/>
              </w:rPr>
              <w:t xml:space="preserve">(g) </w:t>
            </w:r>
            <w:r w:rsidRPr="001646CF">
              <w:rPr>
                <w:color w:val="auto"/>
                <w:sz w:val="20"/>
                <w:szCs w:val="20"/>
              </w:rPr>
              <w:t>A source of continuous learning</w:t>
            </w:r>
            <w:r w:rsidRPr="001646CF">
              <w:rPr>
                <w:b w:val="0"/>
                <w:color w:val="auto"/>
                <w:sz w:val="20"/>
                <w:szCs w:val="20"/>
              </w:rPr>
              <w:t>: drawing on relevant measures to identify lessons for improving the mechanism and preventing future grievances and harms</w:t>
            </w:r>
            <w:bookmarkEnd w:id="26"/>
          </w:p>
          <w:p w14:paraId="504D32B8" w14:textId="77777777" w:rsidR="00A865A9" w:rsidRPr="001646CF" w:rsidRDefault="00A865A9" w:rsidP="001646CF">
            <w:pPr>
              <w:jc w:val="both"/>
              <w:rPr>
                <w:rFonts w:cs="Times New Roman"/>
                <w:b w:val="0"/>
                <w:color w:val="auto"/>
                <w:sz w:val="20"/>
                <w:szCs w:val="20"/>
              </w:rPr>
            </w:pPr>
          </w:p>
        </w:tc>
        <w:tc>
          <w:tcPr>
            <w:tcW w:w="6146" w:type="dxa"/>
            <w:tcBorders>
              <w:left w:val="none" w:sz="0" w:space="0" w:color="auto"/>
              <w:right w:val="none" w:sz="0" w:space="0" w:color="auto"/>
            </w:tcBorders>
          </w:tcPr>
          <w:p w14:paraId="3C9F8EF7" w14:textId="77777777" w:rsidR="00A865A9" w:rsidRPr="001646CF" w:rsidRDefault="00A865A9" w:rsidP="001646CF">
            <w:pPr>
              <w:pStyle w:val="ListParagraph"/>
              <w:ind w:left="360"/>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p>
          <w:p w14:paraId="0B2981A0" w14:textId="2CE24C2E" w:rsidR="00CF7BBF" w:rsidRDefault="00CF7BBF" w:rsidP="00CF7BBF">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bookmarkStart w:id="27" w:name="_Toc24702694"/>
            <w:r>
              <w:rPr>
                <w:rFonts w:cs="Times New Roman"/>
                <w:color w:val="auto"/>
                <w:sz w:val="20"/>
                <w:szCs w:val="20"/>
              </w:rPr>
              <w:t>Collection and review of disaggregated data capable of revealing responsiveness of the mechanism and the relevant organisation’s human rights risk mitigation policies to the needs of different user groups and communities</w:t>
            </w:r>
          </w:p>
          <w:p w14:paraId="00915B87" w14:textId="63193871" w:rsidR="007449EE" w:rsidRDefault="007449EE" w:rsidP="00CF7BBF">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Regular follow up and aftercare of rights-holders after grievance processes have been concluded in order to track the impacts of the remedy and obtain feedback</w:t>
            </w:r>
          </w:p>
          <w:p w14:paraId="21ECF3EF" w14:textId="7DAD5021" w:rsidR="00CF7BBF" w:rsidRPr="001646CF" w:rsidRDefault="00CF7BBF" w:rsidP="00CF7BBF">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Use of digital technologies to analyse</w:t>
            </w:r>
            <w:r w:rsidRPr="00CF7BBF">
              <w:rPr>
                <w:rFonts w:cs="Times New Roman"/>
                <w:color w:val="auto"/>
                <w:sz w:val="20"/>
                <w:szCs w:val="20"/>
              </w:rPr>
              <w:t xml:space="preserve"> trends and patterns in complaints, </w:t>
            </w:r>
            <w:r>
              <w:rPr>
                <w:rFonts w:cs="Times New Roman"/>
                <w:color w:val="auto"/>
                <w:sz w:val="20"/>
                <w:szCs w:val="20"/>
              </w:rPr>
              <w:t xml:space="preserve">in order to help the relevant company </w:t>
            </w:r>
            <w:r w:rsidRPr="00CF7BBF">
              <w:rPr>
                <w:rFonts w:cs="Times New Roman"/>
                <w:color w:val="auto"/>
                <w:sz w:val="20"/>
                <w:szCs w:val="20"/>
              </w:rPr>
              <w:t>identify systemic problems and adapt their practices accordingly</w:t>
            </w:r>
          </w:p>
          <w:p w14:paraId="1FBDADB0" w14:textId="0DD6F6B5" w:rsidR="007449EE" w:rsidRDefault="007449EE" w:rsidP="00256A1B">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Routine (e.g., weekly) meetings of grievance mechanism staff to discuss cases and trends, and possible need to escalate issues</w:t>
            </w:r>
          </w:p>
          <w:p w14:paraId="25319B80" w14:textId="2963579E" w:rsidR="00256A1B" w:rsidRPr="001646CF" w:rsidRDefault="007449EE" w:rsidP="00256A1B">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 xml:space="preserve">Periodic </w:t>
            </w:r>
            <w:r w:rsidR="00256A1B" w:rsidRPr="001646CF">
              <w:rPr>
                <w:rFonts w:cs="Times New Roman"/>
                <w:color w:val="auto"/>
                <w:sz w:val="20"/>
                <w:szCs w:val="20"/>
              </w:rPr>
              <w:t>reports of activities and impacts to management and board, together with recommendations as to future action points and responsibilities</w:t>
            </w:r>
            <w:bookmarkEnd w:id="27"/>
          </w:p>
          <w:p w14:paraId="7B2756E3" w14:textId="7408E176" w:rsidR="00256A1B" w:rsidRPr="001646CF" w:rsidRDefault="00256A1B" w:rsidP="00256A1B">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646CF">
              <w:rPr>
                <w:rFonts w:cs="Times New Roman"/>
                <w:color w:val="auto"/>
                <w:sz w:val="20"/>
                <w:szCs w:val="20"/>
              </w:rPr>
              <w:t>Participatio</w:t>
            </w:r>
            <w:r w:rsidR="00CF7BBF">
              <w:rPr>
                <w:rFonts w:cs="Times New Roman"/>
                <w:color w:val="auto"/>
                <w:sz w:val="20"/>
                <w:szCs w:val="20"/>
              </w:rPr>
              <w:t>n in regular compliance reviews</w:t>
            </w:r>
          </w:p>
          <w:p w14:paraId="2F3D370E" w14:textId="39E40ED1" w:rsidR="00256A1B" w:rsidRDefault="00256A1B" w:rsidP="00256A1B">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1646CF">
              <w:rPr>
                <w:rFonts w:cs="Times New Roman"/>
                <w:color w:val="auto"/>
                <w:sz w:val="20"/>
                <w:szCs w:val="20"/>
              </w:rPr>
              <w:t>Entering into arrangements for appropriate sharing of findings and insights with State agencies, such as law enforcement and relevant regulatory bodies</w:t>
            </w:r>
          </w:p>
          <w:p w14:paraId="7D1944FC" w14:textId="1792BA15" w:rsidR="00CF7BBF" w:rsidRDefault="00CF7BBF" w:rsidP="00256A1B">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Entering into arrangements for appropriate sharing of findings and insights with industry, multi-stakeholder, and other collaborative initiatives, as well as other relevant companies,</w:t>
            </w:r>
            <w:r w:rsidR="007449EE">
              <w:rPr>
                <w:rFonts w:cs="Times New Roman"/>
                <w:color w:val="auto"/>
                <w:sz w:val="20"/>
                <w:szCs w:val="20"/>
              </w:rPr>
              <w:t xml:space="preserve"> to help identify sector-specific issues</w:t>
            </w:r>
          </w:p>
          <w:p w14:paraId="72F96781" w14:textId="582A55E2" w:rsidR="007449EE" w:rsidRDefault="007449EE" w:rsidP="00256A1B">
            <w:pPr>
              <w:pStyle w:val="ListParagraph"/>
              <w:numPr>
                <w:ilvl w:val="0"/>
                <w:numId w:val="53"/>
              </w:numPr>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Pr>
                <w:rFonts w:cs="Times New Roman"/>
                <w:color w:val="auto"/>
                <w:sz w:val="20"/>
                <w:szCs w:val="20"/>
              </w:rPr>
              <w:t>Ability of grievance mechanism to reform own rules of procedure without board approval</w:t>
            </w:r>
          </w:p>
          <w:p w14:paraId="3EE81590" w14:textId="77777777" w:rsidR="00A865A9" w:rsidRPr="001646CF" w:rsidRDefault="00A865A9" w:rsidP="00CF7BBF">
            <w:pPr>
              <w:pStyle w:val="ListParagraph"/>
              <w:ind w:left="360"/>
              <w:jc w:val="both"/>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p>
        </w:tc>
      </w:tr>
      <w:tr w:rsidR="00A865A9" w:rsidRPr="00FD3029" w14:paraId="02D77D27" w14:textId="77777777" w:rsidTr="00E508C0">
        <w:tc>
          <w:tcPr>
            <w:cnfStyle w:val="001000000000" w:firstRow="0" w:lastRow="0" w:firstColumn="1" w:lastColumn="0" w:oddVBand="0" w:evenVBand="0" w:oddHBand="0" w:evenHBand="0" w:firstRowFirstColumn="0" w:firstRowLastColumn="0" w:lastRowFirstColumn="0" w:lastRowLastColumn="0"/>
            <w:tcW w:w="2880" w:type="dxa"/>
          </w:tcPr>
          <w:p w14:paraId="79689F6C" w14:textId="77777777" w:rsidR="00A865A9" w:rsidRPr="001646CF" w:rsidRDefault="00A865A9" w:rsidP="001646CF">
            <w:pPr>
              <w:pStyle w:val="Heading1"/>
              <w:spacing w:before="0"/>
              <w:jc w:val="both"/>
              <w:outlineLvl w:val="0"/>
              <w:rPr>
                <w:rFonts w:eastAsiaTheme="minorHAnsi" w:cs="Times New Roman"/>
                <w:bCs w:val="0"/>
                <w:color w:val="auto"/>
                <w:sz w:val="20"/>
                <w:szCs w:val="20"/>
                <w:u w:val="none"/>
              </w:rPr>
            </w:pPr>
          </w:p>
          <w:p w14:paraId="3DB8F7AF" w14:textId="77777777" w:rsidR="00A865A9" w:rsidRDefault="00A865A9" w:rsidP="001646CF">
            <w:pPr>
              <w:jc w:val="both"/>
              <w:rPr>
                <w:b w:val="0"/>
                <w:color w:val="auto"/>
                <w:sz w:val="20"/>
                <w:szCs w:val="20"/>
              </w:rPr>
            </w:pPr>
            <w:bookmarkStart w:id="28" w:name="_Toc24702695"/>
            <w:r w:rsidRPr="001646CF">
              <w:rPr>
                <w:b w:val="0"/>
                <w:bCs w:val="0"/>
                <w:color w:val="auto"/>
                <w:sz w:val="20"/>
                <w:szCs w:val="20"/>
              </w:rPr>
              <w:t>O</w:t>
            </w:r>
            <w:r w:rsidRPr="001646CF">
              <w:rPr>
                <w:b w:val="0"/>
                <w:color w:val="auto"/>
                <w:sz w:val="20"/>
                <w:szCs w:val="20"/>
              </w:rPr>
              <w:t>perational-level mechanisms</w:t>
            </w:r>
            <w:r w:rsidRPr="001646CF">
              <w:rPr>
                <w:b w:val="0"/>
                <w:bCs w:val="0"/>
                <w:color w:val="auto"/>
                <w:sz w:val="20"/>
                <w:szCs w:val="20"/>
              </w:rPr>
              <w:t xml:space="preserve"> should also be:</w:t>
            </w:r>
            <w:r w:rsidRPr="001646CF">
              <w:rPr>
                <w:b w:val="0"/>
                <w:color w:val="auto"/>
                <w:sz w:val="20"/>
                <w:szCs w:val="20"/>
              </w:rPr>
              <w:t xml:space="preserve"> (h) </w:t>
            </w:r>
            <w:r w:rsidRPr="001646CF">
              <w:rPr>
                <w:bCs w:val="0"/>
                <w:color w:val="auto"/>
                <w:sz w:val="20"/>
                <w:szCs w:val="20"/>
              </w:rPr>
              <w:t>B</w:t>
            </w:r>
            <w:r w:rsidRPr="001646CF">
              <w:rPr>
                <w:color w:val="auto"/>
                <w:sz w:val="20"/>
                <w:szCs w:val="20"/>
              </w:rPr>
              <w:t>ased on engagement and dialogue</w:t>
            </w:r>
            <w:r w:rsidRPr="001646CF">
              <w:rPr>
                <w:b w:val="0"/>
                <w:color w:val="auto"/>
                <w:sz w:val="20"/>
                <w:szCs w:val="20"/>
              </w:rPr>
              <w:t>: consulting the stakeholder groups for whose use they are intended on their design and performance, and focusing on dialogue as a means to address and resolve grievances</w:t>
            </w:r>
            <w:bookmarkEnd w:id="28"/>
          </w:p>
          <w:p w14:paraId="7C02BB61" w14:textId="77777777" w:rsidR="001646CF" w:rsidRPr="001646CF" w:rsidRDefault="001646CF" w:rsidP="001646CF">
            <w:pPr>
              <w:jc w:val="both"/>
              <w:rPr>
                <w:b w:val="0"/>
                <w:color w:val="auto"/>
                <w:sz w:val="20"/>
                <w:szCs w:val="20"/>
              </w:rPr>
            </w:pPr>
          </w:p>
        </w:tc>
        <w:tc>
          <w:tcPr>
            <w:tcW w:w="6146" w:type="dxa"/>
          </w:tcPr>
          <w:p w14:paraId="0FDB6B08" w14:textId="77777777" w:rsidR="00A865A9" w:rsidRPr="001646CF" w:rsidRDefault="00A865A9" w:rsidP="001646CF">
            <w:pPr>
              <w:pStyle w:val="ListParagraph"/>
              <w:ind w:left="360"/>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p>
          <w:p w14:paraId="18962C05" w14:textId="6DD566BC" w:rsidR="003659E3" w:rsidRDefault="003659E3" w:rsidP="003659E3">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bookmarkStart w:id="29" w:name="_Toc24702696"/>
            <w:r w:rsidRPr="001646CF">
              <w:rPr>
                <w:rFonts w:cs="Times New Roman"/>
                <w:color w:val="auto"/>
                <w:sz w:val="20"/>
                <w:szCs w:val="20"/>
              </w:rPr>
              <w:t xml:space="preserve">Use of “user-centred” </w:t>
            </w:r>
            <w:r>
              <w:rPr>
                <w:rFonts w:cs="Times New Roman"/>
                <w:color w:val="auto"/>
                <w:sz w:val="20"/>
                <w:szCs w:val="20"/>
              </w:rPr>
              <w:t>(</w:t>
            </w:r>
            <w:r w:rsidRPr="001646CF">
              <w:rPr>
                <w:rFonts w:cs="Times New Roman"/>
                <w:color w:val="auto"/>
                <w:sz w:val="20"/>
                <w:szCs w:val="20"/>
              </w:rPr>
              <w:t>and “co-design”</w:t>
            </w:r>
            <w:r>
              <w:rPr>
                <w:rFonts w:cs="Times New Roman"/>
                <w:color w:val="auto"/>
                <w:sz w:val="20"/>
                <w:szCs w:val="20"/>
              </w:rPr>
              <w:t>)</w:t>
            </w:r>
            <w:r w:rsidRPr="001646CF">
              <w:rPr>
                <w:rFonts w:cs="Times New Roman"/>
                <w:color w:val="auto"/>
                <w:sz w:val="20"/>
                <w:szCs w:val="20"/>
              </w:rPr>
              <w:t xml:space="preserve"> methodologies for the </w:t>
            </w:r>
            <w:r>
              <w:rPr>
                <w:rFonts w:cs="Times New Roman"/>
                <w:color w:val="auto"/>
                <w:sz w:val="20"/>
                <w:szCs w:val="20"/>
              </w:rPr>
              <w:t xml:space="preserve">design and performance of the mechanism, </w:t>
            </w:r>
            <w:r w:rsidR="009A50F7">
              <w:rPr>
                <w:rFonts w:cs="Times New Roman"/>
                <w:color w:val="auto"/>
                <w:sz w:val="20"/>
                <w:szCs w:val="20"/>
              </w:rPr>
              <w:t>which ensure effective representation of, and meaningful participation by, all sections of affected communities, giving particular attention to the needs of people who may be at risk of vulnerability or marginalisation</w:t>
            </w:r>
          </w:p>
          <w:p w14:paraId="22A7553C" w14:textId="44CDC588" w:rsidR="003659E3" w:rsidRDefault="003659E3" w:rsidP="003659E3">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Provision of multiple opportunities and avenues for relevant stakeholders to interact with the mechanism and to contribute to enhancements, e.g. through “suggestion box” systems, “action-lines,” and participation in relevant committees (e.g. health and safety committee, audit committee, etc.)</w:t>
            </w:r>
          </w:p>
          <w:p w14:paraId="6352F0AC" w14:textId="21495A21" w:rsidR="003659E3" w:rsidRPr="00691EAA" w:rsidRDefault="003659E3" w:rsidP="003659E3">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Use of “community-driven” approaches which make culturally appropriate use of existing decision-making structures and which make adequate provision for succession planning and capacity building</w:t>
            </w:r>
          </w:p>
          <w:p w14:paraId="3C66B278" w14:textId="629D7EF5" w:rsidR="00256A1B" w:rsidRPr="001646CF" w:rsidRDefault="00256A1B"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Use of community liaison officers to enhance awareness of the mechanism and how to use it, and also to provide an “early warning system” for company management as to potential problems</w:t>
            </w:r>
            <w:bookmarkEnd w:id="29"/>
          </w:p>
          <w:p w14:paraId="1DECDAED" w14:textId="6FD7D416" w:rsidR="00256A1B" w:rsidRDefault="00256A1B"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 xml:space="preserve">Use of “pre-agreements” to clarify the way in which a generic grievance process will be applied in a specific situation or for a specific community (e.g. contact points, timetables, milestones, resources, </w:t>
            </w:r>
            <w:r w:rsidR="003659E3">
              <w:rPr>
                <w:rFonts w:cs="Times New Roman"/>
                <w:color w:val="auto"/>
                <w:sz w:val="20"/>
                <w:szCs w:val="20"/>
              </w:rPr>
              <w:t>disclosure of information, etc.)</w:t>
            </w:r>
          </w:p>
          <w:p w14:paraId="5249F4CF" w14:textId="77777777" w:rsidR="003659E3" w:rsidRPr="00691EAA" w:rsidRDefault="003659E3" w:rsidP="003659E3">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 xml:space="preserve">Education and awareness-raising sessions, delivered </w:t>
            </w:r>
            <w:r>
              <w:rPr>
                <w:rFonts w:cs="Times New Roman"/>
                <w:color w:val="auto"/>
                <w:sz w:val="20"/>
                <w:szCs w:val="20"/>
              </w:rPr>
              <w:t xml:space="preserve">in a culturally aware and sensitive manner </w:t>
            </w:r>
            <w:r w:rsidRPr="001646CF">
              <w:rPr>
                <w:rFonts w:cs="Times New Roman"/>
                <w:color w:val="auto"/>
                <w:sz w:val="20"/>
                <w:szCs w:val="20"/>
              </w:rPr>
              <w:t>by peers</w:t>
            </w:r>
            <w:r>
              <w:rPr>
                <w:rFonts w:cs="Times New Roman"/>
                <w:color w:val="auto"/>
                <w:sz w:val="20"/>
                <w:szCs w:val="20"/>
              </w:rPr>
              <w:t>, union representatives,</w:t>
            </w:r>
            <w:r w:rsidRPr="001646CF">
              <w:rPr>
                <w:rFonts w:cs="Times New Roman"/>
                <w:color w:val="auto"/>
                <w:sz w:val="20"/>
                <w:szCs w:val="20"/>
              </w:rPr>
              <w:t xml:space="preserve"> and/or local comm</w:t>
            </w:r>
            <w:r w:rsidRPr="00691EAA">
              <w:rPr>
                <w:rFonts w:cs="Times New Roman"/>
                <w:color w:val="auto"/>
                <w:sz w:val="20"/>
                <w:szCs w:val="20"/>
              </w:rPr>
              <w:t xml:space="preserve">unity members to whom right-holders can </w:t>
            </w:r>
            <w:r>
              <w:rPr>
                <w:rFonts w:cs="Times New Roman"/>
                <w:color w:val="auto"/>
                <w:sz w:val="20"/>
                <w:szCs w:val="20"/>
              </w:rPr>
              <w:t>easily relate</w:t>
            </w:r>
          </w:p>
          <w:p w14:paraId="229787FF" w14:textId="397C0379" w:rsidR="00256A1B" w:rsidRDefault="00256A1B"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1646CF">
              <w:rPr>
                <w:rFonts w:cs="Times New Roman"/>
                <w:color w:val="auto"/>
                <w:sz w:val="20"/>
                <w:szCs w:val="20"/>
              </w:rPr>
              <w:t xml:space="preserve">Well-resourced </w:t>
            </w:r>
            <w:r>
              <w:rPr>
                <w:rFonts w:cs="Times New Roman"/>
                <w:color w:val="auto"/>
                <w:sz w:val="20"/>
                <w:szCs w:val="20"/>
              </w:rPr>
              <w:t xml:space="preserve">and proactive </w:t>
            </w:r>
            <w:r w:rsidRPr="001646CF">
              <w:rPr>
                <w:rFonts w:cs="Times New Roman"/>
                <w:color w:val="auto"/>
                <w:sz w:val="20"/>
                <w:szCs w:val="20"/>
              </w:rPr>
              <w:t>outreach programmes</w:t>
            </w:r>
            <w:r>
              <w:rPr>
                <w:rFonts w:cs="Times New Roman"/>
                <w:color w:val="auto"/>
                <w:sz w:val="20"/>
                <w:szCs w:val="20"/>
              </w:rPr>
              <w:t xml:space="preserve"> to raise awareness about </w:t>
            </w:r>
            <w:r w:rsidR="003659E3">
              <w:rPr>
                <w:rFonts w:cs="Times New Roman"/>
                <w:color w:val="auto"/>
                <w:sz w:val="20"/>
                <w:szCs w:val="20"/>
              </w:rPr>
              <w:t xml:space="preserve">stakeholder rights, </w:t>
            </w:r>
            <w:r>
              <w:rPr>
                <w:rFonts w:cs="Times New Roman"/>
                <w:color w:val="auto"/>
                <w:sz w:val="20"/>
                <w:szCs w:val="20"/>
              </w:rPr>
              <w:t>the grievance mechanism</w:t>
            </w:r>
            <w:r w:rsidR="003659E3">
              <w:rPr>
                <w:rFonts w:cs="Times New Roman"/>
                <w:color w:val="auto"/>
                <w:sz w:val="20"/>
                <w:szCs w:val="20"/>
              </w:rPr>
              <w:t>,</w:t>
            </w:r>
            <w:r>
              <w:rPr>
                <w:rFonts w:cs="Times New Roman"/>
                <w:color w:val="auto"/>
                <w:sz w:val="20"/>
                <w:szCs w:val="20"/>
              </w:rPr>
              <w:t xml:space="preserve"> and how to use it</w:t>
            </w:r>
          </w:p>
          <w:p w14:paraId="4F00E7E7" w14:textId="2140A633" w:rsidR="00256A1B" w:rsidRPr="003659E3" w:rsidRDefault="00256A1B" w:rsidP="00256A1B">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691EAA">
              <w:rPr>
                <w:color w:val="auto"/>
                <w:sz w:val="20"/>
                <w:szCs w:val="20"/>
              </w:rPr>
              <w:t>Involvement of stakeholder groups in reviews of performance and impact</w:t>
            </w:r>
          </w:p>
          <w:p w14:paraId="4834A64D" w14:textId="36E2410A" w:rsidR="003659E3" w:rsidRPr="003659E3" w:rsidRDefault="003659E3" w:rsidP="003659E3">
            <w:pPr>
              <w:pStyle w:val="ListParagraph"/>
              <w:numPr>
                <w:ilvl w:val="0"/>
                <w:numId w:val="53"/>
              </w:numPr>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Pr>
                <w:rFonts w:cs="Times New Roman"/>
                <w:color w:val="auto"/>
                <w:sz w:val="20"/>
                <w:szCs w:val="20"/>
              </w:rPr>
              <w:t>Delegation</w:t>
            </w:r>
            <w:r w:rsidR="00760F77">
              <w:rPr>
                <w:rFonts w:cs="Times New Roman"/>
                <w:color w:val="auto"/>
                <w:sz w:val="20"/>
                <w:szCs w:val="20"/>
              </w:rPr>
              <w:t xml:space="preserve"> of</w:t>
            </w:r>
            <w:r>
              <w:rPr>
                <w:rFonts w:cs="Times New Roman"/>
                <w:color w:val="auto"/>
                <w:sz w:val="20"/>
                <w:szCs w:val="20"/>
              </w:rPr>
              <w:t xml:space="preserve"> dispute resolution and decision-making to</w:t>
            </w:r>
            <w:r>
              <w:t xml:space="preserve"> </w:t>
            </w:r>
            <w:r w:rsidRPr="00885300">
              <w:rPr>
                <w:rFonts w:cs="Times New Roman"/>
                <w:color w:val="auto"/>
                <w:sz w:val="20"/>
                <w:szCs w:val="20"/>
              </w:rPr>
              <w:t>legitimate, independent third-party mechanism</w:t>
            </w:r>
            <w:r>
              <w:rPr>
                <w:rFonts w:cs="Times New Roman"/>
                <w:color w:val="auto"/>
                <w:sz w:val="20"/>
                <w:szCs w:val="20"/>
              </w:rPr>
              <w:t>s in appropriate cases</w:t>
            </w:r>
          </w:p>
          <w:p w14:paraId="1C2642A5" w14:textId="77777777" w:rsidR="00A865A9" w:rsidRPr="001646CF" w:rsidRDefault="00A865A9" w:rsidP="00256A1B">
            <w:pPr>
              <w:pStyle w:val="ListParagraph"/>
              <w:ind w:left="360"/>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p>
        </w:tc>
      </w:tr>
    </w:tbl>
    <w:p w14:paraId="1FE8E00A" w14:textId="77777777" w:rsidR="00A865A9" w:rsidRPr="00FD3029" w:rsidRDefault="00A865A9" w:rsidP="00A865A9"/>
    <w:p w14:paraId="43E7B32E" w14:textId="77777777" w:rsidR="00A865A9" w:rsidRPr="00A865A9" w:rsidRDefault="00A865A9" w:rsidP="00A865A9"/>
    <w:sectPr w:rsidR="00A865A9" w:rsidRPr="00A865A9" w:rsidSect="008436F0">
      <w:headerReference w:type="default" r:id="rId33"/>
      <w:headerReference w:type="first" r:id="rId34"/>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4FFB08" w16cid:durableId="1F96FF8A"/>
  <w16cid:commentId w16cid:paraId="6F5E3DB1" w16cid:durableId="1F970000"/>
  <w16cid:commentId w16cid:paraId="0D719CB3" w16cid:durableId="1F970061"/>
  <w16cid:commentId w16cid:paraId="5A9539FF" w16cid:durableId="1F970045"/>
  <w16cid:commentId w16cid:paraId="29DEC39B" w16cid:durableId="1F9700D8"/>
  <w16cid:commentId w16cid:paraId="6202CE39" w16cid:durableId="1F9700C0"/>
  <w16cid:commentId w16cid:paraId="20AE5466" w16cid:durableId="1F97041E"/>
  <w16cid:commentId w16cid:paraId="5AE891EA" w16cid:durableId="1F970108"/>
  <w16cid:commentId w16cid:paraId="27329514" w16cid:durableId="1F97011E"/>
  <w16cid:commentId w16cid:paraId="5A8DD64A" w16cid:durableId="1F970157"/>
  <w16cid:commentId w16cid:paraId="0E62AD4D" w16cid:durableId="1F9701AD"/>
  <w16cid:commentId w16cid:paraId="7A9F2355" w16cid:durableId="1F970209"/>
  <w16cid:commentId w16cid:paraId="461B7535" w16cid:durableId="1F97024F"/>
  <w16cid:commentId w16cid:paraId="266C3983" w16cid:durableId="1F9702A1"/>
  <w16cid:commentId w16cid:paraId="20E72677" w16cid:durableId="1F9704D8"/>
  <w16cid:commentId w16cid:paraId="5EBB6ED5" w16cid:durableId="1F970569"/>
  <w16cid:commentId w16cid:paraId="5797C5C8" w16cid:durableId="1F970440"/>
  <w16cid:commentId w16cid:paraId="748B72C7" w16cid:durableId="1F9704AF"/>
  <w16cid:commentId w16cid:paraId="24BF366E" w16cid:durableId="1F9703A9"/>
  <w16cid:commentId w16cid:paraId="5697D06F" w16cid:durableId="1F9702F3"/>
  <w16cid:commentId w16cid:paraId="19240E30" w16cid:durableId="1F970304"/>
  <w16cid:commentId w16cid:paraId="17411571" w16cid:durableId="1F97032A"/>
  <w16cid:commentId w16cid:paraId="36E046E6" w16cid:durableId="1F970534"/>
  <w16cid:commentId w16cid:paraId="550CBDE5" w16cid:durableId="1F9703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1A809" w14:textId="77777777" w:rsidR="00DC5A00" w:rsidRDefault="00DC5A00" w:rsidP="008436F0">
      <w:r>
        <w:separator/>
      </w:r>
    </w:p>
  </w:endnote>
  <w:endnote w:type="continuationSeparator" w:id="0">
    <w:p w14:paraId="2AB05C24" w14:textId="77777777" w:rsidR="00DC5A00" w:rsidRDefault="00DC5A00" w:rsidP="0084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BFE1B" w14:textId="77777777" w:rsidR="00DC5A00" w:rsidRDefault="00DC5A00" w:rsidP="008436F0">
      <w:r>
        <w:separator/>
      </w:r>
    </w:p>
  </w:footnote>
  <w:footnote w:type="continuationSeparator" w:id="0">
    <w:p w14:paraId="6FC72577" w14:textId="77777777" w:rsidR="00DC5A00" w:rsidRDefault="00DC5A00" w:rsidP="008436F0">
      <w:r>
        <w:continuationSeparator/>
      </w:r>
    </w:p>
  </w:footnote>
  <w:footnote w:id="1">
    <w:p w14:paraId="2109B398" w14:textId="77777777" w:rsidR="005B2C83" w:rsidRPr="00D80CCA" w:rsidRDefault="005B2C83" w:rsidP="005B2C83">
      <w:pPr>
        <w:pStyle w:val="FootnoteText"/>
        <w:jc w:val="both"/>
        <w:rPr>
          <w:rFonts w:cs="Times New Roman"/>
        </w:rPr>
      </w:pPr>
      <w:r w:rsidRPr="00DF4F0F">
        <w:rPr>
          <w:rStyle w:val="FootnoteReference"/>
          <w:rFonts w:cs="Times New Roman"/>
        </w:rPr>
        <w:footnoteRef/>
      </w:r>
      <w:r w:rsidRPr="00DF4F0F">
        <w:rPr>
          <w:rFonts w:cs="Times New Roman"/>
        </w:rPr>
        <w:t xml:space="preserve"> ARP I: </w:t>
      </w:r>
      <w:hyperlink r:id="rId1" w:history="1">
        <w:r w:rsidRPr="00DF3904">
          <w:rPr>
            <w:rStyle w:val="Hyperlink"/>
            <w:rFonts w:cs="Times New Roman"/>
          </w:rPr>
          <w:t>A/HRC/32/19</w:t>
        </w:r>
      </w:hyperlink>
      <w:r w:rsidRPr="00DF4F0F">
        <w:rPr>
          <w:rFonts w:cs="Times New Roman"/>
        </w:rPr>
        <w:t xml:space="preserve"> (2016); </w:t>
      </w:r>
      <w:hyperlink r:id="rId2" w:history="1">
        <w:r w:rsidRPr="009165C7">
          <w:rPr>
            <w:rStyle w:val="Hyperlink"/>
            <w:rFonts w:cs="Times New Roman"/>
          </w:rPr>
          <w:t>A/HRC/32/19/Add.1</w:t>
        </w:r>
      </w:hyperlink>
      <w:r w:rsidRPr="00DF4F0F">
        <w:rPr>
          <w:rFonts w:cs="Times New Roman"/>
        </w:rPr>
        <w:t xml:space="preserve"> (2016).  ARP II: </w:t>
      </w:r>
      <w:hyperlink r:id="rId3" w:history="1">
        <w:r w:rsidRPr="009165C7">
          <w:rPr>
            <w:rStyle w:val="Hyperlink"/>
            <w:rFonts w:cs="Times New Roman"/>
          </w:rPr>
          <w:t>A/HRC/38/20</w:t>
        </w:r>
      </w:hyperlink>
      <w:r w:rsidRPr="00DF4F0F">
        <w:rPr>
          <w:rFonts w:cs="Times New Roman"/>
        </w:rPr>
        <w:t xml:space="preserve"> (2018); </w:t>
      </w:r>
      <w:hyperlink r:id="rId4" w:history="1">
        <w:r w:rsidRPr="009165C7">
          <w:rPr>
            <w:rStyle w:val="Hyperlink"/>
            <w:rFonts w:cs="Times New Roman"/>
          </w:rPr>
          <w:t>A/HRC/38/20/Add.1</w:t>
        </w:r>
      </w:hyperlink>
      <w:r w:rsidRPr="00DF4F0F">
        <w:rPr>
          <w:rFonts w:cs="Times New Roman"/>
        </w:rPr>
        <w:t xml:space="preserve"> (2018).</w:t>
      </w:r>
    </w:p>
  </w:footnote>
  <w:footnote w:id="2">
    <w:p w14:paraId="0C3BA032" w14:textId="77777777" w:rsidR="005B2C83" w:rsidRPr="00D80CCA" w:rsidRDefault="005B2C83" w:rsidP="005B2C83">
      <w:pPr>
        <w:pStyle w:val="FootnoteText"/>
        <w:jc w:val="both"/>
        <w:rPr>
          <w:rFonts w:cs="Times New Roman"/>
        </w:rPr>
      </w:pPr>
      <w:r w:rsidRPr="00D80CCA">
        <w:rPr>
          <w:rStyle w:val="FootnoteReference"/>
          <w:rFonts w:cs="Times New Roman"/>
        </w:rPr>
        <w:footnoteRef/>
      </w:r>
      <w:r w:rsidRPr="00D80CCA">
        <w:rPr>
          <w:rFonts w:cs="Times New Roman"/>
        </w:rPr>
        <w:t xml:space="preserve"> UNGPs 28 – 30.</w:t>
      </w:r>
    </w:p>
  </w:footnote>
  <w:footnote w:id="3">
    <w:p w14:paraId="667D46B3" w14:textId="77777777" w:rsidR="005B2C83" w:rsidRPr="003E0B7A" w:rsidRDefault="005B2C83" w:rsidP="005B2C83">
      <w:pPr>
        <w:pStyle w:val="FootnoteText"/>
        <w:jc w:val="both"/>
      </w:pPr>
      <w:r>
        <w:rPr>
          <w:rStyle w:val="FootnoteReference"/>
        </w:rPr>
        <w:footnoteRef/>
      </w:r>
      <w:r>
        <w:t xml:space="preserve"> In developing this paper, </w:t>
      </w:r>
      <w:r w:rsidRPr="003E0B7A">
        <w:t>OHCHR benefited from research carried out in support of ARP III by the Business and Human Rights Catalyst at the University of Manchester, Alliance Manchester Business School</w:t>
      </w:r>
      <w:r>
        <w:t xml:space="preserve">. </w:t>
      </w:r>
      <w:hyperlink r:id="rId5" w:history="1">
        <w:r w:rsidRPr="009165C7">
          <w:rPr>
            <w:rStyle w:val="Hyperlink"/>
          </w:rPr>
          <w:t>Non-state based non-judicial grievance mechanisms (NSBGM): An exploratory analysis</w:t>
        </w:r>
      </w:hyperlink>
      <w:r w:rsidRPr="003E0B7A">
        <w:t xml:space="preserve"> (2018)</w:t>
      </w:r>
      <w:r>
        <w:t>.</w:t>
      </w:r>
    </w:p>
  </w:footnote>
  <w:footnote w:id="4">
    <w:p w14:paraId="6F0E2521" w14:textId="77777777" w:rsidR="005B2C83" w:rsidRPr="00D80CCA" w:rsidRDefault="005B2C83" w:rsidP="005B2C83">
      <w:pPr>
        <w:pStyle w:val="FootnoteText"/>
        <w:jc w:val="both"/>
        <w:rPr>
          <w:rFonts w:cs="Times New Roman"/>
        </w:rPr>
      </w:pPr>
      <w:r w:rsidRPr="00DF4F0F">
        <w:rPr>
          <w:rStyle w:val="FootnoteReference"/>
          <w:rFonts w:cs="Times New Roman"/>
        </w:rPr>
        <w:footnoteRef/>
      </w:r>
      <w:r w:rsidRPr="00DF4F0F">
        <w:rPr>
          <w:rFonts w:cs="Times New Roman"/>
        </w:rPr>
        <w:t xml:space="preserve"> Public information about ARP III activities may be found on </w:t>
      </w:r>
      <w:hyperlink r:id="rId6" w:history="1">
        <w:r w:rsidRPr="009165C7">
          <w:rPr>
            <w:rStyle w:val="Hyperlink"/>
            <w:rFonts w:cs="Times New Roman"/>
          </w:rPr>
          <w:t>the ARP III webpage</w:t>
        </w:r>
      </w:hyperlink>
      <w:r>
        <w:rPr>
          <w:rFonts w:cs="Times New Roman"/>
        </w:rPr>
        <w:t xml:space="preserve">, in particular through </w:t>
      </w:r>
      <w:hyperlink r:id="rId7" w:history="1">
        <w:r w:rsidRPr="009165C7">
          <w:rPr>
            <w:rStyle w:val="Hyperlink"/>
            <w:rFonts w:cs="Times New Roman"/>
          </w:rPr>
          <w:t>the ARP III Programme of Work</w:t>
        </w:r>
      </w:hyperlink>
      <w:r w:rsidRPr="00DF4F0F">
        <w:rPr>
          <w:rFonts w:cs="Times New Roman"/>
        </w:rPr>
        <w:t>.</w:t>
      </w:r>
    </w:p>
  </w:footnote>
  <w:footnote w:id="5">
    <w:p w14:paraId="0CB3569B" w14:textId="77777777" w:rsidR="005B2C83" w:rsidRPr="00D80CCA" w:rsidRDefault="005B2C83" w:rsidP="005B2C83">
      <w:pPr>
        <w:pStyle w:val="FootnoteText"/>
        <w:jc w:val="both"/>
        <w:rPr>
          <w:rFonts w:cs="Times New Roman"/>
        </w:rPr>
      </w:pPr>
      <w:r w:rsidRPr="00DF4F0F">
        <w:rPr>
          <w:rStyle w:val="FootnoteReference"/>
          <w:rFonts w:cs="Times New Roman"/>
        </w:rPr>
        <w:footnoteRef/>
      </w:r>
      <w:r w:rsidRPr="00DF4F0F">
        <w:rPr>
          <w:rFonts w:cs="Times New Roman"/>
        </w:rPr>
        <w:t xml:space="preserve"> All questionnaires are available on </w:t>
      </w:r>
      <w:hyperlink r:id="rId8" w:history="1">
        <w:r w:rsidRPr="009165C7">
          <w:rPr>
            <w:rStyle w:val="Hyperlink"/>
            <w:rFonts w:cs="Times New Roman"/>
          </w:rPr>
          <w:t>the ARP III webpage</w:t>
        </w:r>
      </w:hyperlink>
      <w:r w:rsidRPr="00DF4F0F">
        <w:rPr>
          <w:rFonts w:cs="Times New Roman"/>
        </w:rPr>
        <w:t>.</w:t>
      </w:r>
    </w:p>
  </w:footnote>
  <w:footnote w:id="6">
    <w:p w14:paraId="570E3646" w14:textId="77777777" w:rsidR="005B2C83" w:rsidRPr="003E0B7A" w:rsidRDefault="005B2C83" w:rsidP="005B2C83">
      <w:pPr>
        <w:pStyle w:val="FootnoteText"/>
        <w:jc w:val="both"/>
        <w:rPr>
          <w:lang w:val="en-US"/>
        </w:rPr>
      </w:pPr>
      <w:r>
        <w:rPr>
          <w:rStyle w:val="FootnoteReference"/>
        </w:rPr>
        <w:footnoteRef/>
      </w:r>
      <w:r>
        <w:t xml:space="preserve"> The acronyms used in the figures correspond to the </w:t>
      </w:r>
      <w:hyperlink r:id="rId9" w:history="1">
        <w:r w:rsidRPr="009B27B2">
          <w:rPr>
            <w:rStyle w:val="Hyperlink"/>
          </w:rPr>
          <w:t>UN Regional Groups of Member States</w:t>
        </w:r>
      </w:hyperlink>
      <w:r>
        <w:t>: GRULAC is the Latin American and Caribbean Group; WEOG is the Western European and Others Group.</w:t>
      </w:r>
    </w:p>
  </w:footnote>
  <w:footnote w:id="7">
    <w:p w14:paraId="5744FD96" w14:textId="77777777" w:rsidR="005B2C83" w:rsidRPr="00177C32" w:rsidRDefault="005B2C83" w:rsidP="005B2C83">
      <w:pPr>
        <w:pStyle w:val="FootnoteText"/>
        <w:jc w:val="both"/>
        <w:rPr>
          <w:rFonts w:cs="Times New Roman"/>
        </w:rPr>
      </w:pPr>
      <w:r w:rsidRPr="00177C32">
        <w:rPr>
          <w:rStyle w:val="FootnoteReference"/>
          <w:rFonts w:cs="Times New Roman"/>
        </w:rPr>
        <w:footnoteRef/>
      </w:r>
      <w:r w:rsidRPr="00177C32">
        <w:rPr>
          <w:rFonts w:cs="Times New Roman"/>
        </w:rPr>
        <w:t xml:space="preserve"> UNGP 26 Commentary.</w:t>
      </w:r>
    </w:p>
  </w:footnote>
  <w:footnote w:id="8">
    <w:p w14:paraId="0CC13B63" w14:textId="77777777" w:rsidR="005B2C83" w:rsidRPr="00177C32" w:rsidRDefault="005B2C83" w:rsidP="005B2C83">
      <w:pPr>
        <w:pStyle w:val="FootnoteText"/>
        <w:jc w:val="both"/>
        <w:rPr>
          <w:rFonts w:cs="Times New Roman"/>
        </w:rPr>
      </w:pPr>
      <w:r w:rsidRPr="00177C32">
        <w:rPr>
          <w:rStyle w:val="FootnoteReference"/>
          <w:rFonts w:cs="Times New Roman"/>
        </w:rPr>
        <w:footnoteRef/>
      </w:r>
      <w:r w:rsidRPr="00177C32">
        <w:rPr>
          <w:rFonts w:cs="Times New Roman"/>
        </w:rPr>
        <w:t xml:space="preserve"> UNGP 28 Commentary.</w:t>
      </w:r>
    </w:p>
  </w:footnote>
  <w:footnote w:id="9">
    <w:p w14:paraId="6C0FFAE9" w14:textId="77777777" w:rsidR="005B2C83" w:rsidRPr="00900404" w:rsidRDefault="005B2C83" w:rsidP="005B2C83">
      <w:pPr>
        <w:pStyle w:val="FootnoteText"/>
        <w:jc w:val="both"/>
        <w:rPr>
          <w:rFonts w:cs="Times New Roman"/>
        </w:rPr>
      </w:pPr>
      <w:r w:rsidRPr="00900404">
        <w:rPr>
          <w:rStyle w:val="FootnoteReference"/>
          <w:rFonts w:cs="Times New Roman"/>
        </w:rPr>
        <w:footnoteRef/>
      </w:r>
      <w:r w:rsidRPr="00900404">
        <w:rPr>
          <w:rFonts w:cs="Times New Roman"/>
        </w:rPr>
        <w:t xml:space="preserve"> </w:t>
      </w:r>
      <w:r w:rsidRPr="00900404">
        <w:rPr>
          <w:rFonts w:cs="Times New Roman"/>
          <w:i/>
        </w:rPr>
        <w:t>See</w:t>
      </w:r>
      <w:r w:rsidRPr="00900404">
        <w:rPr>
          <w:rFonts w:cs="Times New Roman"/>
        </w:rPr>
        <w:t xml:space="preserve"> </w:t>
      </w:r>
      <w:r w:rsidRPr="009165C7">
        <w:rPr>
          <w:rFonts w:cs="Times New Roman"/>
        </w:rPr>
        <w:t xml:space="preserve">Report of the Working Group on the issue of human rights and transnational corporations </w:t>
      </w:r>
      <w:r>
        <w:rPr>
          <w:rFonts w:cs="Times New Roman"/>
        </w:rPr>
        <w:t>and other business enterprises: “</w:t>
      </w:r>
      <w:r w:rsidRPr="009165C7">
        <w:rPr>
          <w:rFonts w:cs="Times New Roman"/>
        </w:rPr>
        <w:t>Access to effective remedies under the Guiding Principles on Business and Human Rights: Implementing the United Nations Protect, Respect and Remedy Framework</w:t>
      </w:r>
      <w:r w:rsidRPr="00177C32">
        <w:rPr>
          <w:rFonts w:cs="Times New Roman"/>
        </w:rPr>
        <w:t>,</w:t>
      </w:r>
      <w:r>
        <w:rPr>
          <w:rFonts w:cs="Times New Roman"/>
        </w:rPr>
        <w:t>”</w:t>
      </w:r>
      <w:r w:rsidRPr="00900404">
        <w:rPr>
          <w:rFonts w:cs="Times New Roman"/>
        </w:rPr>
        <w:t xml:space="preserve"> </w:t>
      </w:r>
      <w:hyperlink r:id="rId10" w:history="1">
        <w:r w:rsidRPr="009165C7">
          <w:rPr>
            <w:rStyle w:val="Hyperlink"/>
            <w:rFonts w:cs="Times New Roman"/>
          </w:rPr>
          <w:t>A/72/162</w:t>
        </w:r>
      </w:hyperlink>
      <w:r>
        <w:rPr>
          <w:rFonts w:cs="Times New Roman"/>
        </w:rPr>
        <w:t xml:space="preserve"> (</w:t>
      </w:r>
      <w:r w:rsidRPr="00900404">
        <w:rPr>
          <w:rFonts w:cs="Times New Roman"/>
        </w:rPr>
        <w:t>2017</w:t>
      </w:r>
      <w:r>
        <w:rPr>
          <w:rFonts w:cs="Times New Roman"/>
        </w:rPr>
        <w:t>) (outlining an “all roads to remedy” approach)</w:t>
      </w:r>
      <w:r w:rsidRPr="00900404">
        <w:rPr>
          <w:rFonts w:cs="Times New Roman"/>
        </w:rPr>
        <w:t>.</w:t>
      </w:r>
    </w:p>
  </w:footnote>
  <w:footnote w:id="10">
    <w:p w14:paraId="3C19B475" w14:textId="77777777" w:rsidR="005B2C83" w:rsidRPr="0034319D" w:rsidRDefault="005B2C83" w:rsidP="005B2C83">
      <w:pPr>
        <w:pStyle w:val="FootnoteText"/>
        <w:jc w:val="both"/>
        <w:rPr>
          <w:lang w:val="en-US"/>
        </w:rPr>
      </w:pPr>
      <w:r>
        <w:rPr>
          <w:rStyle w:val="FootnoteReference"/>
        </w:rPr>
        <w:footnoteRef/>
      </w:r>
      <w:r>
        <w:t xml:space="preserve"> </w:t>
      </w:r>
      <w:hyperlink r:id="rId11" w:history="1">
        <w:r w:rsidRPr="009165C7">
          <w:rPr>
            <w:rStyle w:val="Hyperlink"/>
          </w:rPr>
          <w:t>Opinion issued by OHCHR in response to letters regarding the Porgera remediation framework</w:t>
        </w:r>
      </w:hyperlink>
      <w:r>
        <w:t>, pp. 7-9 (2013).</w:t>
      </w:r>
    </w:p>
  </w:footnote>
  <w:footnote w:id="11">
    <w:p w14:paraId="412CB110" w14:textId="77777777" w:rsidR="005B2C83" w:rsidRPr="00250C81" w:rsidRDefault="005B2C83" w:rsidP="005B2C83">
      <w:pPr>
        <w:pStyle w:val="FootnoteText"/>
        <w:jc w:val="both"/>
        <w:rPr>
          <w:rFonts w:cs="Times New Roman"/>
          <w:lang w:val="en-US"/>
        </w:rPr>
      </w:pPr>
      <w:r w:rsidRPr="00D80CCA">
        <w:rPr>
          <w:rStyle w:val="FootnoteReference"/>
          <w:rFonts w:cs="Times New Roman"/>
        </w:rPr>
        <w:footnoteRef/>
      </w:r>
      <w:r w:rsidRPr="00D80CCA">
        <w:rPr>
          <w:rFonts w:cs="Times New Roman"/>
        </w:rPr>
        <w:t xml:space="preserve"> </w:t>
      </w:r>
      <w:r w:rsidRPr="00D80CCA">
        <w:rPr>
          <w:rFonts w:cs="Times New Roman"/>
          <w:lang w:val="en-US"/>
        </w:rPr>
        <w:t>UNGP 31(g) and Commentary.</w:t>
      </w:r>
    </w:p>
  </w:footnote>
  <w:footnote w:id="12">
    <w:p w14:paraId="6A91945E" w14:textId="77777777" w:rsidR="005B2C83" w:rsidRDefault="005B2C83" w:rsidP="005B2C83">
      <w:pPr>
        <w:pStyle w:val="FootnoteText"/>
        <w:jc w:val="both"/>
      </w:pPr>
      <w:r>
        <w:rPr>
          <w:rStyle w:val="FootnoteReference"/>
        </w:rPr>
        <w:footnoteRef/>
      </w:r>
      <w:r>
        <w:t xml:space="preserve"> </w:t>
      </w:r>
      <w:r w:rsidRPr="00DF3904">
        <w:t>Report of the Working Group on the issue of human rights and transnational corporations and other business enterprises on Gender dimensions of the Guiding Principles on Business and Human Rights</w:t>
      </w:r>
      <w:r>
        <w:t xml:space="preserve">, </w:t>
      </w:r>
      <w:hyperlink r:id="rId12" w:history="1">
        <w:r w:rsidRPr="00DF3904">
          <w:rPr>
            <w:rStyle w:val="Hyperlink"/>
          </w:rPr>
          <w:t>A/HRC/41/43</w:t>
        </w:r>
      </w:hyperlink>
      <w:r>
        <w:t xml:space="preserve">, Annex, </w:t>
      </w:r>
      <w:r>
        <w:rPr>
          <w:rFonts w:cs="Times New Roman"/>
        </w:rPr>
        <w:t>¶¶</w:t>
      </w:r>
      <w:r>
        <w:t xml:space="preserve"> 57 – 62 (2019).</w:t>
      </w:r>
    </w:p>
  </w:footnote>
  <w:footnote w:id="13">
    <w:p w14:paraId="6DF5C704" w14:textId="77777777" w:rsidR="005B2C83" w:rsidRDefault="005B2C83" w:rsidP="005B2C83">
      <w:pPr>
        <w:pStyle w:val="FootnoteText"/>
        <w:jc w:val="both"/>
      </w:pPr>
      <w:r w:rsidRPr="004133AB">
        <w:rPr>
          <w:rStyle w:val="FootnoteReference"/>
          <w:rFonts w:cs="Times New Roman"/>
        </w:rPr>
        <w:footnoteRef/>
      </w:r>
      <w:r>
        <w:rPr>
          <w:rFonts w:cs="Times New Roman"/>
        </w:rPr>
        <w:t xml:space="preserve"> </w:t>
      </w:r>
      <w:r w:rsidRPr="00EA72BB">
        <w:rPr>
          <w:rFonts w:cs="Times New Roman"/>
          <w:i/>
        </w:rPr>
        <w:t>See</w:t>
      </w:r>
      <w:r>
        <w:rPr>
          <w:rFonts w:cs="Times New Roman"/>
        </w:rPr>
        <w:t xml:space="preserve"> UNGP 31(h) and C</w:t>
      </w:r>
      <w:r w:rsidRPr="004133AB">
        <w:rPr>
          <w:rFonts w:cs="Times New Roman"/>
        </w:rPr>
        <w:t>ommentary.</w:t>
      </w:r>
    </w:p>
  </w:footnote>
  <w:footnote w:id="14">
    <w:p w14:paraId="08E0E1BD" w14:textId="4F26EEC1" w:rsidR="005B2C83" w:rsidRPr="00944E2F" w:rsidRDefault="005B2C83" w:rsidP="005B2C83">
      <w:pPr>
        <w:pStyle w:val="FootnoteText"/>
        <w:jc w:val="both"/>
        <w:rPr>
          <w:lang w:val="en-US"/>
        </w:rPr>
      </w:pPr>
      <w:r>
        <w:rPr>
          <w:rStyle w:val="FootnoteReference"/>
        </w:rPr>
        <w:footnoteRef/>
      </w:r>
      <w:r>
        <w:t xml:space="preserve"> </w:t>
      </w:r>
      <w:r w:rsidRPr="00944E2F">
        <w:t>The term “co-design” is sometimes used to indicate a form of “design partnership” between the relevant company, initiative</w:t>
      </w:r>
      <w:r>
        <w:t>,</w:t>
      </w:r>
      <w:r w:rsidRPr="00944E2F">
        <w:t xml:space="preserve"> or institution and a prospective user group.  </w:t>
      </w:r>
    </w:p>
  </w:footnote>
  <w:footnote w:id="15">
    <w:p w14:paraId="3640B7BF" w14:textId="77777777" w:rsidR="005B2C83" w:rsidRPr="004133AB" w:rsidRDefault="005B2C83" w:rsidP="005B2C83">
      <w:pPr>
        <w:pStyle w:val="FootnoteText"/>
        <w:jc w:val="both"/>
        <w:rPr>
          <w:rFonts w:cs="Times New Roman"/>
          <w:lang w:val="en-US"/>
        </w:rPr>
      </w:pPr>
      <w:r w:rsidRPr="004133AB">
        <w:rPr>
          <w:rStyle w:val="FootnoteReference"/>
          <w:rFonts w:cs="Times New Roman"/>
        </w:rPr>
        <w:footnoteRef/>
      </w:r>
      <w:r w:rsidRPr="004133AB">
        <w:rPr>
          <w:rFonts w:cs="Times New Roman"/>
        </w:rPr>
        <w:t xml:space="preserve"> </w:t>
      </w:r>
      <w:r w:rsidRPr="004133AB">
        <w:rPr>
          <w:rFonts w:cs="Times New Roman"/>
          <w:lang w:val="en-US"/>
        </w:rPr>
        <w:t>UNGP 31(g).</w:t>
      </w:r>
    </w:p>
  </w:footnote>
  <w:footnote w:id="16">
    <w:p w14:paraId="6BD5FB0B" w14:textId="77777777" w:rsidR="005B2C83" w:rsidRPr="002963EE" w:rsidRDefault="005B2C83" w:rsidP="005B2C83">
      <w:pPr>
        <w:pStyle w:val="FootnoteText"/>
        <w:jc w:val="both"/>
        <w:rPr>
          <w:rFonts w:cs="Times New Roman"/>
        </w:rPr>
      </w:pPr>
      <w:r w:rsidRPr="002963EE">
        <w:rPr>
          <w:rStyle w:val="FootnoteReference"/>
          <w:rFonts w:cs="Times New Roman"/>
        </w:rPr>
        <w:footnoteRef/>
      </w:r>
      <w:r w:rsidRPr="002963EE">
        <w:rPr>
          <w:rFonts w:cs="Times New Roman"/>
        </w:rPr>
        <w:t xml:space="preserve"> </w:t>
      </w:r>
      <w:r>
        <w:rPr>
          <w:rFonts w:cs="Times New Roman"/>
        </w:rPr>
        <w:t>With respect to operational-level grievance mechanisms, the Commentary to</w:t>
      </w:r>
      <w:r w:rsidRPr="002963EE">
        <w:rPr>
          <w:rFonts w:cs="Times New Roman"/>
        </w:rPr>
        <w:t xml:space="preserve"> UNGP 31(h)</w:t>
      </w:r>
      <w:r>
        <w:rPr>
          <w:rFonts w:cs="Times New Roman"/>
        </w:rPr>
        <w:t xml:space="preserve"> provides: </w:t>
      </w:r>
      <w:r w:rsidRPr="002963EE">
        <w:rPr>
          <w:rFonts w:cs="Times New Roman"/>
        </w:rPr>
        <w:t xml:space="preserve">“Since a business enterprise cannot, with legitimacy, both be the subject of complaints and unilaterally determine their outcome, </w:t>
      </w:r>
      <w:r>
        <w:rPr>
          <w:rFonts w:cs="Times New Roman"/>
        </w:rPr>
        <w:t>these</w:t>
      </w:r>
      <w:r w:rsidRPr="002963EE">
        <w:rPr>
          <w:rFonts w:cs="Times New Roman"/>
        </w:rPr>
        <w:t xml:space="preserve"> mechanisms should focus on reaching agreed solutions through dialogue</w:t>
      </w:r>
      <w:r>
        <w:rPr>
          <w:rFonts w:cs="Times New Roman"/>
        </w:rPr>
        <w:t>. Where adjudication is needed, this should be provided by a legitimate, independent third-party mechanism.</w:t>
      </w:r>
      <w:r w:rsidRPr="002963EE">
        <w:rPr>
          <w:rFonts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167041"/>
      <w:docPartObj>
        <w:docPartGallery w:val="Page Numbers (Top of Page)"/>
        <w:docPartUnique/>
      </w:docPartObj>
    </w:sdtPr>
    <w:sdtEndPr>
      <w:rPr>
        <w:noProof/>
        <w:sz w:val="14"/>
      </w:rPr>
    </w:sdtEndPr>
    <w:sdtContent>
      <w:p w14:paraId="54E6E959" w14:textId="263CA4E8" w:rsidR="005B2C83" w:rsidRPr="00FB4C8E" w:rsidRDefault="005B2C83" w:rsidP="00FB4C8E">
        <w:pPr>
          <w:pStyle w:val="Header"/>
          <w:tabs>
            <w:tab w:val="clear" w:pos="4513"/>
          </w:tabs>
          <w:jc w:val="right"/>
          <w:rPr>
            <w:sz w:val="14"/>
          </w:rPr>
        </w:pPr>
        <w:r w:rsidRPr="00FB4C8E">
          <w:rPr>
            <w:noProof/>
            <w:sz w:val="14"/>
            <w:lang w:eastAsia="en-GB"/>
          </w:rPr>
          <w:drawing>
            <wp:anchor distT="0" distB="0" distL="114300" distR="114300" simplePos="0" relativeHeight="251658240" behindDoc="0" locked="0" layoutInCell="1" allowOverlap="1" wp14:anchorId="037C4985" wp14:editId="521D37CD">
              <wp:simplePos x="0" y="0"/>
              <wp:positionH relativeFrom="margin">
                <wp:align>center</wp:align>
              </wp:positionH>
              <wp:positionV relativeFrom="paragraph">
                <wp:posOffset>-122574</wp:posOffset>
              </wp:positionV>
              <wp:extent cx="2464435" cy="45021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anchor>
          </w:drawing>
        </w:r>
        <w:r w:rsidRPr="00FB4C8E">
          <w:rPr>
            <w:sz w:val="14"/>
          </w:rPr>
          <w:t xml:space="preserve">PAGE </w:t>
        </w:r>
        <w:r w:rsidRPr="00FB4C8E">
          <w:rPr>
            <w:sz w:val="14"/>
          </w:rPr>
          <w:fldChar w:fldCharType="begin"/>
        </w:r>
        <w:r w:rsidRPr="00FB4C8E">
          <w:rPr>
            <w:sz w:val="14"/>
          </w:rPr>
          <w:instrText xml:space="preserve"> PAGE   \* MERGEFORMAT </w:instrText>
        </w:r>
        <w:r w:rsidRPr="00FB4C8E">
          <w:rPr>
            <w:sz w:val="14"/>
          </w:rPr>
          <w:fldChar w:fldCharType="separate"/>
        </w:r>
        <w:r w:rsidR="000E0D39">
          <w:rPr>
            <w:noProof/>
            <w:sz w:val="14"/>
          </w:rPr>
          <w:t>2</w:t>
        </w:r>
        <w:r w:rsidRPr="00FB4C8E">
          <w:rPr>
            <w:noProof/>
            <w:sz w:val="14"/>
          </w:rPr>
          <w:fldChar w:fldCharType="end"/>
        </w:r>
      </w:p>
    </w:sdtContent>
  </w:sdt>
  <w:p w14:paraId="3992CEE1" w14:textId="77777777" w:rsidR="005B2C83" w:rsidRDefault="005B2C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8A99B" w14:textId="77777777" w:rsidR="005B2C83" w:rsidRPr="004A2644" w:rsidRDefault="005B2C83" w:rsidP="008436F0">
    <w:pPr>
      <w:pStyle w:val="Header"/>
      <w:jc w:val="center"/>
      <w:rPr>
        <w:b/>
        <w:noProof/>
        <w:lang w:eastAsia="en-GB"/>
      </w:rPr>
    </w:pPr>
    <w:r>
      <w:rPr>
        <w:noProof/>
        <w:lang w:eastAsia="en-GB"/>
      </w:rPr>
      <w:drawing>
        <wp:inline distT="0" distB="0" distL="0" distR="0" wp14:anchorId="45F28E10" wp14:editId="0540C672">
          <wp:extent cx="3962400" cy="723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inline>
      </w:drawing>
    </w:r>
  </w:p>
  <w:p w14:paraId="5ACF746D" w14:textId="77777777" w:rsidR="005B2C83" w:rsidRPr="00925A9D" w:rsidRDefault="005B2C83" w:rsidP="008436F0">
    <w:pPr>
      <w:pStyle w:val="Header"/>
      <w:jc w:val="center"/>
      <w:rPr>
        <w:sz w:val="14"/>
        <w:szCs w:val="14"/>
      </w:rPr>
    </w:pPr>
    <w:r w:rsidRPr="00925A9D">
      <w:rPr>
        <w:sz w:val="14"/>
        <w:szCs w:val="14"/>
      </w:rPr>
      <w:t>HAUT-COMMISSARIAT AUX DROITS DE L’HOMME • OFFICE OF THE HIGH COMMISSIONER FOR HUMAN RIGHTS</w:t>
    </w:r>
  </w:p>
  <w:p w14:paraId="63B2609F" w14:textId="77777777" w:rsidR="005B2C83" w:rsidRPr="00FD583B" w:rsidRDefault="005B2C83" w:rsidP="008436F0">
    <w:pPr>
      <w:pStyle w:val="Header"/>
      <w:tabs>
        <w:tab w:val="left" w:pos="0"/>
      </w:tabs>
      <w:jc w:val="center"/>
      <w:rPr>
        <w:sz w:val="14"/>
        <w:szCs w:val="14"/>
        <w:lang w:val="fr-CH"/>
      </w:rPr>
    </w:pPr>
    <w:r w:rsidRPr="00FD583B">
      <w:rPr>
        <w:sz w:val="14"/>
        <w:szCs w:val="14"/>
        <w:lang w:val="fr-CH"/>
      </w:rPr>
      <w:t>PALAIS DES NATIONS • 1211 GENEVA 10, SWITZERLAND</w:t>
    </w:r>
  </w:p>
  <w:p w14:paraId="4D31AA99" w14:textId="77777777" w:rsidR="005B2C83" w:rsidRPr="006D718F" w:rsidRDefault="005B2C83" w:rsidP="008436F0">
    <w:pPr>
      <w:pStyle w:val="Header"/>
      <w:tabs>
        <w:tab w:val="right" w:pos="3686"/>
        <w:tab w:val="left" w:pos="5812"/>
      </w:tabs>
      <w:jc w:val="center"/>
      <w:rPr>
        <w:sz w:val="14"/>
        <w:szCs w:val="14"/>
        <w:lang w:val="fr-CH"/>
      </w:rPr>
    </w:pPr>
    <w:r>
      <w:rPr>
        <w:sz w:val="14"/>
        <w:szCs w:val="14"/>
        <w:lang w:val="fr-CH"/>
      </w:rPr>
      <w:t xml:space="preserve">www.ohchr.org • TEL: +41 22 </w:t>
    </w:r>
    <w:r w:rsidRPr="006D718F">
      <w:rPr>
        <w:sz w:val="14"/>
        <w:szCs w:val="14"/>
        <w:lang w:val="fr-CH"/>
      </w:rPr>
      <w:t>917 9</w:t>
    </w:r>
    <w:r>
      <w:rPr>
        <w:sz w:val="14"/>
        <w:szCs w:val="14"/>
        <w:lang w:val="fr-CH"/>
      </w:rPr>
      <w:t>0</w:t>
    </w:r>
    <w:r w:rsidRPr="006D718F">
      <w:rPr>
        <w:sz w:val="14"/>
        <w:szCs w:val="14"/>
        <w:lang w:val="fr-CH"/>
      </w:rPr>
      <w:t xml:space="preserve"> </w:t>
    </w:r>
    <w:r>
      <w:rPr>
        <w:sz w:val="14"/>
        <w:szCs w:val="14"/>
        <w:lang w:val="fr-CH"/>
      </w:rPr>
      <w:t>30</w:t>
    </w:r>
    <w:r w:rsidRPr="006D718F">
      <w:rPr>
        <w:sz w:val="14"/>
        <w:szCs w:val="14"/>
        <w:lang w:val="fr-CH"/>
      </w:rPr>
      <w:t xml:space="preserve"> </w:t>
    </w:r>
  </w:p>
  <w:p w14:paraId="056A8C92" w14:textId="77777777" w:rsidR="005B2C83" w:rsidRPr="002963F8" w:rsidRDefault="005B2C83" w:rsidP="008436F0">
    <w:pPr>
      <w:pStyle w:val="Header"/>
      <w:tabs>
        <w:tab w:val="right" w:pos="3686"/>
        <w:tab w:val="left" w:pos="5812"/>
      </w:tabs>
      <w:jc w:val="center"/>
      <w:rPr>
        <w:rStyle w:val="Hyperlink"/>
      </w:rPr>
    </w:pPr>
    <w:r w:rsidRPr="006D718F">
      <w:rPr>
        <w:sz w:val="14"/>
        <w:szCs w:val="14"/>
        <w:lang w:val="fr-CH"/>
      </w:rPr>
      <w:t xml:space="preserve">• E-MAIL:  </w:t>
    </w:r>
    <w:hyperlink r:id="rId2" w:history="1">
      <w:r w:rsidRPr="00AD64AF">
        <w:rPr>
          <w:rStyle w:val="Hyperlink"/>
          <w:sz w:val="14"/>
          <w:szCs w:val="14"/>
          <w:lang w:val="fr-CH"/>
        </w:rPr>
        <w:t>business-access2remedy@ohchr.org</w:t>
      </w:r>
    </w:hyperlink>
    <w:r w:rsidRPr="001937A8">
      <w:rPr>
        <w:rStyle w:val="Hyperlink"/>
        <w:color w:val="auto"/>
        <w:sz w:val="14"/>
        <w:szCs w:val="14"/>
        <w:u w:val="none"/>
        <w:lang w:val="fr-CH"/>
      </w:rPr>
      <w:t xml:space="preserve">, </w:t>
    </w:r>
    <w:hyperlink r:id="rId3" w:history="1">
      <w:r w:rsidRPr="00554FBA">
        <w:rPr>
          <w:rStyle w:val="Hyperlink"/>
          <w:sz w:val="14"/>
          <w:szCs w:val="14"/>
          <w:lang w:val="fr-CH"/>
        </w:rPr>
        <w:t>bshea@ohchr.org</w:t>
      </w:r>
    </w:hyperlink>
  </w:p>
  <w:p w14:paraId="639F8079" w14:textId="77777777" w:rsidR="005B2C83" w:rsidRDefault="005B2C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770"/>
    <w:multiLevelType w:val="hybridMultilevel"/>
    <w:tmpl w:val="C1F0A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80E75"/>
    <w:multiLevelType w:val="hybridMultilevel"/>
    <w:tmpl w:val="9384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36509"/>
    <w:multiLevelType w:val="hybridMultilevel"/>
    <w:tmpl w:val="9ED8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D45E71"/>
    <w:multiLevelType w:val="hybridMultilevel"/>
    <w:tmpl w:val="9B2C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C20504"/>
    <w:multiLevelType w:val="hybridMultilevel"/>
    <w:tmpl w:val="E4FAC5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351AA3"/>
    <w:multiLevelType w:val="hybridMultilevel"/>
    <w:tmpl w:val="43EC1B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E22758"/>
    <w:multiLevelType w:val="hybridMultilevel"/>
    <w:tmpl w:val="9384B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05301B"/>
    <w:multiLevelType w:val="hybridMultilevel"/>
    <w:tmpl w:val="528C4EBC"/>
    <w:lvl w:ilvl="0" w:tplc="03A65298">
      <w:start w:val="1"/>
      <w:numFmt w:val="upperLetter"/>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3A3BB6"/>
    <w:multiLevelType w:val="hybridMultilevel"/>
    <w:tmpl w:val="FE00F8B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9" w15:restartNumberingAfterBreak="0">
    <w:nsid w:val="144A2209"/>
    <w:multiLevelType w:val="hybridMultilevel"/>
    <w:tmpl w:val="B792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478FB"/>
    <w:multiLevelType w:val="hybridMultilevel"/>
    <w:tmpl w:val="10AA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0579A3"/>
    <w:multiLevelType w:val="hybridMultilevel"/>
    <w:tmpl w:val="557E1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96322A"/>
    <w:multiLevelType w:val="hybridMultilevel"/>
    <w:tmpl w:val="2F400C90"/>
    <w:lvl w:ilvl="0" w:tplc="27648DA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386AF7"/>
    <w:multiLevelType w:val="hybridMultilevel"/>
    <w:tmpl w:val="5150F074"/>
    <w:lvl w:ilvl="0" w:tplc="27648DA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623237"/>
    <w:multiLevelType w:val="hybridMultilevel"/>
    <w:tmpl w:val="A46A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C34493"/>
    <w:multiLevelType w:val="hybridMultilevel"/>
    <w:tmpl w:val="2056CDC2"/>
    <w:lvl w:ilvl="0" w:tplc="27648D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D936E3"/>
    <w:multiLevelType w:val="hybridMultilevel"/>
    <w:tmpl w:val="A426E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E16AB1"/>
    <w:multiLevelType w:val="hybridMultilevel"/>
    <w:tmpl w:val="F0A20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ED5163"/>
    <w:multiLevelType w:val="hybridMultilevel"/>
    <w:tmpl w:val="228A6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3C6A2D"/>
    <w:multiLevelType w:val="multilevel"/>
    <w:tmpl w:val="2DFC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874286"/>
    <w:multiLevelType w:val="hybridMultilevel"/>
    <w:tmpl w:val="876CC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864771"/>
    <w:multiLevelType w:val="hybridMultilevel"/>
    <w:tmpl w:val="F7228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3B77EE"/>
    <w:multiLevelType w:val="hybridMultilevel"/>
    <w:tmpl w:val="82A4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10332C"/>
    <w:multiLevelType w:val="hybridMultilevel"/>
    <w:tmpl w:val="D8A6E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542A11"/>
    <w:multiLevelType w:val="hybridMultilevel"/>
    <w:tmpl w:val="6C1C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220E37"/>
    <w:multiLevelType w:val="hybridMultilevel"/>
    <w:tmpl w:val="FCB8C954"/>
    <w:lvl w:ilvl="0" w:tplc="4FACCC5E">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9D24D2"/>
    <w:multiLevelType w:val="hybridMultilevel"/>
    <w:tmpl w:val="93FCCC9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402168FE"/>
    <w:multiLevelType w:val="hybridMultilevel"/>
    <w:tmpl w:val="4F5A8ED6"/>
    <w:lvl w:ilvl="0" w:tplc="27648DA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092079"/>
    <w:multiLevelType w:val="hybridMultilevel"/>
    <w:tmpl w:val="AC50F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36713C9"/>
    <w:multiLevelType w:val="hybridMultilevel"/>
    <w:tmpl w:val="8F90074E"/>
    <w:lvl w:ilvl="0" w:tplc="7ABE360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545AA5"/>
    <w:multiLevelType w:val="hybridMultilevel"/>
    <w:tmpl w:val="6414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826D52"/>
    <w:multiLevelType w:val="hybridMultilevel"/>
    <w:tmpl w:val="B64E5EC2"/>
    <w:lvl w:ilvl="0" w:tplc="B00E9806">
      <w:start w:val="1"/>
      <w:numFmt w:val="bullet"/>
      <w:lvlText w:val=""/>
      <w:lvlJc w:val="left"/>
      <w:pPr>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A90C31"/>
    <w:multiLevelType w:val="hybridMultilevel"/>
    <w:tmpl w:val="D486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E979DB"/>
    <w:multiLevelType w:val="hybridMultilevel"/>
    <w:tmpl w:val="23D6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535070"/>
    <w:multiLevelType w:val="hybridMultilevel"/>
    <w:tmpl w:val="59D4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FD11A7"/>
    <w:multiLevelType w:val="hybridMultilevel"/>
    <w:tmpl w:val="B684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F2DF3"/>
    <w:multiLevelType w:val="hybridMultilevel"/>
    <w:tmpl w:val="DA744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B653FC"/>
    <w:multiLevelType w:val="hybridMultilevel"/>
    <w:tmpl w:val="5904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3290F31"/>
    <w:multiLevelType w:val="hybridMultilevel"/>
    <w:tmpl w:val="F82AF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16718B"/>
    <w:multiLevelType w:val="hybridMultilevel"/>
    <w:tmpl w:val="6CCC5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E25738"/>
    <w:multiLevelType w:val="hybridMultilevel"/>
    <w:tmpl w:val="6E1A5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FA5AA3"/>
    <w:multiLevelType w:val="hybridMultilevel"/>
    <w:tmpl w:val="B6DA709E"/>
    <w:lvl w:ilvl="0" w:tplc="27648D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C46BF3"/>
    <w:multiLevelType w:val="hybridMultilevel"/>
    <w:tmpl w:val="9E40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1E5998"/>
    <w:multiLevelType w:val="multilevel"/>
    <w:tmpl w:val="D19C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58630E"/>
    <w:multiLevelType w:val="hybridMultilevel"/>
    <w:tmpl w:val="D382A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A832C5"/>
    <w:multiLevelType w:val="hybridMultilevel"/>
    <w:tmpl w:val="EAB8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944790"/>
    <w:multiLevelType w:val="hybridMultilevel"/>
    <w:tmpl w:val="3FB47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766124"/>
    <w:multiLevelType w:val="hybridMultilevel"/>
    <w:tmpl w:val="E668A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9349AF"/>
    <w:multiLevelType w:val="hybridMultilevel"/>
    <w:tmpl w:val="F2C40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E56E3A"/>
    <w:multiLevelType w:val="hybridMultilevel"/>
    <w:tmpl w:val="660A0808"/>
    <w:lvl w:ilvl="0" w:tplc="66E031A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383039"/>
    <w:multiLevelType w:val="hybridMultilevel"/>
    <w:tmpl w:val="5D44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93B140A"/>
    <w:multiLevelType w:val="hybridMultilevel"/>
    <w:tmpl w:val="E72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5"/>
  </w:num>
  <w:num w:numId="4">
    <w:abstractNumId w:val="27"/>
  </w:num>
  <w:num w:numId="5">
    <w:abstractNumId w:val="41"/>
  </w:num>
  <w:num w:numId="6">
    <w:abstractNumId w:val="5"/>
  </w:num>
  <w:num w:numId="7">
    <w:abstractNumId w:val="43"/>
  </w:num>
  <w:num w:numId="8">
    <w:abstractNumId w:val="19"/>
  </w:num>
  <w:num w:numId="9">
    <w:abstractNumId w:val="1"/>
  </w:num>
  <w:num w:numId="10">
    <w:abstractNumId w:val="33"/>
  </w:num>
  <w:num w:numId="11">
    <w:abstractNumId w:val="50"/>
  </w:num>
  <w:num w:numId="12">
    <w:abstractNumId w:val="40"/>
  </w:num>
  <w:num w:numId="13">
    <w:abstractNumId w:val="10"/>
  </w:num>
  <w:num w:numId="14">
    <w:abstractNumId w:val="34"/>
  </w:num>
  <w:num w:numId="15">
    <w:abstractNumId w:val="45"/>
  </w:num>
  <w:num w:numId="16">
    <w:abstractNumId w:val="18"/>
  </w:num>
  <w:num w:numId="17">
    <w:abstractNumId w:val="16"/>
  </w:num>
  <w:num w:numId="18">
    <w:abstractNumId w:val="30"/>
  </w:num>
  <w:num w:numId="19">
    <w:abstractNumId w:val="48"/>
  </w:num>
  <w:num w:numId="20">
    <w:abstractNumId w:val="51"/>
  </w:num>
  <w:num w:numId="21">
    <w:abstractNumId w:val="0"/>
  </w:num>
  <w:num w:numId="22">
    <w:abstractNumId w:val="44"/>
  </w:num>
  <w:num w:numId="23">
    <w:abstractNumId w:val="39"/>
  </w:num>
  <w:num w:numId="24">
    <w:abstractNumId w:val="23"/>
  </w:num>
  <w:num w:numId="25">
    <w:abstractNumId w:val="22"/>
  </w:num>
  <w:num w:numId="26">
    <w:abstractNumId w:val="31"/>
  </w:num>
  <w:num w:numId="27">
    <w:abstractNumId w:val="9"/>
  </w:num>
  <w:num w:numId="28">
    <w:abstractNumId w:val="14"/>
  </w:num>
  <w:num w:numId="29">
    <w:abstractNumId w:val="29"/>
  </w:num>
  <w:num w:numId="30">
    <w:abstractNumId w:val="25"/>
  </w:num>
  <w:num w:numId="31">
    <w:abstractNumId w:val="47"/>
  </w:num>
  <w:num w:numId="32">
    <w:abstractNumId w:val="24"/>
  </w:num>
  <w:num w:numId="33">
    <w:abstractNumId w:val="20"/>
  </w:num>
  <w:num w:numId="34">
    <w:abstractNumId w:val="17"/>
  </w:num>
  <w:num w:numId="35">
    <w:abstractNumId w:val="38"/>
  </w:num>
  <w:num w:numId="36">
    <w:abstractNumId w:val="32"/>
  </w:num>
  <w:num w:numId="37">
    <w:abstractNumId w:val="11"/>
  </w:num>
  <w:num w:numId="38">
    <w:abstractNumId w:val="6"/>
  </w:num>
  <w:num w:numId="39">
    <w:abstractNumId w:val="21"/>
  </w:num>
  <w:num w:numId="40">
    <w:abstractNumId w:val="7"/>
  </w:num>
  <w:num w:numId="41">
    <w:abstractNumId w:val="7"/>
    <w:lvlOverride w:ilvl="0">
      <w:startOverride w:val="1"/>
    </w:lvlOverride>
  </w:num>
  <w:num w:numId="42">
    <w:abstractNumId w:val="35"/>
  </w:num>
  <w:num w:numId="43">
    <w:abstractNumId w:val="42"/>
  </w:num>
  <w:num w:numId="44">
    <w:abstractNumId w:val="36"/>
  </w:num>
  <w:num w:numId="45">
    <w:abstractNumId w:val="2"/>
  </w:num>
  <w:num w:numId="46">
    <w:abstractNumId w:val="49"/>
  </w:num>
  <w:num w:numId="47">
    <w:abstractNumId w:val="46"/>
  </w:num>
  <w:num w:numId="48">
    <w:abstractNumId w:val="4"/>
  </w:num>
  <w:num w:numId="49">
    <w:abstractNumId w:val="3"/>
  </w:num>
  <w:num w:numId="50">
    <w:abstractNumId w:val="37"/>
  </w:num>
  <w:num w:numId="51">
    <w:abstractNumId w:val="8"/>
  </w:num>
  <w:num w:numId="5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C8"/>
    <w:rsid w:val="0000370D"/>
    <w:rsid w:val="00010D7E"/>
    <w:rsid w:val="00012B96"/>
    <w:rsid w:val="00023111"/>
    <w:rsid w:val="00024770"/>
    <w:rsid w:val="00034F02"/>
    <w:rsid w:val="0003771D"/>
    <w:rsid w:val="00040CD8"/>
    <w:rsid w:val="00047033"/>
    <w:rsid w:val="00052B6C"/>
    <w:rsid w:val="00052B76"/>
    <w:rsid w:val="000577DC"/>
    <w:rsid w:val="000715BF"/>
    <w:rsid w:val="000752E2"/>
    <w:rsid w:val="00080CBE"/>
    <w:rsid w:val="00086D3A"/>
    <w:rsid w:val="00091D52"/>
    <w:rsid w:val="00092C0F"/>
    <w:rsid w:val="000939A2"/>
    <w:rsid w:val="00094DBD"/>
    <w:rsid w:val="00097653"/>
    <w:rsid w:val="00097C4A"/>
    <w:rsid w:val="000A0213"/>
    <w:rsid w:val="000A0E94"/>
    <w:rsid w:val="000A4DE0"/>
    <w:rsid w:val="000D7AC5"/>
    <w:rsid w:val="000E0D39"/>
    <w:rsid w:val="000E1BF9"/>
    <w:rsid w:val="000E5EC8"/>
    <w:rsid w:val="000F3764"/>
    <w:rsid w:val="001015B5"/>
    <w:rsid w:val="00102ED1"/>
    <w:rsid w:val="0010318B"/>
    <w:rsid w:val="001234D5"/>
    <w:rsid w:val="0014195B"/>
    <w:rsid w:val="0015400E"/>
    <w:rsid w:val="001646CF"/>
    <w:rsid w:val="00167421"/>
    <w:rsid w:val="0017109E"/>
    <w:rsid w:val="0017741F"/>
    <w:rsid w:val="00177C32"/>
    <w:rsid w:val="0018458B"/>
    <w:rsid w:val="00184BAB"/>
    <w:rsid w:val="001937A8"/>
    <w:rsid w:val="001A0F49"/>
    <w:rsid w:val="001A17C4"/>
    <w:rsid w:val="001B19C5"/>
    <w:rsid w:val="001D4672"/>
    <w:rsid w:val="001D7BA6"/>
    <w:rsid w:val="001D7E9D"/>
    <w:rsid w:val="001E2508"/>
    <w:rsid w:val="001F7142"/>
    <w:rsid w:val="001F71D0"/>
    <w:rsid w:val="002064C1"/>
    <w:rsid w:val="00206966"/>
    <w:rsid w:val="00222E85"/>
    <w:rsid w:val="00231641"/>
    <w:rsid w:val="00231EA4"/>
    <w:rsid w:val="002366A5"/>
    <w:rsid w:val="00244AB8"/>
    <w:rsid w:val="00250C81"/>
    <w:rsid w:val="00253DC8"/>
    <w:rsid w:val="002559DD"/>
    <w:rsid w:val="00256A1B"/>
    <w:rsid w:val="00271857"/>
    <w:rsid w:val="00273DB6"/>
    <w:rsid w:val="0027584E"/>
    <w:rsid w:val="002963EE"/>
    <w:rsid w:val="002A33C0"/>
    <w:rsid w:val="002A3FF9"/>
    <w:rsid w:val="002A6085"/>
    <w:rsid w:val="002A7E24"/>
    <w:rsid w:val="002B5951"/>
    <w:rsid w:val="002B66C9"/>
    <w:rsid w:val="002C5AB6"/>
    <w:rsid w:val="002C7E63"/>
    <w:rsid w:val="002D5447"/>
    <w:rsid w:val="002D60B1"/>
    <w:rsid w:val="002D6101"/>
    <w:rsid w:val="002D639F"/>
    <w:rsid w:val="002E2FF7"/>
    <w:rsid w:val="002F1F50"/>
    <w:rsid w:val="002F2A82"/>
    <w:rsid w:val="002F3150"/>
    <w:rsid w:val="0030104B"/>
    <w:rsid w:val="003012FE"/>
    <w:rsid w:val="00305D66"/>
    <w:rsid w:val="003073A8"/>
    <w:rsid w:val="003120D9"/>
    <w:rsid w:val="00315D64"/>
    <w:rsid w:val="00317A74"/>
    <w:rsid w:val="00322190"/>
    <w:rsid w:val="00323F96"/>
    <w:rsid w:val="00333738"/>
    <w:rsid w:val="00337A20"/>
    <w:rsid w:val="0034319D"/>
    <w:rsid w:val="003649BE"/>
    <w:rsid w:val="003659E3"/>
    <w:rsid w:val="00366B76"/>
    <w:rsid w:val="00372074"/>
    <w:rsid w:val="00375196"/>
    <w:rsid w:val="00376BB2"/>
    <w:rsid w:val="00376ED5"/>
    <w:rsid w:val="0038181F"/>
    <w:rsid w:val="003A3834"/>
    <w:rsid w:val="003A778D"/>
    <w:rsid w:val="003B6745"/>
    <w:rsid w:val="003C3B0C"/>
    <w:rsid w:val="003C7456"/>
    <w:rsid w:val="003C7CB7"/>
    <w:rsid w:val="003D10DB"/>
    <w:rsid w:val="003D4976"/>
    <w:rsid w:val="003E0B7A"/>
    <w:rsid w:val="003E6D77"/>
    <w:rsid w:val="003F5F6A"/>
    <w:rsid w:val="003F7EAC"/>
    <w:rsid w:val="00402F8A"/>
    <w:rsid w:val="004051E3"/>
    <w:rsid w:val="00407C67"/>
    <w:rsid w:val="004149D2"/>
    <w:rsid w:val="00415F42"/>
    <w:rsid w:val="004254BF"/>
    <w:rsid w:val="00430E92"/>
    <w:rsid w:val="00432CA3"/>
    <w:rsid w:val="004374A6"/>
    <w:rsid w:val="0044607A"/>
    <w:rsid w:val="00452531"/>
    <w:rsid w:val="0045272F"/>
    <w:rsid w:val="00454210"/>
    <w:rsid w:val="004714F7"/>
    <w:rsid w:val="00475689"/>
    <w:rsid w:val="00492285"/>
    <w:rsid w:val="00492E5A"/>
    <w:rsid w:val="004A072A"/>
    <w:rsid w:val="004A409F"/>
    <w:rsid w:val="004D3992"/>
    <w:rsid w:val="004D4A47"/>
    <w:rsid w:val="004D6625"/>
    <w:rsid w:val="004E1EB7"/>
    <w:rsid w:val="004E2153"/>
    <w:rsid w:val="004F39AF"/>
    <w:rsid w:val="00501C41"/>
    <w:rsid w:val="00505507"/>
    <w:rsid w:val="00514311"/>
    <w:rsid w:val="00515450"/>
    <w:rsid w:val="0051778D"/>
    <w:rsid w:val="005422D3"/>
    <w:rsid w:val="00543FDA"/>
    <w:rsid w:val="00546475"/>
    <w:rsid w:val="0055129D"/>
    <w:rsid w:val="00552338"/>
    <w:rsid w:val="0055513F"/>
    <w:rsid w:val="00567369"/>
    <w:rsid w:val="0057256F"/>
    <w:rsid w:val="00585821"/>
    <w:rsid w:val="00586DCB"/>
    <w:rsid w:val="00590204"/>
    <w:rsid w:val="00590DEB"/>
    <w:rsid w:val="00594EB4"/>
    <w:rsid w:val="00596B3B"/>
    <w:rsid w:val="005A06DA"/>
    <w:rsid w:val="005A5A39"/>
    <w:rsid w:val="005A7790"/>
    <w:rsid w:val="005B2C83"/>
    <w:rsid w:val="005B5D6A"/>
    <w:rsid w:val="005C1943"/>
    <w:rsid w:val="005C36B6"/>
    <w:rsid w:val="005C545C"/>
    <w:rsid w:val="005C6D5D"/>
    <w:rsid w:val="005E5905"/>
    <w:rsid w:val="005E690F"/>
    <w:rsid w:val="005F4E01"/>
    <w:rsid w:val="005F6F73"/>
    <w:rsid w:val="006014C7"/>
    <w:rsid w:val="00607CB8"/>
    <w:rsid w:val="00610DF5"/>
    <w:rsid w:val="00613219"/>
    <w:rsid w:val="00614054"/>
    <w:rsid w:val="00614615"/>
    <w:rsid w:val="00615533"/>
    <w:rsid w:val="00621126"/>
    <w:rsid w:val="006244D7"/>
    <w:rsid w:val="006275BC"/>
    <w:rsid w:val="00627C50"/>
    <w:rsid w:val="006343EB"/>
    <w:rsid w:val="00634F26"/>
    <w:rsid w:val="006350A7"/>
    <w:rsid w:val="00635D13"/>
    <w:rsid w:val="0064021A"/>
    <w:rsid w:val="00651D59"/>
    <w:rsid w:val="00651E35"/>
    <w:rsid w:val="00655295"/>
    <w:rsid w:val="00660F0D"/>
    <w:rsid w:val="00671B5B"/>
    <w:rsid w:val="00674FF0"/>
    <w:rsid w:val="00676A7E"/>
    <w:rsid w:val="006801FD"/>
    <w:rsid w:val="006813BB"/>
    <w:rsid w:val="00681E8E"/>
    <w:rsid w:val="006856E3"/>
    <w:rsid w:val="006B34E1"/>
    <w:rsid w:val="006C1082"/>
    <w:rsid w:val="006D2CE3"/>
    <w:rsid w:val="006E3253"/>
    <w:rsid w:val="006F4020"/>
    <w:rsid w:val="006F67B0"/>
    <w:rsid w:val="00700574"/>
    <w:rsid w:val="00704F72"/>
    <w:rsid w:val="00712914"/>
    <w:rsid w:val="00726FAC"/>
    <w:rsid w:val="00742139"/>
    <w:rsid w:val="007449EE"/>
    <w:rsid w:val="00752556"/>
    <w:rsid w:val="00757307"/>
    <w:rsid w:val="00760F77"/>
    <w:rsid w:val="007B7168"/>
    <w:rsid w:val="007C3043"/>
    <w:rsid w:val="007F2DA2"/>
    <w:rsid w:val="0080075A"/>
    <w:rsid w:val="00811B0C"/>
    <w:rsid w:val="00814BE6"/>
    <w:rsid w:val="0082036B"/>
    <w:rsid w:val="00824B50"/>
    <w:rsid w:val="0082593D"/>
    <w:rsid w:val="008269BC"/>
    <w:rsid w:val="00837C03"/>
    <w:rsid w:val="008436F0"/>
    <w:rsid w:val="00854FCC"/>
    <w:rsid w:val="00857F9F"/>
    <w:rsid w:val="00860189"/>
    <w:rsid w:val="00863164"/>
    <w:rsid w:val="00866B9D"/>
    <w:rsid w:val="00873BB6"/>
    <w:rsid w:val="00876731"/>
    <w:rsid w:val="00876D94"/>
    <w:rsid w:val="00882615"/>
    <w:rsid w:val="0088332A"/>
    <w:rsid w:val="00885300"/>
    <w:rsid w:val="00892523"/>
    <w:rsid w:val="00897BE7"/>
    <w:rsid w:val="008A1912"/>
    <w:rsid w:val="008B3F53"/>
    <w:rsid w:val="008B5633"/>
    <w:rsid w:val="008B5BAD"/>
    <w:rsid w:val="008B6AE4"/>
    <w:rsid w:val="008D7EAD"/>
    <w:rsid w:val="008E2A88"/>
    <w:rsid w:val="008F118E"/>
    <w:rsid w:val="008F76BA"/>
    <w:rsid w:val="00900404"/>
    <w:rsid w:val="00903845"/>
    <w:rsid w:val="00904E13"/>
    <w:rsid w:val="00912C0A"/>
    <w:rsid w:val="009165C7"/>
    <w:rsid w:val="00916A62"/>
    <w:rsid w:val="009176F0"/>
    <w:rsid w:val="00924BD9"/>
    <w:rsid w:val="009258D8"/>
    <w:rsid w:val="00926568"/>
    <w:rsid w:val="009352DF"/>
    <w:rsid w:val="00944E2F"/>
    <w:rsid w:val="00945021"/>
    <w:rsid w:val="00956010"/>
    <w:rsid w:val="00971EB5"/>
    <w:rsid w:val="009722A0"/>
    <w:rsid w:val="0098171B"/>
    <w:rsid w:val="009A1ADC"/>
    <w:rsid w:val="009A42BD"/>
    <w:rsid w:val="009A50F7"/>
    <w:rsid w:val="009A6A8E"/>
    <w:rsid w:val="009B27B2"/>
    <w:rsid w:val="009D3D23"/>
    <w:rsid w:val="009D6964"/>
    <w:rsid w:val="00A02AD7"/>
    <w:rsid w:val="00A21725"/>
    <w:rsid w:val="00A25DF4"/>
    <w:rsid w:val="00A34816"/>
    <w:rsid w:val="00A509CE"/>
    <w:rsid w:val="00A5103C"/>
    <w:rsid w:val="00A66166"/>
    <w:rsid w:val="00A705E8"/>
    <w:rsid w:val="00A714E8"/>
    <w:rsid w:val="00A76EB7"/>
    <w:rsid w:val="00A82089"/>
    <w:rsid w:val="00A83A92"/>
    <w:rsid w:val="00A848AA"/>
    <w:rsid w:val="00A865A9"/>
    <w:rsid w:val="00A86F97"/>
    <w:rsid w:val="00A913A0"/>
    <w:rsid w:val="00A923AF"/>
    <w:rsid w:val="00A9353F"/>
    <w:rsid w:val="00A93F95"/>
    <w:rsid w:val="00A94CDE"/>
    <w:rsid w:val="00A960C9"/>
    <w:rsid w:val="00AA57C7"/>
    <w:rsid w:val="00AB0EB6"/>
    <w:rsid w:val="00AB16D9"/>
    <w:rsid w:val="00AB7A02"/>
    <w:rsid w:val="00AD08AC"/>
    <w:rsid w:val="00AD1093"/>
    <w:rsid w:val="00AD7237"/>
    <w:rsid w:val="00AE3C42"/>
    <w:rsid w:val="00AF4CCC"/>
    <w:rsid w:val="00AF65C0"/>
    <w:rsid w:val="00AF7825"/>
    <w:rsid w:val="00B11A92"/>
    <w:rsid w:val="00B12B5E"/>
    <w:rsid w:val="00B13121"/>
    <w:rsid w:val="00B30785"/>
    <w:rsid w:val="00B30D7C"/>
    <w:rsid w:val="00B31717"/>
    <w:rsid w:val="00B3633C"/>
    <w:rsid w:val="00B41B9E"/>
    <w:rsid w:val="00B427AF"/>
    <w:rsid w:val="00B47ACB"/>
    <w:rsid w:val="00B51900"/>
    <w:rsid w:val="00B53C78"/>
    <w:rsid w:val="00B66C59"/>
    <w:rsid w:val="00B80326"/>
    <w:rsid w:val="00B835BB"/>
    <w:rsid w:val="00B91DD0"/>
    <w:rsid w:val="00B93E3D"/>
    <w:rsid w:val="00BA2612"/>
    <w:rsid w:val="00BC251A"/>
    <w:rsid w:val="00BC3C23"/>
    <w:rsid w:val="00BD0531"/>
    <w:rsid w:val="00BD52E4"/>
    <w:rsid w:val="00BD53DC"/>
    <w:rsid w:val="00BD78BA"/>
    <w:rsid w:val="00BE179F"/>
    <w:rsid w:val="00BF5219"/>
    <w:rsid w:val="00C06009"/>
    <w:rsid w:val="00C22031"/>
    <w:rsid w:val="00C254DA"/>
    <w:rsid w:val="00C5233D"/>
    <w:rsid w:val="00C52566"/>
    <w:rsid w:val="00C5257D"/>
    <w:rsid w:val="00C56529"/>
    <w:rsid w:val="00C56D6E"/>
    <w:rsid w:val="00C6035D"/>
    <w:rsid w:val="00C64B00"/>
    <w:rsid w:val="00C651AC"/>
    <w:rsid w:val="00C725D2"/>
    <w:rsid w:val="00C754C6"/>
    <w:rsid w:val="00C76224"/>
    <w:rsid w:val="00C776C9"/>
    <w:rsid w:val="00C77FC1"/>
    <w:rsid w:val="00C9374B"/>
    <w:rsid w:val="00CA4AEB"/>
    <w:rsid w:val="00CB0982"/>
    <w:rsid w:val="00CC5293"/>
    <w:rsid w:val="00CC71AA"/>
    <w:rsid w:val="00CE1F6C"/>
    <w:rsid w:val="00CE5F4A"/>
    <w:rsid w:val="00CE686B"/>
    <w:rsid w:val="00CF1B8E"/>
    <w:rsid w:val="00CF1BBA"/>
    <w:rsid w:val="00CF5F84"/>
    <w:rsid w:val="00CF7BBF"/>
    <w:rsid w:val="00D10E62"/>
    <w:rsid w:val="00D11639"/>
    <w:rsid w:val="00D124FB"/>
    <w:rsid w:val="00D2408C"/>
    <w:rsid w:val="00D328ED"/>
    <w:rsid w:val="00D3341E"/>
    <w:rsid w:val="00D341B0"/>
    <w:rsid w:val="00D40522"/>
    <w:rsid w:val="00D42061"/>
    <w:rsid w:val="00D65C5B"/>
    <w:rsid w:val="00D700E3"/>
    <w:rsid w:val="00D73DA1"/>
    <w:rsid w:val="00D74E21"/>
    <w:rsid w:val="00D80CCA"/>
    <w:rsid w:val="00D80F35"/>
    <w:rsid w:val="00D81A5E"/>
    <w:rsid w:val="00D87865"/>
    <w:rsid w:val="00D95E1B"/>
    <w:rsid w:val="00DA49DA"/>
    <w:rsid w:val="00DB62B5"/>
    <w:rsid w:val="00DC219E"/>
    <w:rsid w:val="00DC5A00"/>
    <w:rsid w:val="00DC623C"/>
    <w:rsid w:val="00DD30F9"/>
    <w:rsid w:val="00DD627D"/>
    <w:rsid w:val="00DD64E4"/>
    <w:rsid w:val="00DE08B8"/>
    <w:rsid w:val="00DE3DCA"/>
    <w:rsid w:val="00DF0BA5"/>
    <w:rsid w:val="00DF3904"/>
    <w:rsid w:val="00DF4F0F"/>
    <w:rsid w:val="00E0024C"/>
    <w:rsid w:val="00E00844"/>
    <w:rsid w:val="00E0215C"/>
    <w:rsid w:val="00E119C7"/>
    <w:rsid w:val="00E21C2F"/>
    <w:rsid w:val="00E3185F"/>
    <w:rsid w:val="00E31DA5"/>
    <w:rsid w:val="00E325A0"/>
    <w:rsid w:val="00E37484"/>
    <w:rsid w:val="00E37C8D"/>
    <w:rsid w:val="00E414C5"/>
    <w:rsid w:val="00E42AA1"/>
    <w:rsid w:val="00E508C0"/>
    <w:rsid w:val="00E55415"/>
    <w:rsid w:val="00E604DF"/>
    <w:rsid w:val="00E70272"/>
    <w:rsid w:val="00E720FD"/>
    <w:rsid w:val="00E76652"/>
    <w:rsid w:val="00E840D7"/>
    <w:rsid w:val="00EA72BB"/>
    <w:rsid w:val="00EA772E"/>
    <w:rsid w:val="00EB368A"/>
    <w:rsid w:val="00EB5198"/>
    <w:rsid w:val="00ED0707"/>
    <w:rsid w:val="00ED2051"/>
    <w:rsid w:val="00ED3ECE"/>
    <w:rsid w:val="00ED69BA"/>
    <w:rsid w:val="00EE3A80"/>
    <w:rsid w:val="00EF1B12"/>
    <w:rsid w:val="00F15310"/>
    <w:rsid w:val="00F165C7"/>
    <w:rsid w:val="00F216F5"/>
    <w:rsid w:val="00F27AAC"/>
    <w:rsid w:val="00F31F13"/>
    <w:rsid w:val="00F3551A"/>
    <w:rsid w:val="00F466B7"/>
    <w:rsid w:val="00F569AA"/>
    <w:rsid w:val="00F6600C"/>
    <w:rsid w:val="00FA43F4"/>
    <w:rsid w:val="00FB1DA8"/>
    <w:rsid w:val="00FB4C8E"/>
    <w:rsid w:val="00FC481A"/>
    <w:rsid w:val="00FC6C1D"/>
    <w:rsid w:val="00FD3029"/>
    <w:rsid w:val="00FD7714"/>
    <w:rsid w:val="00FD7A25"/>
    <w:rsid w:val="00FE318B"/>
    <w:rsid w:val="00FE727F"/>
    <w:rsid w:val="00FF3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9B30E"/>
  <w15:docId w15:val="{7DC5567F-FF24-45F5-901D-EB601C9C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295"/>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DC219E"/>
    <w:pPr>
      <w:keepNext/>
      <w:keepLines/>
      <w:spacing w:before="240"/>
      <w:outlineLvl w:val="0"/>
    </w:pPr>
    <w:rPr>
      <w:rFonts w:eastAsiaTheme="majorEastAsia" w:cstheme="majorBidi"/>
      <w:b/>
      <w:sz w:val="32"/>
      <w:szCs w:val="32"/>
      <w:u w:val="single"/>
    </w:rPr>
  </w:style>
  <w:style w:type="paragraph" w:styleId="Heading2">
    <w:name w:val="heading 2"/>
    <w:basedOn w:val="Normal"/>
    <w:next w:val="Normal"/>
    <w:link w:val="Heading2Char"/>
    <w:uiPriority w:val="9"/>
    <w:unhideWhenUsed/>
    <w:qFormat/>
    <w:rsid w:val="00B3633C"/>
    <w:pPr>
      <w:keepNext/>
      <w:keepLines/>
      <w:numPr>
        <w:numId w:val="40"/>
      </w:numPr>
      <w:spacing w:before="40"/>
      <w:jc w:val="both"/>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FE727F"/>
    <w:pPr>
      <w:keepNext/>
      <w:keepLines/>
      <w:spacing w:before="200"/>
      <w:ind w:left="794"/>
      <w:jc w:val="both"/>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3DC8"/>
    <w:pPr>
      <w:spacing w:before="100" w:beforeAutospacing="1" w:after="100" w:afterAutospacing="1"/>
    </w:pPr>
    <w:rPr>
      <w:rFonts w:eastAsia="Times New Roman" w:cs="Times New Roman"/>
      <w:szCs w:val="24"/>
      <w:lang w:eastAsia="en-GB"/>
    </w:rPr>
  </w:style>
  <w:style w:type="character" w:styleId="Hyperlink">
    <w:name w:val="Hyperlink"/>
    <w:basedOn w:val="DefaultParagraphFont"/>
    <w:uiPriority w:val="99"/>
    <w:unhideWhenUsed/>
    <w:rsid w:val="00253DC8"/>
    <w:rPr>
      <w:color w:val="0000FF"/>
      <w:u w:val="single"/>
    </w:rPr>
  </w:style>
  <w:style w:type="character" w:customStyle="1" w:styleId="docssharedwiztogglelabeledlabeltext">
    <w:name w:val="docssharedwiztogglelabeledlabeltext"/>
    <w:basedOn w:val="DefaultParagraphFont"/>
    <w:rsid w:val="00253DC8"/>
  </w:style>
  <w:style w:type="character" w:customStyle="1" w:styleId="freebirdformviewerviewitemsitemrequiredasterisk">
    <w:name w:val="freebirdformviewerviewitemsitemrequiredasterisk"/>
    <w:basedOn w:val="DefaultParagraphFont"/>
    <w:rsid w:val="00253DC8"/>
  </w:style>
  <w:style w:type="character" w:customStyle="1" w:styleId="Heading1Char">
    <w:name w:val="Heading 1 Char"/>
    <w:basedOn w:val="DefaultParagraphFont"/>
    <w:link w:val="Heading1"/>
    <w:uiPriority w:val="9"/>
    <w:rsid w:val="00DC219E"/>
    <w:rPr>
      <w:rFonts w:ascii="Times New Roman" w:eastAsiaTheme="majorEastAsia" w:hAnsi="Times New Roman" w:cstheme="majorBidi"/>
      <w:b/>
      <w:sz w:val="32"/>
      <w:szCs w:val="32"/>
      <w:u w:val="single"/>
    </w:rPr>
  </w:style>
  <w:style w:type="character" w:customStyle="1" w:styleId="Heading2Char">
    <w:name w:val="Heading 2 Char"/>
    <w:basedOn w:val="DefaultParagraphFont"/>
    <w:link w:val="Heading2"/>
    <w:uiPriority w:val="9"/>
    <w:rsid w:val="00B3633C"/>
    <w:rPr>
      <w:rFonts w:ascii="Times New Roman" w:eastAsiaTheme="majorEastAsia" w:hAnsi="Times New Roman" w:cstheme="majorBidi"/>
      <w:b/>
      <w:sz w:val="26"/>
      <w:szCs w:val="26"/>
    </w:rPr>
  </w:style>
  <w:style w:type="paragraph" w:styleId="ListParagraph">
    <w:name w:val="List Paragraph"/>
    <w:basedOn w:val="Normal"/>
    <w:uiPriority w:val="34"/>
    <w:qFormat/>
    <w:rsid w:val="007F2DA2"/>
    <w:pPr>
      <w:ind w:left="720"/>
      <w:contextualSpacing/>
    </w:pPr>
  </w:style>
  <w:style w:type="character" w:styleId="CommentReference">
    <w:name w:val="annotation reference"/>
    <w:basedOn w:val="DefaultParagraphFont"/>
    <w:uiPriority w:val="99"/>
    <w:semiHidden/>
    <w:unhideWhenUsed/>
    <w:rsid w:val="00515450"/>
    <w:rPr>
      <w:sz w:val="16"/>
      <w:szCs w:val="16"/>
    </w:rPr>
  </w:style>
  <w:style w:type="paragraph" w:styleId="CommentText">
    <w:name w:val="annotation text"/>
    <w:basedOn w:val="Normal"/>
    <w:link w:val="CommentTextChar"/>
    <w:uiPriority w:val="99"/>
    <w:semiHidden/>
    <w:unhideWhenUsed/>
    <w:rsid w:val="00515450"/>
    <w:rPr>
      <w:sz w:val="20"/>
      <w:szCs w:val="20"/>
    </w:rPr>
  </w:style>
  <w:style w:type="character" w:customStyle="1" w:styleId="CommentTextChar">
    <w:name w:val="Comment Text Char"/>
    <w:basedOn w:val="DefaultParagraphFont"/>
    <w:link w:val="CommentText"/>
    <w:uiPriority w:val="99"/>
    <w:semiHidden/>
    <w:rsid w:val="00515450"/>
    <w:rPr>
      <w:sz w:val="20"/>
      <w:szCs w:val="20"/>
    </w:rPr>
  </w:style>
  <w:style w:type="paragraph" w:styleId="CommentSubject">
    <w:name w:val="annotation subject"/>
    <w:basedOn w:val="CommentText"/>
    <w:next w:val="CommentText"/>
    <w:link w:val="CommentSubjectChar"/>
    <w:uiPriority w:val="99"/>
    <w:semiHidden/>
    <w:unhideWhenUsed/>
    <w:rsid w:val="00515450"/>
    <w:rPr>
      <w:b/>
      <w:bCs/>
    </w:rPr>
  </w:style>
  <w:style w:type="character" w:customStyle="1" w:styleId="CommentSubjectChar">
    <w:name w:val="Comment Subject Char"/>
    <w:basedOn w:val="CommentTextChar"/>
    <w:link w:val="CommentSubject"/>
    <w:uiPriority w:val="99"/>
    <w:semiHidden/>
    <w:rsid w:val="00515450"/>
    <w:rPr>
      <w:b/>
      <w:bCs/>
      <w:sz w:val="20"/>
      <w:szCs w:val="20"/>
    </w:rPr>
  </w:style>
  <w:style w:type="paragraph" w:styleId="BalloonText">
    <w:name w:val="Balloon Text"/>
    <w:basedOn w:val="Normal"/>
    <w:link w:val="BalloonTextChar"/>
    <w:uiPriority w:val="99"/>
    <w:semiHidden/>
    <w:unhideWhenUsed/>
    <w:rsid w:val="005154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450"/>
    <w:rPr>
      <w:rFonts w:ascii="Segoe UI" w:hAnsi="Segoe UI" w:cs="Segoe UI"/>
      <w:sz w:val="18"/>
      <w:szCs w:val="18"/>
    </w:rPr>
  </w:style>
  <w:style w:type="paragraph" w:styleId="Revision">
    <w:name w:val="Revision"/>
    <w:hidden/>
    <w:uiPriority w:val="99"/>
    <w:semiHidden/>
    <w:rsid w:val="00CF5F84"/>
    <w:pPr>
      <w:spacing w:after="0" w:line="240" w:lineRule="auto"/>
    </w:pPr>
  </w:style>
  <w:style w:type="paragraph" w:styleId="Header">
    <w:name w:val="header"/>
    <w:basedOn w:val="Normal"/>
    <w:link w:val="HeaderChar"/>
    <w:uiPriority w:val="99"/>
    <w:unhideWhenUsed/>
    <w:rsid w:val="008436F0"/>
    <w:pPr>
      <w:tabs>
        <w:tab w:val="center" w:pos="4513"/>
        <w:tab w:val="right" w:pos="9026"/>
      </w:tabs>
    </w:pPr>
  </w:style>
  <w:style w:type="character" w:customStyle="1" w:styleId="HeaderChar">
    <w:name w:val="Header Char"/>
    <w:basedOn w:val="DefaultParagraphFont"/>
    <w:link w:val="Header"/>
    <w:uiPriority w:val="99"/>
    <w:rsid w:val="008436F0"/>
  </w:style>
  <w:style w:type="paragraph" w:styleId="Footer">
    <w:name w:val="footer"/>
    <w:basedOn w:val="Normal"/>
    <w:link w:val="FooterChar"/>
    <w:uiPriority w:val="99"/>
    <w:unhideWhenUsed/>
    <w:rsid w:val="008436F0"/>
    <w:pPr>
      <w:tabs>
        <w:tab w:val="center" w:pos="4513"/>
        <w:tab w:val="right" w:pos="9026"/>
      </w:tabs>
    </w:pPr>
  </w:style>
  <w:style w:type="character" w:customStyle="1" w:styleId="FooterChar">
    <w:name w:val="Footer Char"/>
    <w:basedOn w:val="DefaultParagraphFont"/>
    <w:link w:val="Footer"/>
    <w:uiPriority w:val="99"/>
    <w:rsid w:val="008436F0"/>
  </w:style>
  <w:style w:type="character" w:customStyle="1" w:styleId="Heading3Char">
    <w:name w:val="Heading 3 Char"/>
    <w:basedOn w:val="DefaultParagraphFont"/>
    <w:link w:val="Heading3"/>
    <w:uiPriority w:val="9"/>
    <w:rsid w:val="00FE727F"/>
    <w:rPr>
      <w:rFonts w:ascii="Times New Roman" w:eastAsiaTheme="majorEastAsia" w:hAnsi="Times New Roman" w:cstheme="majorBidi"/>
      <w:b/>
      <w:bCs/>
      <w:i/>
      <w:sz w:val="24"/>
    </w:rPr>
  </w:style>
  <w:style w:type="character" w:styleId="Strong">
    <w:name w:val="Strong"/>
    <w:basedOn w:val="DefaultParagraphFont"/>
    <w:uiPriority w:val="22"/>
    <w:qFormat/>
    <w:rsid w:val="004254BF"/>
    <w:rPr>
      <w:b/>
      <w:bCs/>
    </w:rPr>
  </w:style>
  <w:style w:type="character" w:styleId="FollowedHyperlink">
    <w:name w:val="FollowedHyperlink"/>
    <w:basedOn w:val="DefaultParagraphFont"/>
    <w:uiPriority w:val="99"/>
    <w:semiHidden/>
    <w:unhideWhenUsed/>
    <w:rsid w:val="004254BF"/>
    <w:rPr>
      <w:color w:val="954F72" w:themeColor="followedHyperlink"/>
      <w:u w:val="single"/>
    </w:rPr>
  </w:style>
  <w:style w:type="table" w:styleId="TableGrid">
    <w:name w:val="Table Grid"/>
    <w:basedOn w:val="TableNormal"/>
    <w:uiPriority w:val="59"/>
    <w:rsid w:val="00425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254BF"/>
    <w:rPr>
      <w:sz w:val="20"/>
      <w:szCs w:val="20"/>
    </w:rPr>
  </w:style>
  <w:style w:type="character" w:customStyle="1" w:styleId="FootnoteTextChar">
    <w:name w:val="Footnote Text Char"/>
    <w:basedOn w:val="DefaultParagraphFont"/>
    <w:link w:val="FootnoteText"/>
    <w:uiPriority w:val="99"/>
    <w:semiHidden/>
    <w:rsid w:val="004254BF"/>
    <w:rPr>
      <w:sz w:val="20"/>
      <w:szCs w:val="20"/>
    </w:rPr>
  </w:style>
  <w:style w:type="character" w:styleId="FootnoteReference">
    <w:name w:val="footnote reference"/>
    <w:basedOn w:val="DefaultParagraphFont"/>
    <w:uiPriority w:val="99"/>
    <w:semiHidden/>
    <w:unhideWhenUsed/>
    <w:rsid w:val="004254BF"/>
    <w:rPr>
      <w:vertAlign w:val="superscript"/>
    </w:rPr>
  </w:style>
  <w:style w:type="table" w:styleId="LightShading-Accent1">
    <w:name w:val="Light Shading Accent 1"/>
    <w:basedOn w:val="TableNormal"/>
    <w:uiPriority w:val="60"/>
    <w:rsid w:val="004254BF"/>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OC1">
    <w:name w:val="toc 1"/>
    <w:basedOn w:val="Normal"/>
    <w:next w:val="Normal"/>
    <w:autoRedefine/>
    <w:uiPriority w:val="39"/>
    <w:unhideWhenUsed/>
    <w:rsid w:val="00BD52E4"/>
    <w:pPr>
      <w:spacing w:after="100"/>
    </w:pPr>
  </w:style>
  <w:style w:type="paragraph" w:styleId="TOC2">
    <w:name w:val="toc 2"/>
    <w:basedOn w:val="Normal"/>
    <w:next w:val="Normal"/>
    <w:autoRedefine/>
    <w:uiPriority w:val="39"/>
    <w:unhideWhenUsed/>
    <w:rsid w:val="0027584E"/>
    <w:pPr>
      <w:tabs>
        <w:tab w:val="left" w:pos="880"/>
        <w:tab w:val="right" w:leader="dot" w:pos="9016"/>
      </w:tabs>
      <w:spacing w:after="100"/>
      <w:ind w:left="238" w:right="23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7670">
      <w:bodyDiv w:val="1"/>
      <w:marLeft w:val="0"/>
      <w:marRight w:val="0"/>
      <w:marTop w:val="0"/>
      <w:marBottom w:val="0"/>
      <w:divBdr>
        <w:top w:val="none" w:sz="0" w:space="0" w:color="auto"/>
        <w:left w:val="none" w:sz="0" w:space="0" w:color="auto"/>
        <w:bottom w:val="none" w:sz="0" w:space="0" w:color="auto"/>
        <w:right w:val="none" w:sz="0" w:space="0" w:color="auto"/>
      </w:divBdr>
      <w:divsChild>
        <w:div w:id="856189661">
          <w:marLeft w:val="0"/>
          <w:marRight w:val="0"/>
          <w:marTop w:val="0"/>
          <w:marBottom w:val="0"/>
          <w:divBdr>
            <w:top w:val="none" w:sz="0" w:space="0" w:color="auto"/>
            <w:left w:val="none" w:sz="0" w:space="0" w:color="auto"/>
            <w:bottom w:val="none" w:sz="0" w:space="0" w:color="auto"/>
            <w:right w:val="none" w:sz="0" w:space="0" w:color="auto"/>
          </w:divBdr>
          <w:divsChild>
            <w:div w:id="12659579">
              <w:marLeft w:val="0"/>
              <w:marRight w:val="0"/>
              <w:marTop w:val="0"/>
              <w:marBottom w:val="330"/>
              <w:divBdr>
                <w:top w:val="none" w:sz="0" w:space="0" w:color="auto"/>
                <w:left w:val="none" w:sz="0" w:space="0" w:color="auto"/>
                <w:bottom w:val="none" w:sz="0" w:space="0" w:color="auto"/>
                <w:right w:val="none" w:sz="0" w:space="0" w:color="auto"/>
              </w:divBdr>
              <w:divsChild>
                <w:div w:id="164746717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261567802">
          <w:marLeft w:val="0"/>
          <w:marRight w:val="0"/>
          <w:marTop w:val="0"/>
          <w:marBottom w:val="0"/>
          <w:divBdr>
            <w:top w:val="none" w:sz="0" w:space="0" w:color="auto"/>
            <w:left w:val="none" w:sz="0" w:space="0" w:color="auto"/>
            <w:bottom w:val="none" w:sz="0" w:space="0" w:color="auto"/>
            <w:right w:val="none" w:sz="0" w:space="0" w:color="auto"/>
          </w:divBdr>
          <w:divsChild>
            <w:div w:id="630787179">
              <w:marLeft w:val="0"/>
              <w:marRight w:val="0"/>
              <w:marTop w:val="30"/>
              <w:marBottom w:val="0"/>
              <w:divBdr>
                <w:top w:val="none" w:sz="0" w:space="0" w:color="auto"/>
                <w:left w:val="none" w:sz="0" w:space="0" w:color="auto"/>
                <w:bottom w:val="none" w:sz="0" w:space="0" w:color="auto"/>
                <w:right w:val="none" w:sz="0" w:space="0" w:color="auto"/>
              </w:divBdr>
              <w:divsChild>
                <w:div w:id="1071345718">
                  <w:marLeft w:val="-510"/>
                  <w:marRight w:val="0"/>
                  <w:marTop w:val="0"/>
                  <w:marBottom w:val="0"/>
                  <w:divBdr>
                    <w:top w:val="none" w:sz="0" w:space="0" w:color="auto"/>
                    <w:left w:val="none" w:sz="0" w:space="0" w:color="auto"/>
                    <w:bottom w:val="none" w:sz="0" w:space="0" w:color="auto"/>
                    <w:right w:val="none" w:sz="0" w:space="0" w:color="auto"/>
                  </w:divBdr>
                  <w:divsChild>
                    <w:div w:id="1486512023">
                      <w:marLeft w:val="0"/>
                      <w:marRight w:val="0"/>
                      <w:marTop w:val="0"/>
                      <w:marBottom w:val="0"/>
                      <w:divBdr>
                        <w:top w:val="none" w:sz="0" w:space="0" w:color="auto"/>
                        <w:left w:val="none" w:sz="0" w:space="0" w:color="auto"/>
                        <w:bottom w:val="none" w:sz="0" w:space="0" w:color="auto"/>
                        <w:right w:val="none" w:sz="0" w:space="0" w:color="auto"/>
                      </w:divBdr>
                      <w:divsChild>
                        <w:div w:id="13645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0020">
                  <w:marLeft w:val="0"/>
                  <w:marRight w:val="0"/>
                  <w:marTop w:val="330"/>
                  <w:marBottom w:val="0"/>
                  <w:divBdr>
                    <w:top w:val="none" w:sz="0" w:space="0" w:color="auto"/>
                    <w:left w:val="none" w:sz="0" w:space="0" w:color="auto"/>
                    <w:bottom w:val="none" w:sz="0" w:space="0" w:color="auto"/>
                    <w:right w:val="none" w:sz="0" w:space="0" w:color="auto"/>
                  </w:divBdr>
                </w:div>
              </w:divsChild>
            </w:div>
            <w:div w:id="1346245862">
              <w:marLeft w:val="0"/>
              <w:marRight w:val="0"/>
              <w:marTop w:val="30"/>
              <w:marBottom w:val="0"/>
              <w:divBdr>
                <w:top w:val="none" w:sz="0" w:space="0" w:color="auto"/>
                <w:left w:val="none" w:sz="0" w:space="0" w:color="auto"/>
                <w:bottom w:val="none" w:sz="0" w:space="0" w:color="auto"/>
                <w:right w:val="none" w:sz="0" w:space="0" w:color="auto"/>
              </w:divBdr>
              <w:divsChild>
                <w:div w:id="1203783598">
                  <w:marLeft w:val="0"/>
                  <w:marRight w:val="0"/>
                  <w:marTop w:val="0"/>
                  <w:marBottom w:val="0"/>
                  <w:divBdr>
                    <w:top w:val="none" w:sz="0" w:space="0" w:color="auto"/>
                    <w:left w:val="none" w:sz="0" w:space="0" w:color="auto"/>
                    <w:bottom w:val="none" w:sz="0" w:space="0" w:color="auto"/>
                    <w:right w:val="none" w:sz="0" w:space="0" w:color="auto"/>
                  </w:divBdr>
                  <w:divsChild>
                    <w:div w:id="2104182821">
                      <w:marLeft w:val="0"/>
                      <w:marRight w:val="0"/>
                      <w:marTop w:val="0"/>
                      <w:marBottom w:val="0"/>
                      <w:divBdr>
                        <w:top w:val="none" w:sz="0" w:space="0" w:color="auto"/>
                        <w:left w:val="none" w:sz="0" w:space="0" w:color="auto"/>
                        <w:bottom w:val="none" w:sz="0" w:space="0" w:color="auto"/>
                        <w:right w:val="none" w:sz="0" w:space="0" w:color="auto"/>
                      </w:divBdr>
                      <w:divsChild>
                        <w:div w:id="20823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5076">
                  <w:marLeft w:val="0"/>
                  <w:marRight w:val="0"/>
                  <w:marTop w:val="0"/>
                  <w:marBottom w:val="0"/>
                  <w:divBdr>
                    <w:top w:val="none" w:sz="0" w:space="0" w:color="auto"/>
                    <w:left w:val="none" w:sz="0" w:space="0" w:color="auto"/>
                    <w:bottom w:val="none" w:sz="0" w:space="0" w:color="auto"/>
                    <w:right w:val="none" w:sz="0" w:space="0" w:color="auto"/>
                  </w:divBdr>
                  <w:divsChild>
                    <w:div w:id="485632263">
                      <w:marLeft w:val="0"/>
                      <w:marRight w:val="0"/>
                      <w:marTop w:val="0"/>
                      <w:marBottom w:val="0"/>
                      <w:divBdr>
                        <w:top w:val="none" w:sz="0" w:space="0" w:color="auto"/>
                        <w:left w:val="none" w:sz="0" w:space="0" w:color="auto"/>
                        <w:bottom w:val="none" w:sz="0" w:space="0" w:color="auto"/>
                        <w:right w:val="none" w:sz="0" w:space="0" w:color="auto"/>
                      </w:divBdr>
                      <w:divsChild>
                        <w:div w:id="1175682084">
                          <w:marLeft w:val="0"/>
                          <w:marRight w:val="0"/>
                          <w:marTop w:val="120"/>
                          <w:marBottom w:val="0"/>
                          <w:divBdr>
                            <w:top w:val="none" w:sz="0" w:space="0" w:color="auto"/>
                            <w:left w:val="none" w:sz="0" w:space="0" w:color="auto"/>
                            <w:bottom w:val="none" w:sz="0" w:space="0" w:color="auto"/>
                            <w:right w:val="none" w:sz="0" w:space="0" w:color="auto"/>
                          </w:divBdr>
                          <w:divsChild>
                            <w:div w:id="951859746">
                              <w:marLeft w:val="0"/>
                              <w:marRight w:val="0"/>
                              <w:marTop w:val="0"/>
                              <w:marBottom w:val="0"/>
                              <w:divBdr>
                                <w:top w:val="none" w:sz="0" w:space="0" w:color="auto"/>
                                <w:left w:val="none" w:sz="0" w:space="0" w:color="auto"/>
                                <w:bottom w:val="none" w:sz="0" w:space="0" w:color="auto"/>
                                <w:right w:val="none" w:sz="0" w:space="0" w:color="auto"/>
                              </w:divBdr>
                              <w:divsChild>
                                <w:div w:id="689912611">
                                  <w:marLeft w:val="180"/>
                                  <w:marRight w:val="0"/>
                                  <w:marTop w:val="0"/>
                                  <w:marBottom w:val="0"/>
                                  <w:divBdr>
                                    <w:top w:val="none" w:sz="0" w:space="0" w:color="auto"/>
                                    <w:left w:val="none" w:sz="0" w:space="0" w:color="auto"/>
                                    <w:bottom w:val="none" w:sz="0" w:space="0" w:color="auto"/>
                                    <w:right w:val="none" w:sz="0" w:space="0" w:color="auto"/>
                                  </w:divBdr>
                                  <w:divsChild>
                                    <w:div w:id="19870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0351">
                      <w:marLeft w:val="0"/>
                      <w:marRight w:val="0"/>
                      <w:marTop w:val="0"/>
                      <w:marBottom w:val="0"/>
                      <w:divBdr>
                        <w:top w:val="none" w:sz="0" w:space="0" w:color="auto"/>
                        <w:left w:val="none" w:sz="0" w:space="0" w:color="auto"/>
                        <w:bottom w:val="none" w:sz="0" w:space="0" w:color="auto"/>
                        <w:right w:val="none" w:sz="0" w:space="0" w:color="auto"/>
                      </w:divBdr>
                      <w:divsChild>
                        <w:div w:id="1225528538">
                          <w:marLeft w:val="0"/>
                          <w:marRight w:val="0"/>
                          <w:marTop w:val="120"/>
                          <w:marBottom w:val="0"/>
                          <w:divBdr>
                            <w:top w:val="none" w:sz="0" w:space="0" w:color="auto"/>
                            <w:left w:val="none" w:sz="0" w:space="0" w:color="auto"/>
                            <w:bottom w:val="none" w:sz="0" w:space="0" w:color="auto"/>
                            <w:right w:val="none" w:sz="0" w:space="0" w:color="auto"/>
                          </w:divBdr>
                          <w:divsChild>
                            <w:div w:id="1069428157">
                              <w:marLeft w:val="0"/>
                              <w:marRight w:val="0"/>
                              <w:marTop w:val="0"/>
                              <w:marBottom w:val="0"/>
                              <w:divBdr>
                                <w:top w:val="none" w:sz="0" w:space="0" w:color="auto"/>
                                <w:left w:val="none" w:sz="0" w:space="0" w:color="auto"/>
                                <w:bottom w:val="none" w:sz="0" w:space="0" w:color="auto"/>
                                <w:right w:val="none" w:sz="0" w:space="0" w:color="auto"/>
                              </w:divBdr>
                              <w:divsChild>
                                <w:div w:id="1578637539">
                                  <w:marLeft w:val="180"/>
                                  <w:marRight w:val="0"/>
                                  <w:marTop w:val="0"/>
                                  <w:marBottom w:val="0"/>
                                  <w:divBdr>
                                    <w:top w:val="none" w:sz="0" w:space="0" w:color="auto"/>
                                    <w:left w:val="none" w:sz="0" w:space="0" w:color="auto"/>
                                    <w:bottom w:val="none" w:sz="0" w:space="0" w:color="auto"/>
                                    <w:right w:val="none" w:sz="0" w:space="0" w:color="auto"/>
                                  </w:divBdr>
                                  <w:divsChild>
                                    <w:div w:id="20215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28713">
                      <w:marLeft w:val="0"/>
                      <w:marRight w:val="0"/>
                      <w:marTop w:val="0"/>
                      <w:marBottom w:val="0"/>
                      <w:divBdr>
                        <w:top w:val="none" w:sz="0" w:space="0" w:color="auto"/>
                        <w:left w:val="none" w:sz="0" w:space="0" w:color="auto"/>
                        <w:bottom w:val="none" w:sz="0" w:space="0" w:color="auto"/>
                        <w:right w:val="none" w:sz="0" w:space="0" w:color="auto"/>
                      </w:divBdr>
                      <w:divsChild>
                        <w:div w:id="1322193679">
                          <w:marLeft w:val="0"/>
                          <w:marRight w:val="0"/>
                          <w:marTop w:val="120"/>
                          <w:marBottom w:val="0"/>
                          <w:divBdr>
                            <w:top w:val="none" w:sz="0" w:space="0" w:color="auto"/>
                            <w:left w:val="none" w:sz="0" w:space="0" w:color="auto"/>
                            <w:bottom w:val="none" w:sz="0" w:space="0" w:color="auto"/>
                            <w:right w:val="none" w:sz="0" w:space="0" w:color="auto"/>
                          </w:divBdr>
                          <w:divsChild>
                            <w:div w:id="597640289">
                              <w:marLeft w:val="0"/>
                              <w:marRight w:val="0"/>
                              <w:marTop w:val="0"/>
                              <w:marBottom w:val="0"/>
                              <w:divBdr>
                                <w:top w:val="none" w:sz="0" w:space="0" w:color="auto"/>
                                <w:left w:val="none" w:sz="0" w:space="0" w:color="auto"/>
                                <w:bottom w:val="none" w:sz="0" w:space="0" w:color="auto"/>
                                <w:right w:val="none" w:sz="0" w:space="0" w:color="auto"/>
                              </w:divBdr>
                              <w:divsChild>
                                <w:div w:id="1851068101">
                                  <w:marLeft w:val="180"/>
                                  <w:marRight w:val="0"/>
                                  <w:marTop w:val="0"/>
                                  <w:marBottom w:val="0"/>
                                  <w:divBdr>
                                    <w:top w:val="none" w:sz="0" w:space="0" w:color="auto"/>
                                    <w:left w:val="none" w:sz="0" w:space="0" w:color="auto"/>
                                    <w:bottom w:val="none" w:sz="0" w:space="0" w:color="auto"/>
                                    <w:right w:val="none" w:sz="0" w:space="0" w:color="auto"/>
                                  </w:divBdr>
                                  <w:divsChild>
                                    <w:div w:id="16665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956665">
                      <w:marLeft w:val="0"/>
                      <w:marRight w:val="0"/>
                      <w:marTop w:val="0"/>
                      <w:marBottom w:val="0"/>
                      <w:divBdr>
                        <w:top w:val="none" w:sz="0" w:space="0" w:color="auto"/>
                        <w:left w:val="none" w:sz="0" w:space="0" w:color="auto"/>
                        <w:bottom w:val="none" w:sz="0" w:space="0" w:color="auto"/>
                        <w:right w:val="none" w:sz="0" w:space="0" w:color="auto"/>
                      </w:divBdr>
                      <w:divsChild>
                        <w:div w:id="1284650256">
                          <w:marLeft w:val="0"/>
                          <w:marRight w:val="0"/>
                          <w:marTop w:val="120"/>
                          <w:marBottom w:val="0"/>
                          <w:divBdr>
                            <w:top w:val="none" w:sz="0" w:space="0" w:color="auto"/>
                            <w:left w:val="none" w:sz="0" w:space="0" w:color="auto"/>
                            <w:bottom w:val="none" w:sz="0" w:space="0" w:color="auto"/>
                            <w:right w:val="none" w:sz="0" w:space="0" w:color="auto"/>
                          </w:divBdr>
                          <w:divsChild>
                            <w:div w:id="1712458755">
                              <w:marLeft w:val="0"/>
                              <w:marRight w:val="0"/>
                              <w:marTop w:val="0"/>
                              <w:marBottom w:val="0"/>
                              <w:divBdr>
                                <w:top w:val="none" w:sz="0" w:space="0" w:color="auto"/>
                                <w:left w:val="none" w:sz="0" w:space="0" w:color="auto"/>
                                <w:bottom w:val="none" w:sz="0" w:space="0" w:color="auto"/>
                                <w:right w:val="none" w:sz="0" w:space="0" w:color="auto"/>
                              </w:divBdr>
                              <w:divsChild>
                                <w:div w:id="1069115251">
                                  <w:marLeft w:val="0"/>
                                  <w:marRight w:val="0"/>
                                  <w:marTop w:val="0"/>
                                  <w:marBottom w:val="0"/>
                                  <w:divBdr>
                                    <w:top w:val="none" w:sz="0" w:space="0" w:color="auto"/>
                                    <w:left w:val="none" w:sz="0" w:space="0" w:color="auto"/>
                                    <w:bottom w:val="none" w:sz="0" w:space="0" w:color="auto"/>
                                    <w:right w:val="none" w:sz="0" w:space="0" w:color="auto"/>
                                  </w:divBdr>
                                  <w:divsChild>
                                    <w:div w:id="264308464">
                                      <w:marLeft w:val="180"/>
                                      <w:marRight w:val="0"/>
                                      <w:marTop w:val="0"/>
                                      <w:marBottom w:val="0"/>
                                      <w:divBdr>
                                        <w:top w:val="none" w:sz="0" w:space="0" w:color="auto"/>
                                        <w:left w:val="none" w:sz="0" w:space="0" w:color="auto"/>
                                        <w:bottom w:val="none" w:sz="0" w:space="0" w:color="auto"/>
                                        <w:right w:val="none" w:sz="0" w:space="0" w:color="auto"/>
                                      </w:divBdr>
                                      <w:divsChild>
                                        <w:div w:id="8715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2287">
                                  <w:marLeft w:val="180"/>
                                  <w:marRight w:val="0"/>
                                  <w:marTop w:val="0"/>
                                  <w:marBottom w:val="0"/>
                                  <w:divBdr>
                                    <w:top w:val="none" w:sz="0" w:space="0" w:color="auto"/>
                                    <w:left w:val="none" w:sz="0" w:space="0" w:color="auto"/>
                                    <w:bottom w:val="none" w:sz="0" w:space="0" w:color="auto"/>
                                    <w:right w:val="none" w:sz="0" w:space="0" w:color="auto"/>
                                  </w:divBdr>
                                  <w:divsChild>
                                    <w:div w:id="1117605220">
                                      <w:marLeft w:val="0"/>
                                      <w:marRight w:val="0"/>
                                      <w:marTop w:val="0"/>
                                      <w:marBottom w:val="0"/>
                                      <w:divBdr>
                                        <w:top w:val="none" w:sz="0" w:space="0" w:color="auto"/>
                                        <w:left w:val="none" w:sz="0" w:space="0" w:color="auto"/>
                                        <w:bottom w:val="none" w:sz="0" w:space="0" w:color="auto"/>
                                        <w:right w:val="none" w:sz="0" w:space="0" w:color="auto"/>
                                      </w:divBdr>
                                      <w:divsChild>
                                        <w:div w:id="955908725">
                                          <w:marLeft w:val="0"/>
                                          <w:marRight w:val="0"/>
                                          <w:marTop w:val="0"/>
                                          <w:marBottom w:val="0"/>
                                          <w:divBdr>
                                            <w:top w:val="none" w:sz="0" w:space="0" w:color="auto"/>
                                            <w:left w:val="none" w:sz="0" w:space="0" w:color="auto"/>
                                            <w:bottom w:val="none" w:sz="0" w:space="0" w:color="auto"/>
                                            <w:right w:val="none" w:sz="0" w:space="0" w:color="auto"/>
                                          </w:divBdr>
                                          <w:divsChild>
                                            <w:div w:id="11211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919381">
              <w:marLeft w:val="0"/>
              <w:marRight w:val="0"/>
              <w:marTop w:val="30"/>
              <w:marBottom w:val="0"/>
              <w:divBdr>
                <w:top w:val="none" w:sz="0" w:space="0" w:color="auto"/>
                <w:left w:val="none" w:sz="0" w:space="0" w:color="auto"/>
                <w:bottom w:val="none" w:sz="0" w:space="0" w:color="auto"/>
                <w:right w:val="none" w:sz="0" w:space="0" w:color="auto"/>
              </w:divBdr>
              <w:divsChild>
                <w:div w:id="99448513">
                  <w:marLeft w:val="0"/>
                  <w:marRight w:val="0"/>
                  <w:marTop w:val="0"/>
                  <w:marBottom w:val="0"/>
                  <w:divBdr>
                    <w:top w:val="none" w:sz="0" w:space="0" w:color="auto"/>
                    <w:left w:val="none" w:sz="0" w:space="0" w:color="auto"/>
                    <w:bottom w:val="none" w:sz="0" w:space="0" w:color="auto"/>
                    <w:right w:val="none" w:sz="0" w:space="0" w:color="auto"/>
                  </w:divBdr>
                  <w:divsChild>
                    <w:div w:id="705132826">
                      <w:marLeft w:val="0"/>
                      <w:marRight w:val="0"/>
                      <w:marTop w:val="0"/>
                      <w:marBottom w:val="0"/>
                      <w:divBdr>
                        <w:top w:val="none" w:sz="0" w:space="0" w:color="auto"/>
                        <w:left w:val="none" w:sz="0" w:space="0" w:color="auto"/>
                        <w:bottom w:val="none" w:sz="0" w:space="0" w:color="auto"/>
                        <w:right w:val="none" w:sz="0" w:space="0" w:color="auto"/>
                      </w:divBdr>
                      <w:divsChild>
                        <w:div w:id="121716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0289">
                  <w:marLeft w:val="0"/>
                  <w:marRight w:val="0"/>
                  <w:marTop w:val="0"/>
                  <w:marBottom w:val="0"/>
                  <w:divBdr>
                    <w:top w:val="none" w:sz="0" w:space="0" w:color="auto"/>
                    <w:left w:val="none" w:sz="0" w:space="0" w:color="auto"/>
                    <w:bottom w:val="none" w:sz="0" w:space="0" w:color="auto"/>
                    <w:right w:val="none" w:sz="0" w:space="0" w:color="auto"/>
                  </w:divBdr>
                  <w:divsChild>
                    <w:div w:id="1542476567">
                      <w:marLeft w:val="0"/>
                      <w:marRight w:val="0"/>
                      <w:marTop w:val="0"/>
                      <w:marBottom w:val="0"/>
                      <w:divBdr>
                        <w:top w:val="none" w:sz="0" w:space="0" w:color="auto"/>
                        <w:left w:val="none" w:sz="0" w:space="0" w:color="auto"/>
                        <w:bottom w:val="none" w:sz="0" w:space="0" w:color="auto"/>
                        <w:right w:val="none" w:sz="0" w:space="0" w:color="auto"/>
                      </w:divBdr>
                      <w:divsChild>
                        <w:div w:id="132138625">
                          <w:marLeft w:val="0"/>
                          <w:marRight w:val="0"/>
                          <w:marTop w:val="0"/>
                          <w:marBottom w:val="0"/>
                          <w:divBdr>
                            <w:top w:val="none" w:sz="0" w:space="0" w:color="auto"/>
                            <w:left w:val="none" w:sz="0" w:space="0" w:color="auto"/>
                            <w:bottom w:val="none" w:sz="0" w:space="0" w:color="auto"/>
                            <w:right w:val="none" w:sz="0" w:space="0" w:color="auto"/>
                          </w:divBdr>
                        </w:div>
                        <w:div w:id="18108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15378">
              <w:marLeft w:val="0"/>
              <w:marRight w:val="0"/>
              <w:marTop w:val="30"/>
              <w:marBottom w:val="0"/>
              <w:divBdr>
                <w:top w:val="none" w:sz="0" w:space="0" w:color="auto"/>
                <w:left w:val="none" w:sz="0" w:space="0" w:color="auto"/>
                <w:bottom w:val="none" w:sz="0" w:space="0" w:color="auto"/>
                <w:right w:val="none" w:sz="0" w:space="0" w:color="auto"/>
              </w:divBdr>
              <w:divsChild>
                <w:div w:id="1558055105">
                  <w:marLeft w:val="0"/>
                  <w:marRight w:val="0"/>
                  <w:marTop w:val="0"/>
                  <w:marBottom w:val="0"/>
                  <w:divBdr>
                    <w:top w:val="none" w:sz="0" w:space="0" w:color="auto"/>
                    <w:left w:val="none" w:sz="0" w:space="0" w:color="auto"/>
                    <w:bottom w:val="none" w:sz="0" w:space="0" w:color="auto"/>
                    <w:right w:val="none" w:sz="0" w:space="0" w:color="auto"/>
                  </w:divBdr>
                  <w:divsChild>
                    <w:div w:id="490298817">
                      <w:marLeft w:val="0"/>
                      <w:marRight w:val="0"/>
                      <w:marTop w:val="0"/>
                      <w:marBottom w:val="0"/>
                      <w:divBdr>
                        <w:top w:val="none" w:sz="0" w:space="0" w:color="auto"/>
                        <w:left w:val="none" w:sz="0" w:space="0" w:color="auto"/>
                        <w:bottom w:val="none" w:sz="0" w:space="0" w:color="auto"/>
                        <w:right w:val="none" w:sz="0" w:space="0" w:color="auto"/>
                      </w:divBdr>
                      <w:divsChild>
                        <w:div w:id="1083841249">
                          <w:marLeft w:val="0"/>
                          <w:marRight w:val="0"/>
                          <w:marTop w:val="0"/>
                          <w:marBottom w:val="0"/>
                          <w:divBdr>
                            <w:top w:val="none" w:sz="0" w:space="0" w:color="auto"/>
                            <w:left w:val="none" w:sz="0" w:space="0" w:color="auto"/>
                            <w:bottom w:val="none" w:sz="0" w:space="0" w:color="auto"/>
                            <w:right w:val="none" w:sz="0" w:space="0" w:color="auto"/>
                          </w:divBdr>
                        </w:div>
                        <w:div w:id="9970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2765">
                  <w:marLeft w:val="0"/>
                  <w:marRight w:val="0"/>
                  <w:marTop w:val="0"/>
                  <w:marBottom w:val="0"/>
                  <w:divBdr>
                    <w:top w:val="none" w:sz="0" w:space="0" w:color="auto"/>
                    <w:left w:val="none" w:sz="0" w:space="0" w:color="auto"/>
                    <w:bottom w:val="none" w:sz="0" w:space="0" w:color="auto"/>
                    <w:right w:val="none" w:sz="0" w:space="0" w:color="auto"/>
                  </w:divBdr>
                  <w:divsChild>
                    <w:div w:id="2087604333">
                      <w:marLeft w:val="0"/>
                      <w:marRight w:val="0"/>
                      <w:marTop w:val="0"/>
                      <w:marBottom w:val="0"/>
                      <w:divBdr>
                        <w:top w:val="none" w:sz="0" w:space="0" w:color="auto"/>
                        <w:left w:val="none" w:sz="0" w:space="0" w:color="auto"/>
                        <w:bottom w:val="none" w:sz="0" w:space="0" w:color="auto"/>
                        <w:right w:val="none" w:sz="0" w:space="0" w:color="auto"/>
                      </w:divBdr>
                      <w:divsChild>
                        <w:div w:id="2084066837">
                          <w:marLeft w:val="0"/>
                          <w:marRight w:val="0"/>
                          <w:marTop w:val="0"/>
                          <w:marBottom w:val="0"/>
                          <w:divBdr>
                            <w:top w:val="none" w:sz="0" w:space="0" w:color="auto"/>
                            <w:left w:val="none" w:sz="0" w:space="0" w:color="auto"/>
                            <w:bottom w:val="none" w:sz="0" w:space="0" w:color="auto"/>
                            <w:right w:val="none" w:sz="0" w:space="0" w:color="auto"/>
                          </w:divBdr>
                          <w:divsChild>
                            <w:div w:id="1006008992">
                              <w:marLeft w:val="0"/>
                              <w:marRight w:val="0"/>
                              <w:marTop w:val="0"/>
                              <w:marBottom w:val="0"/>
                              <w:divBdr>
                                <w:top w:val="none" w:sz="0" w:space="0" w:color="auto"/>
                                <w:left w:val="none" w:sz="0" w:space="0" w:color="auto"/>
                                <w:bottom w:val="none" w:sz="0" w:space="0" w:color="auto"/>
                                <w:right w:val="none" w:sz="0" w:space="0" w:color="auto"/>
                              </w:divBdr>
                              <w:divsChild>
                                <w:div w:id="1123577578">
                                  <w:marLeft w:val="0"/>
                                  <w:marRight w:val="0"/>
                                  <w:marTop w:val="0"/>
                                  <w:marBottom w:val="0"/>
                                  <w:divBdr>
                                    <w:top w:val="none" w:sz="0" w:space="0" w:color="auto"/>
                                    <w:left w:val="none" w:sz="0" w:space="0" w:color="auto"/>
                                    <w:bottom w:val="none" w:sz="0" w:space="0" w:color="auto"/>
                                    <w:right w:val="none" w:sz="0" w:space="0" w:color="auto"/>
                                  </w:divBdr>
                                  <w:divsChild>
                                    <w:div w:id="15781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994206">
              <w:marLeft w:val="0"/>
              <w:marRight w:val="0"/>
              <w:marTop w:val="30"/>
              <w:marBottom w:val="0"/>
              <w:divBdr>
                <w:top w:val="none" w:sz="0" w:space="0" w:color="auto"/>
                <w:left w:val="none" w:sz="0" w:space="0" w:color="auto"/>
                <w:bottom w:val="none" w:sz="0" w:space="0" w:color="auto"/>
                <w:right w:val="none" w:sz="0" w:space="0" w:color="auto"/>
              </w:divBdr>
              <w:divsChild>
                <w:div w:id="645740850">
                  <w:marLeft w:val="0"/>
                  <w:marRight w:val="0"/>
                  <w:marTop w:val="0"/>
                  <w:marBottom w:val="0"/>
                  <w:divBdr>
                    <w:top w:val="none" w:sz="0" w:space="0" w:color="auto"/>
                    <w:left w:val="none" w:sz="0" w:space="0" w:color="auto"/>
                    <w:bottom w:val="none" w:sz="0" w:space="0" w:color="auto"/>
                    <w:right w:val="none" w:sz="0" w:space="0" w:color="auto"/>
                  </w:divBdr>
                  <w:divsChild>
                    <w:div w:id="1090853020">
                      <w:marLeft w:val="0"/>
                      <w:marRight w:val="0"/>
                      <w:marTop w:val="0"/>
                      <w:marBottom w:val="0"/>
                      <w:divBdr>
                        <w:top w:val="none" w:sz="0" w:space="0" w:color="auto"/>
                        <w:left w:val="none" w:sz="0" w:space="0" w:color="auto"/>
                        <w:bottom w:val="none" w:sz="0" w:space="0" w:color="auto"/>
                        <w:right w:val="none" w:sz="0" w:space="0" w:color="auto"/>
                      </w:divBdr>
                      <w:divsChild>
                        <w:div w:id="1514145341">
                          <w:marLeft w:val="0"/>
                          <w:marRight w:val="0"/>
                          <w:marTop w:val="0"/>
                          <w:marBottom w:val="0"/>
                          <w:divBdr>
                            <w:top w:val="none" w:sz="0" w:space="0" w:color="auto"/>
                            <w:left w:val="none" w:sz="0" w:space="0" w:color="auto"/>
                            <w:bottom w:val="none" w:sz="0" w:space="0" w:color="auto"/>
                            <w:right w:val="none" w:sz="0" w:space="0" w:color="auto"/>
                          </w:divBdr>
                        </w:div>
                        <w:div w:id="18291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2480">
                  <w:marLeft w:val="0"/>
                  <w:marRight w:val="0"/>
                  <w:marTop w:val="0"/>
                  <w:marBottom w:val="0"/>
                  <w:divBdr>
                    <w:top w:val="none" w:sz="0" w:space="0" w:color="auto"/>
                    <w:left w:val="none" w:sz="0" w:space="0" w:color="auto"/>
                    <w:bottom w:val="none" w:sz="0" w:space="0" w:color="auto"/>
                    <w:right w:val="none" w:sz="0" w:space="0" w:color="auto"/>
                  </w:divBdr>
                  <w:divsChild>
                    <w:div w:id="863179605">
                      <w:marLeft w:val="0"/>
                      <w:marRight w:val="0"/>
                      <w:marTop w:val="0"/>
                      <w:marBottom w:val="0"/>
                      <w:divBdr>
                        <w:top w:val="none" w:sz="0" w:space="0" w:color="auto"/>
                        <w:left w:val="none" w:sz="0" w:space="0" w:color="auto"/>
                        <w:bottom w:val="none" w:sz="0" w:space="0" w:color="auto"/>
                        <w:right w:val="none" w:sz="0" w:space="0" w:color="auto"/>
                      </w:divBdr>
                      <w:divsChild>
                        <w:div w:id="2009360696">
                          <w:marLeft w:val="0"/>
                          <w:marRight w:val="0"/>
                          <w:marTop w:val="0"/>
                          <w:marBottom w:val="0"/>
                          <w:divBdr>
                            <w:top w:val="none" w:sz="0" w:space="0" w:color="auto"/>
                            <w:left w:val="none" w:sz="0" w:space="0" w:color="auto"/>
                            <w:bottom w:val="none" w:sz="0" w:space="0" w:color="auto"/>
                            <w:right w:val="none" w:sz="0" w:space="0" w:color="auto"/>
                          </w:divBdr>
                          <w:divsChild>
                            <w:div w:id="1617710235">
                              <w:marLeft w:val="0"/>
                              <w:marRight w:val="0"/>
                              <w:marTop w:val="0"/>
                              <w:marBottom w:val="0"/>
                              <w:divBdr>
                                <w:top w:val="none" w:sz="0" w:space="0" w:color="auto"/>
                                <w:left w:val="none" w:sz="0" w:space="0" w:color="auto"/>
                                <w:bottom w:val="none" w:sz="0" w:space="0" w:color="auto"/>
                                <w:right w:val="none" w:sz="0" w:space="0" w:color="auto"/>
                              </w:divBdr>
                              <w:divsChild>
                                <w:div w:id="691683341">
                                  <w:marLeft w:val="0"/>
                                  <w:marRight w:val="0"/>
                                  <w:marTop w:val="0"/>
                                  <w:marBottom w:val="0"/>
                                  <w:divBdr>
                                    <w:top w:val="none" w:sz="0" w:space="0" w:color="auto"/>
                                    <w:left w:val="none" w:sz="0" w:space="0" w:color="auto"/>
                                    <w:bottom w:val="none" w:sz="0" w:space="0" w:color="auto"/>
                                    <w:right w:val="none" w:sz="0" w:space="0" w:color="auto"/>
                                  </w:divBdr>
                                  <w:divsChild>
                                    <w:div w:id="13778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028094">
              <w:marLeft w:val="0"/>
              <w:marRight w:val="0"/>
              <w:marTop w:val="30"/>
              <w:marBottom w:val="0"/>
              <w:divBdr>
                <w:top w:val="none" w:sz="0" w:space="0" w:color="auto"/>
                <w:left w:val="none" w:sz="0" w:space="0" w:color="auto"/>
                <w:bottom w:val="none" w:sz="0" w:space="0" w:color="auto"/>
                <w:right w:val="none" w:sz="0" w:space="0" w:color="auto"/>
              </w:divBdr>
              <w:divsChild>
                <w:div w:id="2069183066">
                  <w:marLeft w:val="0"/>
                  <w:marRight w:val="0"/>
                  <w:marTop w:val="0"/>
                  <w:marBottom w:val="0"/>
                  <w:divBdr>
                    <w:top w:val="none" w:sz="0" w:space="0" w:color="auto"/>
                    <w:left w:val="none" w:sz="0" w:space="0" w:color="auto"/>
                    <w:bottom w:val="none" w:sz="0" w:space="0" w:color="auto"/>
                    <w:right w:val="none" w:sz="0" w:space="0" w:color="auto"/>
                  </w:divBdr>
                  <w:divsChild>
                    <w:div w:id="684016378">
                      <w:marLeft w:val="0"/>
                      <w:marRight w:val="0"/>
                      <w:marTop w:val="0"/>
                      <w:marBottom w:val="0"/>
                      <w:divBdr>
                        <w:top w:val="none" w:sz="0" w:space="0" w:color="auto"/>
                        <w:left w:val="none" w:sz="0" w:space="0" w:color="auto"/>
                        <w:bottom w:val="none" w:sz="0" w:space="0" w:color="auto"/>
                        <w:right w:val="none" w:sz="0" w:space="0" w:color="auto"/>
                      </w:divBdr>
                      <w:divsChild>
                        <w:div w:id="13392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74088">
                  <w:marLeft w:val="0"/>
                  <w:marRight w:val="0"/>
                  <w:marTop w:val="0"/>
                  <w:marBottom w:val="0"/>
                  <w:divBdr>
                    <w:top w:val="none" w:sz="0" w:space="0" w:color="auto"/>
                    <w:left w:val="none" w:sz="0" w:space="0" w:color="auto"/>
                    <w:bottom w:val="none" w:sz="0" w:space="0" w:color="auto"/>
                    <w:right w:val="none" w:sz="0" w:space="0" w:color="auto"/>
                  </w:divBdr>
                  <w:divsChild>
                    <w:div w:id="325130314">
                      <w:marLeft w:val="0"/>
                      <w:marRight w:val="0"/>
                      <w:marTop w:val="0"/>
                      <w:marBottom w:val="0"/>
                      <w:divBdr>
                        <w:top w:val="none" w:sz="0" w:space="0" w:color="auto"/>
                        <w:left w:val="none" w:sz="0" w:space="0" w:color="auto"/>
                        <w:bottom w:val="none" w:sz="0" w:space="0" w:color="auto"/>
                        <w:right w:val="none" w:sz="0" w:space="0" w:color="auto"/>
                      </w:divBdr>
                      <w:divsChild>
                        <w:div w:id="597368691">
                          <w:marLeft w:val="0"/>
                          <w:marRight w:val="0"/>
                          <w:marTop w:val="120"/>
                          <w:marBottom w:val="0"/>
                          <w:divBdr>
                            <w:top w:val="none" w:sz="0" w:space="0" w:color="auto"/>
                            <w:left w:val="none" w:sz="0" w:space="0" w:color="auto"/>
                            <w:bottom w:val="none" w:sz="0" w:space="0" w:color="auto"/>
                            <w:right w:val="none" w:sz="0" w:space="0" w:color="auto"/>
                          </w:divBdr>
                          <w:divsChild>
                            <w:div w:id="678702614">
                              <w:marLeft w:val="0"/>
                              <w:marRight w:val="0"/>
                              <w:marTop w:val="0"/>
                              <w:marBottom w:val="0"/>
                              <w:divBdr>
                                <w:top w:val="none" w:sz="0" w:space="0" w:color="auto"/>
                                <w:left w:val="none" w:sz="0" w:space="0" w:color="auto"/>
                                <w:bottom w:val="none" w:sz="0" w:space="0" w:color="auto"/>
                                <w:right w:val="none" w:sz="0" w:space="0" w:color="auto"/>
                              </w:divBdr>
                              <w:divsChild>
                                <w:div w:id="2035883541">
                                  <w:marLeft w:val="180"/>
                                  <w:marRight w:val="0"/>
                                  <w:marTop w:val="0"/>
                                  <w:marBottom w:val="0"/>
                                  <w:divBdr>
                                    <w:top w:val="none" w:sz="0" w:space="0" w:color="auto"/>
                                    <w:left w:val="none" w:sz="0" w:space="0" w:color="auto"/>
                                    <w:bottom w:val="none" w:sz="0" w:space="0" w:color="auto"/>
                                    <w:right w:val="none" w:sz="0" w:space="0" w:color="auto"/>
                                  </w:divBdr>
                                  <w:divsChild>
                                    <w:div w:id="5642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423368">
                      <w:marLeft w:val="0"/>
                      <w:marRight w:val="0"/>
                      <w:marTop w:val="0"/>
                      <w:marBottom w:val="0"/>
                      <w:divBdr>
                        <w:top w:val="none" w:sz="0" w:space="0" w:color="auto"/>
                        <w:left w:val="none" w:sz="0" w:space="0" w:color="auto"/>
                        <w:bottom w:val="none" w:sz="0" w:space="0" w:color="auto"/>
                        <w:right w:val="none" w:sz="0" w:space="0" w:color="auto"/>
                      </w:divBdr>
                      <w:divsChild>
                        <w:div w:id="1301880311">
                          <w:marLeft w:val="0"/>
                          <w:marRight w:val="0"/>
                          <w:marTop w:val="120"/>
                          <w:marBottom w:val="0"/>
                          <w:divBdr>
                            <w:top w:val="none" w:sz="0" w:space="0" w:color="auto"/>
                            <w:left w:val="none" w:sz="0" w:space="0" w:color="auto"/>
                            <w:bottom w:val="none" w:sz="0" w:space="0" w:color="auto"/>
                            <w:right w:val="none" w:sz="0" w:space="0" w:color="auto"/>
                          </w:divBdr>
                          <w:divsChild>
                            <w:div w:id="1127159108">
                              <w:marLeft w:val="0"/>
                              <w:marRight w:val="0"/>
                              <w:marTop w:val="0"/>
                              <w:marBottom w:val="0"/>
                              <w:divBdr>
                                <w:top w:val="none" w:sz="0" w:space="0" w:color="auto"/>
                                <w:left w:val="none" w:sz="0" w:space="0" w:color="auto"/>
                                <w:bottom w:val="none" w:sz="0" w:space="0" w:color="auto"/>
                                <w:right w:val="none" w:sz="0" w:space="0" w:color="auto"/>
                              </w:divBdr>
                              <w:divsChild>
                                <w:div w:id="387000241">
                                  <w:marLeft w:val="180"/>
                                  <w:marRight w:val="0"/>
                                  <w:marTop w:val="0"/>
                                  <w:marBottom w:val="0"/>
                                  <w:divBdr>
                                    <w:top w:val="none" w:sz="0" w:space="0" w:color="auto"/>
                                    <w:left w:val="none" w:sz="0" w:space="0" w:color="auto"/>
                                    <w:bottom w:val="none" w:sz="0" w:space="0" w:color="auto"/>
                                    <w:right w:val="none" w:sz="0" w:space="0" w:color="auto"/>
                                  </w:divBdr>
                                  <w:divsChild>
                                    <w:div w:id="18713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036905">
                      <w:marLeft w:val="0"/>
                      <w:marRight w:val="0"/>
                      <w:marTop w:val="0"/>
                      <w:marBottom w:val="0"/>
                      <w:divBdr>
                        <w:top w:val="none" w:sz="0" w:space="0" w:color="auto"/>
                        <w:left w:val="none" w:sz="0" w:space="0" w:color="auto"/>
                        <w:bottom w:val="none" w:sz="0" w:space="0" w:color="auto"/>
                        <w:right w:val="none" w:sz="0" w:space="0" w:color="auto"/>
                      </w:divBdr>
                      <w:divsChild>
                        <w:div w:id="582837730">
                          <w:marLeft w:val="0"/>
                          <w:marRight w:val="0"/>
                          <w:marTop w:val="120"/>
                          <w:marBottom w:val="0"/>
                          <w:divBdr>
                            <w:top w:val="none" w:sz="0" w:space="0" w:color="auto"/>
                            <w:left w:val="none" w:sz="0" w:space="0" w:color="auto"/>
                            <w:bottom w:val="none" w:sz="0" w:space="0" w:color="auto"/>
                            <w:right w:val="none" w:sz="0" w:space="0" w:color="auto"/>
                          </w:divBdr>
                          <w:divsChild>
                            <w:div w:id="768163635">
                              <w:marLeft w:val="0"/>
                              <w:marRight w:val="0"/>
                              <w:marTop w:val="0"/>
                              <w:marBottom w:val="0"/>
                              <w:divBdr>
                                <w:top w:val="none" w:sz="0" w:space="0" w:color="auto"/>
                                <w:left w:val="none" w:sz="0" w:space="0" w:color="auto"/>
                                <w:bottom w:val="none" w:sz="0" w:space="0" w:color="auto"/>
                                <w:right w:val="none" w:sz="0" w:space="0" w:color="auto"/>
                              </w:divBdr>
                              <w:divsChild>
                                <w:div w:id="410784377">
                                  <w:marLeft w:val="180"/>
                                  <w:marRight w:val="0"/>
                                  <w:marTop w:val="0"/>
                                  <w:marBottom w:val="0"/>
                                  <w:divBdr>
                                    <w:top w:val="none" w:sz="0" w:space="0" w:color="auto"/>
                                    <w:left w:val="none" w:sz="0" w:space="0" w:color="auto"/>
                                    <w:bottom w:val="none" w:sz="0" w:space="0" w:color="auto"/>
                                    <w:right w:val="none" w:sz="0" w:space="0" w:color="auto"/>
                                  </w:divBdr>
                                  <w:divsChild>
                                    <w:div w:id="21266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726498">
                      <w:marLeft w:val="0"/>
                      <w:marRight w:val="0"/>
                      <w:marTop w:val="0"/>
                      <w:marBottom w:val="0"/>
                      <w:divBdr>
                        <w:top w:val="none" w:sz="0" w:space="0" w:color="auto"/>
                        <w:left w:val="none" w:sz="0" w:space="0" w:color="auto"/>
                        <w:bottom w:val="none" w:sz="0" w:space="0" w:color="auto"/>
                        <w:right w:val="none" w:sz="0" w:space="0" w:color="auto"/>
                      </w:divBdr>
                      <w:divsChild>
                        <w:div w:id="2074427539">
                          <w:marLeft w:val="0"/>
                          <w:marRight w:val="0"/>
                          <w:marTop w:val="120"/>
                          <w:marBottom w:val="0"/>
                          <w:divBdr>
                            <w:top w:val="none" w:sz="0" w:space="0" w:color="auto"/>
                            <w:left w:val="none" w:sz="0" w:space="0" w:color="auto"/>
                            <w:bottom w:val="none" w:sz="0" w:space="0" w:color="auto"/>
                            <w:right w:val="none" w:sz="0" w:space="0" w:color="auto"/>
                          </w:divBdr>
                          <w:divsChild>
                            <w:div w:id="1083382192">
                              <w:marLeft w:val="0"/>
                              <w:marRight w:val="0"/>
                              <w:marTop w:val="0"/>
                              <w:marBottom w:val="0"/>
                              <w:divBdr>
                                <w:top w:val="none" w:sz="0" w:space="0" w:color="auto"/>
                                <w:left w:val="none" w:sz="0" w:space="0" w:color="auto"/>
                                <w:bottom w:val="none" w:sz="0" w:space="0" w:color="auto"/>
                                <w:right w:val="none" w:sz="0" w:space="0" w:color="auto"/>
                              </w:divBdr>
                              <w:divsChild>
                                <w:div w:id="714089069">
                                  <w:marLeft w:val="180"/>
                                  <w:marRight w:val="0"/>
                                  <w:marTop w:val="0"/>
                                  <w:marBottom w:val="0"/>
                                  <w:divBdr>
                                    <w:top w:val="none" w:sz="0" w:space="0" w:color="auto"/>
                                    <w:left w:val="none" w:sz="0" w:space="0" w:color="auto"/>
                                    <w:bottom w:val="none" w:sz="0" w:space="0" w:color="auto"/>
                                    <w:right w:val="none" w:sz="0" w:space="0" w:color="auto"/>
                                  </w:divBdr>
                                  <w:divsChild>
                                    <w:div w:id="146003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76563">
                      <w:marLeft w:val="0"/>
                      <w:marRight w:val="0"/>
                      <w:marTop w:val="0"/>
                      <w:marBottom w:val="0"/>
                      <w:divBdr>
                        <w:top w:val="none" w:sz="0" w:space="0" w:color="auto"/>
                        <w:left w:val="none" w:sz="0" w:space="0" w:color="auto"/>
                        <w:bottom w:val="none" w:sz="0" w:space="0" w:color="auto"/>
                        <w:right w:val="none" w:sz="0" w:space="0" w:color="auto"/>
                      </w:divBdr>
                      <w:divsChild>
                        <w:div w:id="695498258">
                          <w:marLeft w:val="0"/>
                          <w:marRight w:val="0"/>
                          <w:marTop w:val="120"/>
                          <w:marBottom w:val="0"/>
                          <w:divBdr>
                            <w:top w:val="none" w:sz="0" w:space="0" w:color="auto"/>
                            <w:left w:val="none" w:sz="0" w:space="0" w:color="auto"/>
                            <w:bottom w:val="none" w:sz="0" w:space="0" w:color="auto"/>
                            <w:right w:val="none" w:sz="0" w:space="0" w:color="auto"/>
                          </w:divBdr>
                          <w:divsChild>
                            <w:div w:id="1280646537">
                              <w:marLeft w:val="0"/>
                              <w:marRight w:val="0"/>
                              <w:marTop w:val="0"/>
                              <w:marBottom w:val="0"/>
                              <w:divBdr>
                                <w:top w:val="none" w:sz="0" w:space="0" w:color="auto"/>
                                <w:left w:val="none" w:sz="0" w:space="0" w:color="auto"/>
                                <w:bottom w:val="none" w:sz="0" w:space="0" w:color="auto"/>
                                <w:right w:val="none" w:sz="0" w:space="0" w:color="auto"/>
                              </w:divBdr>
                              <w:divsChild>
                                <w:div w:id="214239161">
                                  <w:marLeft w:val="180"/>
                                  <w:marRight w:val="0"/>
                                  <w:marTop w:val="0"/>
                                  <w:marBottom w:val="0"/>
                                  <w:divBdr>
                                    <w:top w:val="none" w:sz="0" w:space="0" w:color="auto"/>
                                    <w:left w:val="none" w:sz="0" w:space="0" w:color="auto"/>
                                    <w:bottom w:val="none" w:sz="0" w:space="0" w:color="auto"/>
                                    <w:right w:val="none" w:sz="0" w:space="0" w:color="auto"/>
                                  </w:divBdr>
                                  <w:divsChild>
                                    <w:div w:id="15548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42106">
                      <w:marLeft w:val="0"/>
                      <w:marRight w:val="0"/>
                      <w:marTop w:val="0"/>
                      <w:marBottom w:val="0"/>
                      <w:divBdr>
                        <w:top w:val="none" w:sz="0" w:space="0" w:color="auto"/>
                        <w:left w:val="none" w:sz="0" w:space="0" w:color="auto"/>
                        <w:bottom w:val="none" w:sz="0" w:space="0" w:color="auto"/>
                        <w:right w:val="none" w:sz="0" w:space="0" w:color="auto"/>
                      </w:divBdr>
                      <w:divsChild>
                        <w:div w:id="572398923">
                          <w:marLeft w:val="0"/>
                          <w:marRight w:val="0"/>
                          <w:marTop w:val="120"/>
                          <w:marBottom w:val="0"/>
                          <w:divBdr>
                            <w:top w:val="none" w:sz="0" w:space="0" w:color="auto"/>
                            <w:left w:val="none" w:sz="0" w:space="0" w:color="auto"/>
                            <w:bottom w:val="none" w:sz="0" w:space="0" w:color="auto"/>
                            <w:right w:val="none" w:sz="0" w:space="0" w:color="auto"/>
                          </w:divBdr>
                          <w:divsChild>
                            <w:div w:id="299263057">
                              <w:marLeft w:val="0"/>
                              <w:marRight w:val="0"/>
                              <w:marTop w:val="0"/>
                              <w:marBottom w:val="0"/>
                              <w:divBdr>
                                <w:top w:val="none" w:sz="0" w:space="0" w:color="auto"/>
                                <w:left w:val="none" w:sz="0" w:space="0" w:color="auto"/>
                                <w:bottom w:val="none" w:sz="0" w:space="0" w:color="auto"/>
                                <w:right w:val="none" w:sz="0" w:space="0" w:color="auto"/>
                              </w:divBdr>
                              <w:divsChild>
                                <w:div w:id="1136609789">
                                  <w:marLeft w:val="180"/>
                                  <w:marRight w:val="0"/>
                                  <w:marTop w:val="0"/>
                                  <w:marBottom w:val="0"/>
                                  <w:divBdr>
                                    <w:top w:val="none" w:sz="0" w:space="0" w:color="auto"/>
                                    <w:left w:val="none" w:sz="0" w:space="0" w:color="auto"/>
                                    <w:bottom w:val="none" w:sz="0" w:space="0" w:color="auto"/>
                                    <w:right w:val="none" w:sz="0" w:space="0" w:color="auto"/>
                                  </w:divBdr>
                                  <w:divsChild>
                                    <w:div w:id="15197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47393">
                      <w:marLeft w:val="0"/>
                      <w:marRight w:val="0"/>
                      <w:marTop w:val="0"/>
                      <w:marBottom w:val="0"/>
                      <w:divBdr>
                        <w:top w:val="none" w:sz="0" w:space="0" w:color="auto"/>
                        <w:left w:val="none" w:sz="0" w:space="0" w:color="auto"/>
                        <w:bottom w:val="none" w:sz="0" w:space="0" w:color="auto"/>
                        <w:right w:val="none" w:sz="0" w:space="0" w:color="auto"/>
                      </w:divBdr>
                      <w:divsChild>
                        <w:div w:id="569854302">
                          <w:marLeft w:val="0"/>
                          <w:marRight w:val="0"/>
                          <w:marTop w:val="120"/>
                          <w:marBottom w:val="0"/>
                          <w:divBdr>
                            <w:top w:val="none" w:sz="0" w:space="0" w:color="auto"/>
                            <w:left w:val="none" w:sz="0" w:space="0" w:color="auto"/>
                            <w:bottom w:val="none" w:sz="0" w:space="0" w:color="auto"/>
                            <w:right w:val="none" w:sz="0" w:space="0" w:color="auto"/>
                          </w:divBdr>
                          <w:divsChild>
                            <w:div w:id="1825051116">
                              <w:marLeft w:val="0"/>
                              <w:marRight w:val="0"/>
                              <w:marTop w:val="0"/>
                              <w:marBottom w:val="0"/>
                              <w:divBdr>
                                <w:top w:val="none" w:sz="0" w:space="0" w:color="auto"/>
                                <w:left w:val="none" w:sz="0" w:space="0" w:color="auto"/>
                                <w:bottom w:val="none" w:sz="0" w:space="0" w:color="auto"/>
                                <w:right w:val="none" w:sz="0" w:space="0" w:color="auto"/>
                              </w:divBdr>
                              <w:divsChild>
                                <w:div w:id="570503925">
                                  <w:marLeft w:val="180"/>
                                  <w:marRight w:val="0"/>
                                  <w:marTop w:val="0"/>
                                  <w:marBottom w:val="0"/>
                                  <w:divBdr>
                                    <w:top w:val="none" w:sz="0" w:space="0" w:color="auto"/>
                                    <w:left w:val="none" w:sz="0" w:space="0" w:color="auto"/>
                                    <w:bottom w:val="none" w:sz="0" w:space="0" w:color="auto"/>
                                    <w:right w:val="none" w:sz="0" w:space="0" w:color="auto"/>
                                  </w:divBdr>
                                  <w:divsChild>
                                    <w:div w:id="15581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797682">
                      <w:marLeft w:val="0"/>
                      <w:marRight w:val="0"/>
                      <w:marTop w:val="0"/>
                      <w:marBottom w:val="0"/>
                      <w:divBdr>
                        <w:top w:val="none" w:sz="0" w:space="0" w:color="auto"/>
                        <w:left w:val="none" w:sz="0" w:space="0" w:color="auto"/>
                        <w:bottom w:val="none" w:sz="0" w:space="0" w:color="auto"/>
                        <w:right w:val="none" w:sz="0" w:space="0" w:color="auto"/>
                      </w:divBdr>
                      <w:divsChild>
                        <w:div w:id="1426925064">
                          <w:marLeft w:val="0"/>
                          <w:marRight w:val="0"/>
                          <w:marTop w:val="120"/>
                          <w:marBottom w:val="0"/>
                          <w:divBdr>
                            <w:top w:val="none" w:sz="0" w:space="0" w:color="auto"/>
                            <w:left w:val="none" w:sz="0" w:space="0" w:color="auto"/>
                            <w:bottom w:val="none" w:sz="0" w:space="0" w:color="auto"/>
                            <w:right w:val="none" w:sz="0" w:space="0" w:color="auto"/>
                          </w:divBdr>
                          <w:divsChild>
                            <w:div w:id="1147816747">
                              <w:marLeft w:val="0"/>
                              <w:marRight w:val="0"/>
                              <w:marTop w:val="0"/>
                              <w:marBottom w:val="0"/>
                              <w:divBdr>
                                <w:top w:val="none" w:sz="0" w:space="0" w:color="auto"/>
                                <w:left w:val="none" w:sz="0" w:space="0" w:color="auto"/>
                                <w:bottom w:val="none" w:sz="0" w:space="0" w:color="auto"/>
                                <w:right w:val="none" w:sz="0" w:space="0" w:color="auto"/>
                              </w:divBdr>
                              <w:divsChild>
                                <w:div w:id="925726017">
                                  <w:marLeft w:val="0"/>
                                  <w:marRight w:val="0"/>
                                  <w:marTop w:val="0"/>
                                  <w:marBottom w:val="0"/>
                                  <w:divBdr>
                                    <w:top w:val="none" w:sz="0" w:space="0" w:color="auto"/>
                                    <w:left w:val="none" w:sz="0" w:space="0" w:color="auto"/>
                                    <w:bottom w:val="none" w:sz="0" w:space="0" w:color="auto"/>
                                    <w:right w:val="none" w:sz="0" w:space="0" w:color="auto"/>
                                  </w:divBdr>
                                  <w:divsChild>
                                    <w:div w:id="732049152">
                                      <w:marLeft w:val="180"/>
                                      <w:marRight w:val="0"/>
                                      <w:marTop w:val="0"/>
                                      <w:marBottom w:val="0"/>
                                      <w:divBdr>
                                        <w:top w:val="none" w:sz="0" w:space="0" w:color="auto"/>
                                        <w:left w:val="none" w:sz="0" w:space="0" w:color="auto"/>
                                        <w:bottom w:val="none" w:sz="0" w:space="0" w:color="auto"/>
                                        <w:right w:val="none" w:sz="0" w:space="0" w:color="auto"/>
                                      </w:divBdr>
                                      <w:divsChild>
                                        <w:div w:id="13460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9669">
                                  <w:marLeft w:val="180"/>
                                  <w:marRight w:val="0"/>
                                  <w:marTop w:val="0"/>
                                  <w:marBottom w:val="0"/>
                                  <w:divBdr>
                                    <w:top w:val="none" w:sz="0" w:space="0" w:color="auto"/>
                                    <w:left w:val="none" w:sz="0" w:space="0" w:color="auto"/>
                                    <w:bottom w:val="none" w:sz="0" w:space="0" w:color="auto"/>
                                    <w:right w:val="none" w:sz="0" w:space="0" w:color="auto"/>
                                  </w:divBdr>
                                  <w:divsChild>
                                    <w:div w:id="965620557">
                                      <w:marLeft w:val="0"/>
                                      <w:marRight w:val="0"/>
                                      <w:marTop w:val="0"/>
                                      <w:marBottom w:val="0"/>
                                      <w:divBdr>
                                        <w:top w:val="none" w:sz="0" w:space="0" w:color="auto"/>
                                        <w:left w:val="none" w:sz="0" w:space="0" w:color="auto"/>
                                        <w:bottom w:val="none" w:sz="0" w:space="0" w:color="auto"/>
                                        <w:right w:val="none" w:sz="0" w:space="0" w:color="auto"/>
                                      </w:divBdr>
                                      <w:divsChild>
                                        <w:div w:id="1177765344">
                                          <w:marLeft w:val="0"/>
                                          <w:marRight w:val="0"/>
                                          <w:marTop w:val="0"/>
                                          <w:marBottom w:val="0"/>
                                          <w:divBdr>
                                            <w:top w:val="none" w:sz="0" w:space="0" w:color="auto"/>
                                            <w:left w:val="none" w:sz="0" w:space="0" w:color="auto"/>
                                            <w:bottom w:val="none" w:sz="0" w:space="0" w:color="auto"/>
                                            <w:right w:val="none" w:sz="0" w:space="0" w:color="auto"/>
                                          </w:divBdr>
                                          <w:divsChild>
                                            <w:div w:id="18000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285005">
              <w:marLeft w:val="0"/>
              <w:marRight w:val="0"/>
              <w:marTop w:val="30"/>
              <w:marBottom w:val="0"/>
              <w:divBdr>
                <w:top w:val="none" w:sz="0" w:space="0" w:color="auto"/>
                <w:left w:val="none" w:sz="0" w:space="0" w:color="auto"/>
                <w:bottom w:val="none" w:sz="0" w:space="0" w:color="auto"/>
                <w:right w:val="none" w:sz="0" w:space="0" w:color="auto"/>
              </w:divBdr>
              <w:divsChild>
                <w:div w:id="1023745883">
                  <w:marLeft w:val="0"/>
                  <w:marRight w:val="0"/>
                  <w:marTop w:val="0"/>
                  <w:marBottom w:val="0"/>
                  <w:divBdr>
                    <w:top w:val="none" w:sz="0" w:space="0" w:color="auto"/>
                    <w:left w:val="none" w:sz="0" w:space="0" w:color="auto"/>
                    <w:bottom w:val="none" w:sz="0" w:space="0" w:color="auto"/>
                    <w:right w:val="none" w:sz="0" w:space="0" w:color="auto"/>
                  </w:divBdr>
                  <w:divsChild>
                    <w:div w:id="22293765">
                      <w:marLeft w:val="0"/>
                      <w:marRight w:val="0"/>
                      <w:marTop w:val="0"/>
                      <w:marBottom w:val="0"/>
                      <w:divBdr>
                        <w:top w:val="none" w:sz="0" w:space="0" w:color="auto"/>
                        <w:left w:val="none" w:sz="0" w:space="0" w:color="auto"/>
                        <w:bottom w:val="none" w:sz="0" w:space="0" w:color="auto"/>
                        <w:right w:val="none" w:sz="0" w:space="0" w:color="auto"/>
                      </w:divBdr>
                      <w:divsChild>
                        <w:div w:id="640423089">
                          <w:marLeft w:val="0"/>
                          <w:marRight w:val="0"/>
                          <w:marTop w:val="0"/>
                          <w:marBottom w:val="0"/>
                          <w:divBdr>
                            <w:top w:val="none" w:sz="0" w:space="0" w:color="auto"/>
                            <w:left w:val="none" w:sz="0" w:space="0" w:color="auto"/>
                            <w:bottom w:val="none" w:sz="0" w:space="0" w:color="auto"/>
                            <w:right w:val="none" w:sz="0" w:space="0" w:color="auto"/>
                          </w:divBdr>
                        </w:div>
                        <w:div w:id="17925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4130">
                  <w:marLeft w:val="0"/>
                  <w:marRight w:val="0"/>
                  <w:marTop w:val="0"/>
                  <w:marBottom w:val="0"/>
                  <w:divBdr>
                    <w:top w:val="none" w:sz="0" w:space="0" w:color="auto"/>
                    <w:left w:val="none" w:sz="0" w:space="0" w:color="auto"/>
                    <w:bottom w:val="none" w:sz="0" w:space="0" w:color="auto"/>
                    <w:right w:val="none" w:sz="0" w:space="0" w:color="auto"/>
                  </w:divBdr>
                  <w:divsChild>
                    <w:div w:id="48040284">
                      <w:marLeft w:val="0"/>
                      <w:marRight w:val="0"/>
                      <w:marTop w:val="0"/>
                      <w:marBottom w:val="0"/>
                      <w:divBdr>
                        <w:top w:val="none" w:sz="0" w:space="0" w:color="auto"/>
                        <w:left w:val="none" w:sz="0" w:space="0" w:color="auto"/>
                        <w:bottom w:val="none" w:sz="0" w:space="0" w:color="auto"/>
                        <w:right w:val="none" w:sz="0" w:space="0" w:color="auto"/>
                      </w:divBdr>
                      <w:divsChild>
                        <w:div w:id="1041436276">
                          <w:marLeft w:val="0"/>
                          <w:marRight w:val="0"/>
                          <w:marTop w:val="0"/>
                          <w:marBottom w:val="0"/>
                          <w:divBdr>
                            <w:top w:val="none" w:sz="0" w:space="0" w:color="auto"/>
                            <w:left w:val="none" w:sz="0" w:space="0" w:color="auto"/>
                            <w:bottom w:val="none" w:sz="0" w:space="0" w:color="auto"/>
                            <w:right w:val="none" w:sz="0" w:space="0" w:color="auto"/>
                          </w:divBdr>
                          <w:divsChild>
                            <w:div w:id="595329983">
                              <w:marLeft w:val="0"/>
                              <w:marRight w:val="0"/>
                              <w:marTop w:val="0"/>
                              <w:marBottom w:val="0"/>
                              <w:divBdr>
                                <w:top w:val="none" w:sz="0" w:space="0" w:color="auto"/>
                                <w:left w:val="none" w:sz="0" w:space="0" w:color="auto"/>
                                <w:bottom w:val="none" w:sz="0" w:space="0" w:color="auto"/>
                                <w:right w:val="none" w:sz="0" w:space="0" w:color="auto"/>
                              </w:divBdr>
                              <w:divsChild>
                                <w:div w:id="2041933923">
                                  <w:marLeft w:val="0"/>
                                  <w:marRight w:val="0"/>
                                  <w:marTop w:val="0"/>
                                  <w:marBottom w:val="0"/>
                                  <w:divBdr>
                                    <w:top w:val="none" w:sz="0" w:space="0" w:color="auto"/>
                                    <w:left w:val="none" w:sz="0" w:space="0" w:color="auto"/>
                                    <w:bottom w:val="none" w:sz="0" w:space="0" w:color="auto"/>
                                    <w:right w:val="none" w:sz="0" w:space="0" w:color="auto"/>
                                  </w:divBdr>
                                  <w:divsChild>
                                    <w:div w:id="211073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943191">
              <w:marLeft w:val="0"/>
              <w:marRight w:val="0"/>
              <w:marTop w:val="30"/>
              <w:marBottom w:val="0"/>
              <w:divBdr>
                <w:top w:val="none" w:sz="0" w:space="0" w:color="auto"/>
                <w:left w:val="none" w:sz="0" w:space="0" w:color="auto"/>
                <w:bottom w:val="none" w:sz="0" w:space="0" w:color="auto"/>
                <w:right w:val="none" w:sz="0" w:space="0" w:color="auto"/>
              </w:divBdr>
              <w:divsChild>
                <w:div w:id="815491252">
                  <w:marLeft w:val="-510"/>
                  <w:marRight w:val="0"/>
                  <w:marTop w:val="0"/>
                  <w:marBottom w:val="0"/>
                  <w:divBdr>
                    <w:top w:val="none" w:sz="0" w:space="0" w:color="auto"/>
                    <w:left w:val="none" w:sz="0" w:space="0" w:color="auto"/>
                    <w:bottom w:val="none" w:sz="0" w:space="0" w:color="auto"/>
                    <w:right w:val="none" w:sz="0" w:space="0" w:color="auto"/>
                  </w:divBdr>
                  <w:divsChild>
                    <w:div w:id="1537890622">
                      <w:marLeft w:val="0"/>
                      <w:marRight w:val="0"/>
                      <w:marTop w:val="0"/>
                      <w:marBottom w:val="0"/>
                      <w:divBdr>
                        <w:top w:val="none" w:sz="0" w:space="0" w:color="auto"/>
                        <w:left w:val="none" w:sz="0" w:space="0" w:color="auto"/>
                        <w:bottom w:val="none" w:sz="0" w:space="0" w:color="auto"/>
                        <w:right w:val="none" w:sz="0" w:space="0" w:color="auto"/>
                      </w:divBdr>
                      <w:divsChild>
                        <w:div w:id="17015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29033">
                  <w:marLeft w:val="0"/>
                  <w:marRight w:val="0"/>
                  <w:marTop w:val="330"/>
                  <w:marBottom w:val="0"/>
                  <w:divBdr>
                    <w:top w:val="none" w:sz="0" w:space="0" w:color="auto"/>
                    <w:left w:val="none" w:sz="0" w:space="0" w:color="auto"/>
                    <w:bottom w:val="none" w:sz="0" w:space="0" w:color="auto"/>
                    <w:right w:val="none" w:sz="0" w:space="0" w:color="auto"/>
                  </w:divBdr>
                </w:div>
              </w:divsChild>
            </w:div>
            <w:div w:id="1834834424">
              <w:marLeft w:val="0"/>
              <w:marRight w:val="0"/>
              <w:marTop w:val="30"/>
              <w:marBottom w:val="0"/>
              <w:divBdr>
                <w:top w:val="none" w:sz="0" w:space="0" w:color="auto"/>
                <w:left w:val="none" w:sz="0" w:space="0" w:color="auto"/>
                <w:bottom w:val="none" w:sz="0" w:space="0" w:color="auto"/>
                <w:right w:val="none" w:sz="0" w:space="0" w:color="auto"/>
              </w:divBdr>
              <w:divsChild>
                <w:div w:id="2041970904">
                  <w:marLeft w:val="0"/>
                  <w:marRight w:val="0"/>
                  <w:marTop w:val="0"/>
                  <w:marBottom w:val="0"/>
                  <w:divBdr>
                    <w:top w:val="none" w:sz="0" w:space="0" w:color="auto"/>
                    <w:left w:val="none" w:sz="0" w:space="0" w:color="auto"/>
                    <w:bottom w:val="none" w:sz="0" w:space="0" w:color="auto"/>
                    <w:right w:val="none" w:sz="0" w:space="0" w:color="auto"/>
                  </w:divBdr>
                  <w:divsChild>
                    <w:div w:id="1603806827">
                      <w:marLeft w:val="0"/>
                      <w:marRight w:val="0"/>
                      <w:marTop w:val="0"/>
                      <w:marBottom w:val="0"/>
                      <w:divBdr>
                        <w:top w:val="none" w:sz="0" w:space="0" w:color="auto"/>
                        <w:left w:val="none" w:sz="0" w:space="0" w:color="auto"/>
                        <w:bottom w:val="none" w:sz="0" w:space="0" w:color="auto"/>
                        <w:right w:val="none" w:sz="0" w:space="0" w:color="auto"/>
                      </w:divBdr>
                      <w:divsChild>
                        <w:div w:id="706759554">
                          <w:marLeft w:val="0"/>
                          <w:marRight w:val="0"/>
                          <w:marTop w:val="0"/>
                          <w:marBottom w:val="0"/>
                          <w:divBdr>
                            <w:top w:val="none" w:sz="0" w:space="0" w:color="auto"/>
                            <w:left w:val="none" w:sz="0" w:space="0" w:color="auto"/>
                            <w:bottom w:val="none" w:sz="0" w:space="0" w:color="auto"/>
                            <w:right w:val="none" w:sz="0" w:space="0" w:color="auto"/>
                          </w:divBdr>
                          <w:divsChild>
                            <w:div w:id="706879874">
                              <w:marLeft w:val="0"/>
                              <w:marRight w:val="0"/>
                              <w:marTop w:val="0"/>
                              <w:marBottom w:val="0"/>
                              <w:divBdr>
                                <w:top w:val="none" w:sz="0" w:space="0" w:color="auto"/>
                                <w:left w:val="none" w:sz="0" w:space="0" w:color="auto"/>
                                <w:bottom w:val="none" w:sz="0" w:space="0" w:color="auto"/>
                                <w:right w:val="none" w:sz="0" w:space="0" w:color="auto"/>
                              </w:divBdr>
                              <w:divsChild>
                                <w:div w:id="1631469563">
                                  <w:marLeft w:val="180"/>
                                  <w:marRight w:val="0"/>
                                  <w:marTop w:val="0"/>
                                  <w:marBottom w:val="0"/>
                                  <w:divBdr>
                                    <w:top w:val="none" w:sz="0" w:space="0" w:color="auto"/>
                                    <w:left w:val="none" w:sz="0" w:space="0" w:color="auto"/>
                                    <w:bottom w:val="none" w:sz="0" w:space="0" w:color="auto"/>
                                    <w:right w:val="none" w:sz="0" w:space="0" w:color="auto"/>
                                  </w:divBdr>
                                  <w:divsChild>
                                    <w:div w:id="16042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8022">
                              <w:marLeft w:val="0"/>
                              <w:marRight w:val="0"/>
                              <w:marTop w:val="0"/>
                              <w:marBottom w:val="0"/>
                              <w:divBdr>
                                <w:top w:val="none" w:sz="0" w:space="0" w:color="auto"/>
                                <w:left w:val="none" w:sz="0" w:space="0" w:color="auto"/>
                                <w:bottom w:val="none" w:sz="0" w:space="0" w:color="auto"/>
                                <w:right w:val="none" w:sz="0" w:space="0" w:color="auto"/>
                              </w:divBdr>
                              <w:divsChild>
                                <w:div w:id="893734778">
                                  <w:marLeft w:val="180"/>
                                  <w:marRight w:val="0"/>
                                  <w:marTop w:val="0"/>
                                  <w:marBottom w:val="0"/>
                                  <w:divBdr>
                                    <w:top w:val="none" w:sz="0" w:space="0" w:color="auto"/>
                                    <w:left w:val="none" w:sz="0" w:space="0" w:color="auto"/>
                                    <w:bottom w:val="none" w:sz="0" w:space="0" w:color="auto"/>
                                    <w:right w:val="none" w:sz="0" w:space="0" w:color="auto"/>
                                  </w:divBdr>
                                  <w:divsChild>
                                    <w:div w:id="1994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57527">
      <w:bodyDiv w:val="1"/>
      <w:marLeft w:val="0"/>
      <w:marRight w:val="0"/>
      <w:marTop w:val="0"/>
      <w:marBottom w:val="0"/>
      <w:divBdr>
        <w:top w:val="none" w:sz="0" w:space="0" w:color="auto"/>
        <w:left w:val="none" w:sz="0" w:space="0" w:color="auto"/>
        <w:bottom w:val="none" w:sz="0" w:space="0" w:color="auto"/>
        <w:right w:val="none" w:sz="0" w:space="0" w:color="auto"/>
      </w:divBdr>
      <w:divsChild>
        <w:div w:id="1041826361">
          <w:marLeft w:val="0"/>
          <w:marRight w:val="0"/>
          <w:marTop w:val="0"/>
          <w:marBottom w:val="0"/>
          <w:divBdr>
            <w:top w:val="none" w:sz="0" w:space="0" w:color="auto"/>
            <w:left w:val="none" w:sz="0" w:space="0" w:color="auto"/>
            <w:bottom w:val="none" w:sz="0" w:space="0" w:color="auto"/>
            <w:right w:val="none" w:sz="0" w:space="0" w:color="auto"/>
          </w:divBdr>
        </w:div>
        <w:div w:id="1110392599">
          <w:marLeft w:val="0"/>
          <w:marRight w:val="0"/>
          <w:marTop w:val="0"/>
          <w:marBottom w:val="0"/>
          <w:divBdr>
            <w:top w:val="none" w:sz="0" w:space="0" w:color="auto"/>
            <w:left w:val="none" w:sz="0" w:space="0" w:color="auto"/>
            <w:bottom w:val="none" w:sz="0" w:space="0" w:color="auto"/>
            <w:right w:val="none" w:sz="0" w:space="0" w:color="auto"/>
          </w:divBdr>
        </w:div>
      </w:divsChild>
    </w:div>
    <w:div w:id="154542016">
      <w:bodyDiv w:val="1"/>
      <w:marLeft w:val="0"/>
      <w:marRight w:val="0"/>
      <w:marTop w:val="0"/>
      <w:marBottom w:val="0"/>
      <w:divBdr>
        <w:top w:val="none" w:sz="0" w:space="0" w:color="auto"/>
        <w:left w:val="none" w:sz="0" w:space="0" w:color="auto"/>
        <w:bottom w:val="none" w:sz="0" w:space="0" w:color="auto"/>
        <w:right w:val="none" w:sz="0" w:space="0" w:color="auto"/>
      </w:divBdr>
      <w:divsChild>
        <w:div w:id="2028602799">
          <w:marLeft w:val="0"/>
          <w:marRight w:val="0"/>
          <w:marTop w:val="0"/>
          <w:marBottom w:val="0"/>
          <w:divBdr>
            <w:top w:val="none" w:sz="0" w:space="0" w:color="auto"/>
            <w:left w:val="none" w:sz="0" w:space="0" w:color="auto"/>
            <w:bottom w:val="none" w:sz="0" w:space="0" w:color="auto"/>
            <w:right w:val="none" w:sz="0" w:space="0" w:color="auto"/>
          </w:divBdr>
          <w:divsChild>
            <w:div w:id="199229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8882">
      <w:bodyDiv w:val="1"/>
      <w:marLeft w:val="0"/>
      <w:marRight w:val="0"/>
      <w:marTop w:val="0"/>
      <w:marBottom w:val="0"/>
      <w:divBdr>
        <w:top w:val="none" w:sz="0" w:space="0" w:color="auto"/>
        <w:left w:val="none" w:sz="0" w:space="0" w:color="auto"/>
        <w:bottom w:val="none" w:sz="0" w:space="0" w:color="auto"/>
        <w:right w:val="none" w:sz="0" w:space="0" w:color="auto"/>
      </w:divBdr>
    </w:div>
    <w:div w:id="547570132">
      <w:bodyDiv w:val="1"/>
      <w:marLeft w:val="0"/>
      <w:marRight w:val="0"/>
      <w:marTop w:val="0"/>
      <w:marBottom w:val="0"/>
      <w:divBdr>
        <w:top w:val="none" w:sz="0" w:space="0" w:color="auto"/>
        <w:left w:val="none" w:sz="0" w:space="0" w:color="auto"/>
        <w:bottom w:val="none" w:sz="0" w:space="0" w:color="auto"/>
        <w:right w:val="none" w:sz="0" w:space="0" w:color="auto"/>
      </w:divBdr>
      <w:divsChild>
        <w:div w:id="180097361">
          <w:marLeft w:val="0"/>
          <w:marRight w:val="0"/>
          <w:marTop w:val="30"/>
          <w:marBottom w:val="0"/>
          <w:divBdr>
            <w:top w:val="none" w:sz="0" w:space="0" w:color="auto"/>
            <w:left w:val="none" w:sz="0" w:space="0" w:color="auto"/>
            <w:bottom w:val="none" w:sz="0" w:space="0" w:color="auto"/>
            <w:right w:val="none" w:sz="0" w:space="0" w:color="auto"/>
          </w:divBdr>
          <w:divsChild>
            <w:div w:id="1141772096">
              <w:marLeft w:val="-510"/>
              <w:marRight w:val="0"/>
              <w:marTop w:val="0"/>
              <w:marBottom w:val="0"/>
              <w:divBdr>
                <w:top w:val="none" w:sz="0" w:space="0" w:color="auto"/>
                <w:left w:val="none" w:sz="0" w:space="0" w:color="auto"/>
                <w:bottom w:val="none" w:sz="0" w:space="0" w:color="auto"/>
                <w:right w:val="none" w:sz="0" w:space="0" w:color="auto"/>
              </w:divBdr>
              <w:divsChild>
                <w:div w:id="43406741">
                  <w:marLeft w:val="0"/>
                  <w:marRight w:val="0"/>
                  <w:marTop w:val="0"/>
                  <w:marBottom w:val="0"/>
                  <w:divBdr>
                    <w:top w:val="none" w:sz="0" w:space="0" w:color="auto"/>
                    <w:left w:val="none" w:sz="0" w:space="0" w:color="auto"/>
                    <w:bottom w:val="none" w:sz="0" w:space="0" w:color="auto"/>
                    <w:right w:val="none" w:sz="0" w:space="0" w:color="auto"/>
                  </w:divBdr>
                  <w:divsChild>
                    <w:div w:id="10761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46446">
          <w:marLeft w:val="0"/>
          <w:marRight w:val="0"/>
          <w:marTop w:val="30"/>
          <w:marBottom w:val="0"/>
          <w:divBdr>
            <w:top w:val="none" w:sz="0" w:space="0" w:color="auto"/>
            <w:left w:val="none" w:sz="0" w:space="0" w:color="auto"/>
            <w:bottom w:val="none" w:sz="0" w:space="0" w:color="auto"/>
            <w:right w:val="none" w:sz="0" w:space="0" w:color="auto"/>
          </w:divBdr>
          <w:divsChild>
            <w:div w:id="468061758">
              <w:marLeft w:val="0"/>
              <w:marRight w:val="0"/>
              <w:marTop w:val="0"/>
              <w:marBottom w:val="0"/>
              <w:divBdr>
                <w:top w:val="none" w:sz="0" w:space="0" w:color="auto"/>
                <w:left w:val="none" w:sz="0" w:space="0" w:color="auto"/>
                <w:bottom w:val="none" w:sz="0" w:space="0" w:color="auto"/>
                <w:right w:val="none" w:sz="0" w:space="0" w:color="auto"/>
              </w:divBdr>
              <w:divsChild>
                <w:div w:id="144904923">
                  <w:marLeft w:val="0"/>
                  <w:marRight w:val="0"/>
                  <w:marTop w:val="0"/>
                  <w:marBottom w:val="0"/>
                  <w:divBdr>
                    <w:top w:val="none" w:sz="0" w:space="0" w:color="auto"/>
                    <w:left w:val="none" w:sz="0" w:space="0" w:color="auto"/>
                    <w:bottom w:val="none" w:sz="0" w:space="0" w:color="auto"/>
                    <w:right w:val="none" w:sz="0" w:space="0" w:color="auto"/>
                  </w:divBdr>
                  <w:divsChild>
                    <w:div w:id="741215453">
                      <w:marLeft w:val="0"/>
                      <w:marRight w:val="0"/>
                      <w:marTop w:val="120"/>
                      <w:marBottom w:val="0"/>
                      <w:divBdr>
                        <w:top w:val="none" w:sz="0" w:space="0" w:color="auto"/>
                        <w:left w:val="none" w:sz="0" w:space="0" w:color="auto"/>
                        <w:bottom w:val="none" w:sz="0" w:space="0" w:color="auto"/>
                        <w:right w:val="none" w:sz="0" w:space="0" w:color="auto"/>
                      </w:divBdr>
                      <w:divsChild>
                        <w:div w:id="481049495">
                          <w:marLeft w:val="0"/>
                          <w:marRight w:val="0"/>
                          <w:marTop w:val="0"/>
                          <w:marBottom w:val="0"/>
                          <w:divBdr>
                            <w:top w:val="none" w:sz="0" w:space="0" w:color="auto"/>
                            <w:left w:val="none" w:sz="0" w:space="0" w:color="auto"/>
                            <w:bottom w:val="none" w:sz="0" w:space="0" w:color="auto"/>
                            <w:right w:val="none" w:sz="0" w:space="0" w:color="auto"/>
                          </w:divBdr>
                          <w:divsChild>
                            <w:div w:id="1593120500">
                              <w:marLeft w:val="180"/>
                              <w:marRight w:val="0"/>
                              <w:marTop w:val="0"/>
                              <w:marBottom w:val="0"/>
                              <w:divBdr>
                                <w:top w:val="none" w:sz="0" w:space="0" w:color="auto"/>
                                <w:left w:val="none" w:sz="0" w:space="0" w:color="auto"/>
                                <w:bottom w:val="none" w:sz="0" w:space="0" w:color="auto"/>
                                <w:right w:val="none" w:sz="0" w:space="0" w:color="auto"/>
                              </w:divBdr>
                              <w:divsChild>
                                <w:div w:id="18409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92946">
                  <w:marLeft w:val="0"/>
                  <w:marRight w:val="0"/>
                  <w:marTop w:val="0"/>
                  <w:marBottom w:val="0"/>
                  <w:divBdr>
                    <w:top w:val="none" w:sz="0" w:space="0" w:color="auto"/>
                    <w:left w:val="none" w:sz="0" w:space="0" w:color="auto"/>
                    <w:bottom w:val="none" w:sz="0" w:space="0" w:color="auto"/>
                    <w:right w:val="none" w:sz="0" w:space="0" w:color="auto"/>
                  </w:divBdr>
                  <w:divsChild>
                    <w:div w:id="850099576">
                      <w:marLeft w:val="0"/>
                      <w:marRight w:val="0"/>
                      <w:marTop w:val="120"/>
                      <w:marBottom w:val="0"/>
                      <w:divBdr>
                        <w:top w:val="none" w:sz="0" w:space="0" w:color="auto"/>
                        <w:left w:val="none" w:sz="0" w:space="0" w:color="auto"/>
                        <w:bottom w:val="none" w:sz="0" w:space="0" w:color="auto"/>
                        <w:right w:val="none" w:sz="0" w:space="0" w:color="auto"/>
                      </w:divBdr>
                      <w:divsChild>
                        <w:div w:id="1702434385">
                          <w:marLeft w:val="0"/>
                          <w:marRight w:val="0"/>
                          <w:marTop w:val="0"/>
                          <w:marBottom w:val="0"/>
                          <w:divBdr>
                            <w:top w:val="none" w:sz="0" w:space="0" w:color="auto"/>
                            <w:left w:val="none" w:sz="0" w:space="0" w:color="auto"/>
                            <w:bottom w:val="none" w:sz="0" w:space="0" w:color="auto"/>
                            <w:right w:val="none" w:sz="0" w:space="0" w:color="auto"/>
                          </w:divBdr>
                          <w:divsChild>
                            <w:div w:id="959190894">
                              <w:marLeft w:val="180"/>
                              <w:marRight w:val="0"/>
                              <w:marTop w:val="0"/>
                              <w:marBottom w:val="0"/>
                              <w:divBdr>
                                <w:top w:val="none" w:sz="0" w:space="0" w:color="auto"/>
                                <w:left w:val="none" w:sz="0" w:space="0" w:color="auto"/>
                                <w:bottom w:val="none" w:sz="0" w:space="0" w:color="auto"/>
                                <w:right w:val="none" w:sz="0" w:space="0" w:color="auto"/>
                              </w:divBdr>
                              <w:divsChild>
                                <w:div w:id="16793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5626">
                  <w:marLeft w:val="0"/>
                  <w:marRight w:val="0"/>
                  <w:marTop w:val="0"/>
                  <w:marBottom w:val="0"/>
                  <w:divBdr>
                    <w:top w:val="none" w:sz="0" w:space="0" w:color="auto"/>
                    <w:left w:val="none" w:sz="0" w:space="0" w:color="auto"/>
                    <w:bottom w:val="none" w:sz="0" w:space="0" w:color="auto"/>
                    <w:right w:val="none" w:sz="0" w:space="0" w:color="auto"/>
                  </w:divBdr>
                  <w:divsChild>
                    <w:div w:id="211187076">
                      <w:marLeft w:val="0"/>
                      <w:marRight w:val="0"/>
                      <w:marTop w:val="120"/>
                      <w:marBottom w:val="0"/>
                      <w:divBdr>
                        <w:top w:val="none" w:sz="0" w:space="0" w:color="auto"/>
                        <w:left w:val="none" w:sz="0" w:space="0" w:color="auto"/>
                        <w:bottom w:val="none" w:sz="0" w:space="0" w:color="auto"/>
                        <w:right w:val="none" w:sz="0" w:space="0" w:color="auto"/>
                      </w:divBdr>
                      <w:divsChild>
                        <w:div w:id="1201897211">
                          <w:marLeft w:val="0"/>
                          <w:marRight w:val="0"/>
                          <w:marTop w:val="0"/>
                          <w:marBottom w:val="0"/>
                          <w:divBdr>
                            <w:top w:val="none" w:sz="0" w:space="0" w:color="auto"/>
                            <w:left w:val="none" w:sz="0" w:space="0" w:color="auto"/>
                            <w:bottom w:val="none" w:sz="0" w:space="0" w:color="auto"/>
                            <w:right w:val="none" w:sz="0" w:space="0" w:color="auto"/>
                          </w:divBdr>
                          <w:divsChild>
                            <w:div w:id="272976786">
                              <w:marLeft w:val="180"/>
                              <w:marRight w:val="0"/>
                              <w:marTop w:val="0"/>
                              <w:marBottom w:val="0"/>
                              <w:divBdr>
                                <w:top w:val="none" w:sz="0" w:space="0" w:color="auto"/>
                                <w:left w:val="none" w:sz="0" w:space="0" w:color="auto"/>
                                <w:bottom w:val="none" w:sz="0" w:space="0" w:color="auto"/>
                                <w:right w:val="none" w:sz="0" w:space="0" w:color="auto"/>
                              </w:divBdr>
                              <w:divsChild>
                                <w:div w:id="5400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166097">
                  <w:marLeft w:val="0"/>
                  <w:marRight w:val="0"/>
                  <w:marTop w:val="0"/>
                  <w:marBottom w:val="0"/>
                  <w:divBdr>
                    <w:top w:val="none" w:sz="0" w:space="0" w:color="auto"/>
                    <w:left w:val="none" w:sz="0" w:space="0" w:color="auto"/>
                    <w:bottom w:val="none" w:sz="0" w:space="0" w:color="auto"/>
                    <w:right w:val="none" w:sz="0" w:space="0" w:color="auto"/>
                  </w:divBdr>
                  <w:divsChild>
                    <w:div w:id="1412701997">
                      <w:marLeft w:val="0"/>
                      <w:marRight w:val="0"/>
                      <w:marTop w:val="120"/>
                      <w:marBottom w:val="0"/>
                      <w:divBdr>
                        <w:top w:val="none" w:sz="0" w:space="0" w:color="auto"/>
                        <w:left w:val="none" w:sz="0" w:space="0" w:color="auto"/>
                        <w:bottom w:val="none" w:sz="0" w:space="0" w:color="auto"/>
                        <w:right w:val="none" w:sz="0" w:space="0" w:color="auto"/>
                      </w:divBdr>
                      <w:divsChild>
                        <w:div w:id="2092313305">
                          <w:marLeft w:val="0"/>
                          <w:marRight w:val="0"/>
                          <w:marTop w:val="0"/>
                          <w:marBottom w:val="0"/>
                          <w:divBdr>
                            <w:top w:val="none" w:sz="0" w:space="0" w:color="auto"/>
                            <w:left w:val="none" w:sz="0" w:space="0" w:color="auto"/>
                            <w:bottom w:val="none" w:sz="0" w:space="0" w:color="auto"/>
                            <w:right w:val="none" w:sz="0" w:space="0" w:color="auto"/>
                          </w:divBdr>
                          <w:divsChild>
                            <w:div w:id="1057434757">
                              <w:marLeft w:val="180"/>
                              <w:marRight w:val="0"/>
                              <w:marTop w:val="0"/>
                              <w:marBottom w:val="0"/>
                              <w:divBdr>
                                <w:top w:val="none" w:sz="0" w:space="0" w:color="auto"/>
                                <w:left w:val="none" w:sz="0" w:space="0" w:color="auto"/>
                                <w:bottom w:val="none" w:sz="0" w:space="0" w:color="auto"/>
                                <w:right w:val="none" w:sz="0" w:space="0" w:color="auto"/>
                              </w:divBdr>
                              <w:divsChild>
                                <w:div w:id="15165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04430">
                  <w:marLeft w:val="0"/>
                  <w:marRight w:val="0"/>
                  <w:marTop w:val="0"/>
                  <w:marBottom w:val="0"/>
                  <w:divBdr>
                    <w:top w:val="none" w:sz="0" w:space="0" w:color="auto"/>
                    <w:left w:val="none" w:sz="0" w:space="0" w:color="auto"/>
                    <w:bottom w:val="none" w:sz="0" w:space="0" w:color="auto"/>
                    <w:right w:val="none" w:sz="0" w:space="0" w:color="auto"/>
                  </w:divBdr>
                  <w:divsChild>
                    <w:div w:id="1554385465">
                      <w:marLeft w:val="0"/>
                      <w:marRight w:val="0"/>
                      <w:marTop w:val="120"/>
                      <w:marBottom w:val="0"/>
                      <w:divBdr>
                        <w:top w:val="none" w:sz="0" w:space="0" w:color="auto"/>
                        <w:left w:val="none" w:sz="0" w:space="0" w:color="auto"/>
                        <w:bottom w:val="none" w:sz="0" w:space="0" w:color="auto"/>
                        <w:right w:val="none" w:sz="0" w:space="0" w:color="auto"/>
                      </w:divBdr>
                      <w:divsChild>
                        <w:div w:id="105971848">
                          <w:marLeft w:val="0"/>
                          <w:marRight w:val="0"/>
                          <w:marTop w:val="0"/>
                          <w:marBottom w:val="0"/>
                          <w:divBdr>
                            <w:top w:val="none" w:sz="0" w:space="0" w:color="auto"/>
                            <w:left w:val="none" w:sz="0" w:space="0" w:color="auto"/>
                            <w:bottom w:val="none" w:sz="0" w:space="0" w:color="auto"/>
                            <w:right w:val="none" w:sz="0" w:space="0" w:color="auto"/>
                          </w:divBdr>
                          <w:divsChild>
                            <w:div w:id="133178027">
                              <w:marLeft w:val="180"/>
                              <w:marRight w:val="0"/>
                              <w:marTop w:val="0"/>
                              <w:marBottom w:val="0"/>
                              <w:divBdr>
                                <w:top w:val="none" w:sz="0" w:space="0" w:color="auto"/>
                                <w:left w:val="none" w:sz="0" w:space="0" w:color="auto"/>
                                <w:bottom w:val="none" w:sz="0" w:space="0" w:color="auto"/>
                                <w:right w:val="none" w:sz="0" w:space="0" w:color="auto"/>
                              </w:divBdr>
                              <w:divsChild>
                                <w:div w:id="6288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8287">
      <w:bodyDiv w:val="1"/>
      <w:marLeft w:val="0"/>
      <w:marRight w:val="0"/>
      <w:marTop w:val="0"/>
      <w:marBottom w:val="0"/>
      <w:divBdr>
        <w:top w:val="none" w:sz="0" w:space="0" w:color="auto"/>
        <w:left w:val="none" w:sz="0" w:space="0" w:color="auto"/>
        <w:bottom w:val="none" w:sz="0" w:space="0" w:color="auto"/>
        <w:right w:val="none" w:sz="0" w:space="0" w:color="auto"/>
      </w:divBdr>
      <w:divsChild>
        <w:div w:id="968701995">
          <w:marLeft w:val="0"/>
          <w:marRight w:val="0"/>
          <w:marTop w:val="0"/>
          <w:marBottom w:val="0"/>
          <w:divBdr>
            <w:top w:val="none" w:sz="0" w:space="0" w:color="auto"/>
            <w:left w:val="none" w:sz="0" w:space="0" w:color="auto"/>
            <w:bottom w:val="none" w:sz="0" w:space="0" w:color="auto"/>
            <w:right w:val="none" w:sz="0" w:space="0" w:color="auto"/>
          </w:divBdr>
          <w:divsChild>
            <w:div w:id="1788504269">
              <w:marLeft w:val="0"/>
              <w:marRight w:val="0"/>
              <w:marTop w:val="0"/>
              <w:marBottom w:val="0"/>
              <w:divBdr>
                <w:top w:val="none" w:sz="0" w:space="0" w:color="auto"/>
                <w:left w:val="none" w:sz="0" w:space="0" w:color="auto"/>
                <w:bottom w:val="none" w:sz="0" w:space="0" w:color="auto"/>
                <w:right w:val="none" w:sz="0" w:space="0" w:color="auto"/>
              </w:divBdr>
              <w:divsChild>
                <w:div w:id="16093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32587">
          <w:marLeft w:val="0"/>
          <w:marRight w:val="0"/>
          <w:marTop w:val="0"/>
          <w:marBottom w:val="0"/>
          <w:divBdr>
            <w:top w:val="none" w:sz="0" w:space="0" w:color="auto"/>
            <w:left w:val="none" w:sz="0" w:space="0" w:color="auto"/>
            <w:bottom w:val="none" w:sz="0" w:space="0" w:color="auto"/>
            <w:right w:val="none" w:sz="0" w:space="0" w:color="auto"/>
          </w:divBdr>
          <w:divsChild>
            <w:div w:id="689111278">
              <w:marLeft w:val="0"/>
              <w:marRight w:val="0"/>
              <w:marTop w:val="0"/>
              <w:marBottom w:val="0"/>
              <w:divBdr>
                <w:top w:val="none" w:sz="0" w:space="0" w:color="auto"/>
                <w:left w:val="none" w:sz="0" w:space="0" w:color="auto"/>
                <w:bottom w:val="none" w:sz="0" w:space="0" w:color="auto"/>
                <w:right w:val="none" w:sz="0" w:space="0" w:color="auto"/>
              </w:divBdr>
              <w:divsChild>
                <w:div w:id="986982394">
                  <w:marLeft w:val="0"/>
                  <w:marRight w:val="0"/>
                  <w:marTop w:val="120"/>
                  <w:marBottom w:val="0"/>
                  <w:divBdr>
                    <w:top w:val="none" w:sz="0" w:space="0" w:color="auto"/>
                    <w:left w:val="none" w:sz="0" w:space="0" w:color="auto"/>
                    <w:bottom w:val="none" w:sz="0" w:space="0" w:color="auto"/>
                    <w:right w:val="none" w:sz="0" w:space="0" w:color="auto"/>
                  </w:divBdr>
                  <w:divsChild>
                    <w:div w:id="285310162">
                      <w:marLeft w:val="0"/>
                      <w:marRight w:val="0"/>
                      <w:marTop w:val="0"/>
                      <w:marBottom w:val="0"/>
                      <w:divBdr>
                        <w:top w:val="none" w:sz="0" w:space="0" w:color="auto"/>
                        <w:left w:val="none" w:sz="0" w:space="0" w:color="auto"/>
                        <w:bottom w:val="none" w:sz="0" w:space="0" w:color="auto"/>
                        <w:right w:val="none" w:sz="0" w:space="0" w:color="auto"/>
                      </w:divBdr>
                      <w:divsChild>
                        <w:div w:id="2032761571">
                          <w:marLeft w:val="180"/>
                          <w:marRight w:val="0"/>
                          <w:marTop w:val="0"/>
                          <w:marBottom w:val="0"/>
                          <w:divBdr>
                            <w:top w:val="none" w:sz="0" w:space="0" w:color="auto"/>
                            <w:left w:val="none" w:sz="0" w:space="0" w:color="auto"/>
                            <w:bottom w:val="none" w:sz="0" w:space="0" w:color="auto"/>
                            <w:right w:val="none" w:sz="0" w:space="0" w:color="auto"/>
                          </w:divBdr>
                          <w:divsChild>
                            <w:div w:id="17363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729010">
              <w:marLeft w:val="0"/>
              <w:marRight w:val="0"/>
              <w:marTop w:val="0"/>
              <w:marBottom w:val="0"/>
              <w:divBdr>
                <w:top w:val="none" w:sz="0" w:space="0" w:color="auto"/>
                <w:left w:val="none" w:sz="0" w:space="0" w:color="auto"/>
                <w:bottom w:val="none" w:sz="0" w:space="0" w:color="auto"/>
                <w:right w:val="none" w:sz="0" w:space="0" w:color="auto"/>
              </w:divBdr>
              <w:divsChild>
                <w:div w:id="1905986591">
                  <w:marLeft w:val="0"/>
                  <w:marRight w:val="0"/>
                  <w:marTop w:val="120"/>
                  <w:marBottom w:val="0"/>
                  <w:divBdr>
                    <w:top w:val="none" w:sz="0" w:space="0" w:color="auto"/>
                    <w:left w:val="none" w:sz="0" w:space="0" w:color="auto"/>
                    <w:bottom w:val="none" w:sz="0" w:space="0" w:color="auto"/>
                    <w:right w:val="none" w:sz="0" w:space="0" w:color="auto"/>
                  </w:divBdr>
                  <w:divsChild>
                    <w:div w:id="1756711017">
                      <w:marLeft w:val="0"/>
                      <w:marRight w:val="0"/>
                      <w:marTop w:val="0"/>
                      <w:marBottom w:val="0"/>
                      <w:divBdr>
                        <w:top w:val="none" w:sz="0" w:space="0" w:color="auto"/>
                        <w:left w:val="none" w:sz="0" w:space="0" w:color="auto"/>
                        <w:bottom w:val="none" w:sz="0" w:space="0" w:color="auto"/>
                        <w:right w:val="none" w:sz="0" w:space="0" w:color="auto"/>
                      </w:divBdr>
                      <w:divsChild>
                        <w:div w:id="279848879">
                          <w:marLeft w:val="180"/>
                          <w:marRight w:val="0"/>
                          <w:marTop w:val="0"/>
                          <w:marBottom w:val="0"/>
                          <w:divBdr>
                            <w:top w:val="none" w:sz="0" w:space="0" w:color="auto"/>
                            <w:left w:val="none" w:sz="0" w:space="0" w:color="auto"/>
                            <w:bottom w:val="none" w:sz="0" w:space="0" w:color="auto"/>
                            <w:right w:val="none" w:sz="0" w:space="0" w:color="auto"/>
                          </w:divBdr>
                          <w:divsChild>
                            <w:div w:id="10269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7835">
              <w:marLeft w:val="0"/>
              <w:marRight w:val="0"/>
              <w:marTop w:val="0"/>
              <w:marBottom w:val="0"/>
              <w:divBdr>
                <w:top w:val="none" w:sz="0" w:space="0" w:color="auto"/>
                <w:left w:val="none" w:sz="0" w:space="0" w:color="auto"/>
                <w:bottom w:val="none" w:sz="0" w:space="0" w:color="auto"/>
                <w:right w:val="none" w:sz="0" w:space="0" w:color="auto"/>
              </w:divBdr>
              <w:divsChild>
                <w:div w:id="267278523">
                  <w:marLeft w:val="0"/>
                  <w:marRight w:val="0"/>
                  <w:marTop w:val="120"/>
                  <w:marBottom w:val="0"/>
                  <w:divBdr>
                    <w:top w:val="none" w:sz="0" w:space="0" w:color="auto"/>
                    <w:left w:val="none" w:sz="0" w:space="0" w:color="auto"/>
                    <w:bottom w:val="none" w:sz="0" w:space="0" w:color="auto"/>
                    <w:right w:val="none" w:sz="0" w:space="0" w:color="auto"/>
                  </w:divBdr>
                  <w:divsChild>
                    <w:div w:id="484470492">
                      <w:marLeft w:val="0"/>
                      <w:marRight w:val="0"/>
                      <w:marTop w:val="0"/>
                      <w:marBottom w:val="0"/>
                      <w:divBdr>
                        <w:top w:val="none" w:sz="0" w:space="0" w:color="auto"/>
                        <w:left w:val="none" w:sz="0" w:space="0" w:color="auto"/>
                        <w:bottom w:val="none" w:sz="0" w:space="0" w:color="auto"/>
                        <w:right w:val="none" w:sz="0" w:space="0" w:color="auto"/>
                      </w:divBdr>
                      <w:divsChild>
                        <w:div w:id="684326966">
                          <w:marLeft w:val="180"/>
                          <w:marRight w:val="0"/>
                          <w:marTop w:val="0"/>
                          <w:marBottom w:val="0"/>
                          <w:divBdr>
                            <w:top w:val="none" w:sz="0" w:space="0" w:color="auto"/>
                            <w:left w:val="none" w:sz="0" w:space="0" w:color="auto"/>
                            <w:bottom w:val="none" w:sz="0" w:space="0" w:color="auto"/>
                            <w:right w:val="none" w:sz="0" w:space="0" w:color="auto"/>
                          </w:divBdr>
                          <w:divsChild>
                            <w:div w:id="1245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372744">
              <w:marLeft w:val="0"/>
              <w:marRight w:val="0"/>
              <w:marTop w:val="0"/>
              <w:marBottom w:val="0"/>
              <w:divBdr>
                <w:top w:val="none" w:sz="0" w:space="0" w:color="auto"/>
                <w:left w:val="none" w:sz="0" w:space="0" w:color="auto"/>
                <w:bottom w:val="none" w:sz="0" w:space="0" w:color="auto"/>
                <w:right w:val="none" w:sz="0" w:space="0" w:color="auto"/>
              </w:divBdr>
              <w:divsChild>
                <w:div w:id="292905973">
                  <w:marLeft w:val="0"/>
                  <w:marRight w:val="0"/>
                  <w:marTop w:val="120"/>
                  <w:marBottom w:val="0"/>
                  <w:divBdr>
                    <w:top w:val="none" w:sz="0" w:space="0" w:color="auto"/>
                    <w:left w:val="none" w:sz="0" w:space="0" w:color="auto"/>
                    <w:bottom w:val="none" w:sz="0" w:space="0" w:color="auto"/>
                    <w:right w:val="none" w:sz="0" w:space="0" w:color="auto"/>
                  </w:divBdr>
                  <w:divsChild>
                    <w:div w:id="489441592">
                      <w:marLeft w:val="0"/>
                      <w:marRight w:val="0"/>
                      <w:marTop w:val="0"/>
                      <w:marBottom w:val="0"/>
                      <w:divBdr>
                        <w:top w:val="none" w:sz="0" w:space="0" w:color="auto"/>
                        <w:left w:val="none" w:sz="0" w:space="0" w:color="auto"/>
                        <w:bottom w:val="none" w:sz="0" w:space="0" w:color="auto"/>
                        <w:right w:val="none" w:sz="0" w:space="0" w:color="auto"/>
                      </w:divBdr>
                      <w:divsChild>
                        <w:div w:id="1298334401">
                          <w:marLeft w:val="180"/>
                          <w:marRight w:val="0"/>
                          <w:marTop w:val="0"/>
                          <w:marBottom w:val="0"/>
                          <w:divBdr>
                            <w:top w:val="none" w:sz="0" w:space="0" w:color="auto"/>
                            <w:left w:val="none" w:sz="0" w:space="0" w:color="auto"/>
                            <w:bottom w:val="none" w:sz="0" w:space="0" w:color="auto"/>
                            <w:right w:val="none" w:sz="0" w:space="0" w:color="auto"/>
                          </w:divBdr>
                          <w:divsChild>
                            <w:div w:id="10024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2094">
              <w:marLeft w:val="0"/>
              <w:marRight w:val="0"/>
              <w:marTop w:val="0"/>
              <w:marBottom w:val="0"/>
              <w:divBdr>
                <w:top w:val="none" w:sz="0" w:space="0" w:color="auto"/>
                <w:left w:val="none" w:sz="0" w:space="0" w:color="auto"/>
                <w:bottom w:val="none" w:sz="0" w:space="0" w:color="auto"/>
                <w:right w:val="none" w:sz="0" w:space="0" w:color="auto"/>
              </w:divBdr>
              <w:divsChild>
                <w:div w:id="2120560855">
                  <w:marLeft w:val="0"/>
                  <w:marRight w:val="0"/>
                  <w:marTop w:val="120"/>
                  <w:marBottom w:val="0"/>
                  <w:divBdr>
                    <w:top w:val="none" w:sz="0" w:space="0" w:color="auto"/>
                    <w:left w:val="none" w:sz="0" w:space="0" w:color="auto"/>
                    <w:bottom w:val="none" w:sz="0" w:space="0" w:color="auto"/>
                    <w:right w:val="none" w:sz="0" w:space="0" w:color="auto"/>
                  </w:divBdr>
                  <w:divsChild>
                    <w:div w:id="1523937798">
                      <w:marLeft w:val="0"/>
                      <w:marRight w:val="0"/>
                      <w:marTop w:val="0"/>
                      <w:marBottom w:val="0"/>
                      <w:divBdr>
                        <w:top w:val="none" w:sz="0" w:space="0" w:color="auto"/>
                        <w:left w:val="none" w:sz="0" w:space="0" w:color="auto"/>
                        <w:bottom w:val="none" w:sz="0" w:space="0" w:color="auto"/>
                        <w:right w:val="none" w:sz="0" w:space="0" w:color="auto"/>
                      </w:divBdr>
                      <w:divsChild>
                        <w:div w:id="1568612950">
                          <w:marLeft w:val="180"/>
                          <w:marRight w:val="0"/>
                          <w:marTop w:val="0"/>
                          <w:marBottom w:val="0"/>
                          <w:divBdr>
                            <w:top w:val="none" w:sz="0" w:space="0" w:color="auto"/>
                            <w:left w:val="none" w:sz="0" w:space="0" w:color="auto"/>
                            <w:bottom w:val="none" w:sz="0" w:space="0" w:color="auto"/>
                            <w:right w:val="none" w:sz="0" w:space="0" w:color="auto"/>
                          </w:divBdr>
                          <w:divsChild>
                            <w:div w:id="3550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25609">
              <w:marLeft w:val="0"/>
              <w:marRight w:val="0"/>
              <w:marTop w:val="0"/>
              <w:marBottom w:val="0"/>
              <w:divBdr>
                <w:top w:val="none" w:sz="0" w:space="0" w:color="auto"/>
                <w:left w:val="none" w:sz="0" w:space="0" w:color="auto"/>
                <w:bottom w:val="none" w:sz="0" w:space="0" w:color="auto"/>
                <w:right w:val="none" w:sz="0" w:space="0" w:color="auto"/>
              </w:divBdr>
              <w:divsChild>
                <w:div w:id="1473055416">
                  <w:marLeft w:val="0"/>
                  <w:marRight w:val="0"/>
                  <w:marTop w:val="120"/>
                  <w:marBottom w:val="0"/>
                  <w:divBdr>
                    <w:top w:val="none" w:sz="0" w:space="0" w:color="auto"/>
                    <w:left w:val="none" w:sz="0" w:space="0" w:color="auto"/>
                    <w:bottom w:val="none" w:sz="0" w:space="0" w:color="auto"/>
                    <w:right w:val="none" w:sz="0" w:space="0" w:color="auto"/>
                  </w:divBdr>
                  <w:divsChild>
                    <w:div w:id="790980441">
                      <w:marLeft w:val="0"/>
                      <w:marRight w:val="0"/>
                      <w:marTop w:val="0"/>
                      <w:marBottom w:val="0"/>
                      <w:divBdr>
                        <w:top w:val="none" w:sz="0" w:space="0" w:color="auto"/>
                        <w:left w:val="none" w:sz="0" w:space="0" w:color="auto"/>
                        <w:bottom w:val="none" w:sz="0" w:space="0" w:color="auto"/>
                        <w:right w:val="none" w:sz="0" w:space="0" w:color="auto"/>
                      </w:divBdr>
                      <w:divsChild>
                        <w:div w:id="718819598">
                          <w:marLeft w:val="180"/>
                          <w:marRight w:val="0"/>
                          <w:marTop w:val="0"/>
                          <w:marBottom w:val="0"/>
                          <w:divBdr>
                            <w:top w:val="none" w:sz="0" w:space="0" w:color="auto"/>
                            <w:left w:val="none" w:sz="0" w:space="0" w:color="auto"/>
                            <w:bottom w:val="none" w:sz="0" w:space="0" w:color="auto"/>
                            <w:right w:val="none" w:sz="0" w:space="0" w:color="auto"/>
                          </w:divBdr>
                          <w:divsChild>
                            <w:div w:id="3430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27935">
              <w:marLeft w:val="0"/>
              <w:marRight w:val="0"/>
              <w:marTop w:val="0"/>
              <w:marBottom w:val="0"/>
              <w:divBdr>
                <w:top w:val="none" w:sz="0" w:space="0" w:color="auto"/>
                <w:left w:val="none" w:sz="0" w:space="0" w:color="auto"/>
                <w:bottom w:val="none" w:sz="0" w:space="0" w:color="auto"/>
                <w:right w:val="none" w:sz="0" w:space="0" w:color="auto"/>
              </w:divBdr>
              <w:divsChild>
                <w:div w:id="386148093">
                  <w:marLeft w:val="0"/>
                  <w:marRight w:val="0"/>
                  <w:marTop w:val="120"/>
                  <w:marBottom w:val="0"/>
                  <w:divBdr>
                    <w:top w:val="none" w:sz="0" w:space="0" w:color="auto"/>
                    <w:left w:val="none" w:sz="0" w:space="0" w:color="auto"/>
                    <w:bottom w:val="none" w:sz="0" w:space="0" w:color="auto"/>
                    <w:right w:val="none" w:sz="0" w:space="0" w:color="auto"/>
                  </w:divBdr>
                  <w:divsChild>
                    <w:div w:id="562984195">
                      <w:marLeft w:val="0"/>
                      <w:marRight w:val="0"/>
                      <w:marTop w:val="0"/>
                      <w:marBottom w:val="0"/>
                      <w:divBdr>
                        <w:top w:val="none" w:sz="0" w:space="0" w:color="auto"/>
                        <w:left w:val="none" w:sz="0" w:space="0" w:color="auto"/>
                        <w:bottom w:val="none" w:sz="0" w:space="0" w:color="auto"/>
                        <w:right w:val="none" w:sz="0" w:space="0" w:color="auto"/>
                      </w:divBdr>
                      <w:divsChild>
                        <w:div w:id="299116217">
                          <w:marLeft w:val="180"/>
                          <w:marRight w:val="0"/>
                          <w:marTop w:val="0"/>
                          <w:marBottom w:val="0"/>
                          <w:divBdr>
                            <w:top w:val="none" w:sz="0" w:space="0" w:color="auto"/>
                            <w:left w:val="none" w:sz="0" w:space="0" w:color="auto"/>
                            <w:bottom w:val="none" w:sz="0" w:space="0" w:color="auto"/>
                            <w:right w:val="none" w:sz="0" w:space="0" w:color="auto"/>
                          </w:divBdr>
                          <w:divsChild>
                            <w:div w:id="12979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520144">
      <w:bodyDiv w:val="1"/>
      <w:marLeft w:val="0"/>
      <w:marRight w:val="0"/>
      <w:marTop w:val="0"/>
      <w:marBottom w:val="0"/>
      <w:divBdr>
        <w:top w:val="none" w:sz="0" w:space="0" w:color="auto"/>
        <w:left w:val="none" w:sz="0" w:space="0" w:color="auto"/>
        <w:bottom w:val="none" w:sz="0" w:space="0" w:color="auto"/>
        <w:right w:val="none" w:sz="0" w:space="0" w:color="auto"/>
      </w:divBdr>
      <w:divsChild>
        <w:div w:id="737247176">
          <w:marLeft w:val="0"/>
          <w:marRight w:val="0"/>
          <w:marTop w:val="30"/>
          <w:marBottom w:val="0"/>
          <w:divBdr>
            <w:top w:val="none" w:sz="0" w:space="0" w:color="auto"/>
            <w:left w:val="none" w:sz="0" w:space="0" w:color="auto"/>
            <w:bottom w:val="none" w:sz="0" w:space="0" w:color="auto"/>
            <w:right w:val="none" w:sz="0" w:space="0" w:color="auto"/>
          </w:divBdr>
          <w:divsChild>
            <w:div w:id="1401948919">
              <w:marLeft w:val="-510"/>
              <w:marRight w:val="0"/>
              <w:marTop w:val="0"/>
              <w:marBottom w:val="0"/>
              <w:divBdr>
                <w:top w:val="none" w:sz="0" w:space="0" w:color="auto"/>
                <w:left w:val="none" w:sz="0" w:space="0" w:color="auto"/>
                <w:bottom w:val="none" w:sz="0" w:space="0" w:color="auto"/>
                <w:right w:val="none" w:sz="0" w:space="0" w:color="auto"/>
              </w:divBdr>
              <w:divsChild>
                <w:div w:id="682820974">
                  <w:marLeft w:val="0"/>
                  <w:marRight w:val="0"/>
                  <w:marTop w:val="0"/>
                  <w:marBottom w:val="0"/>
                  <w:divBdr>
                    <w:top w:val="none" w:sz="0" w:space="0" w:color="auto"/>
                    <w:left w:val="none" w:sz="0" w:space="0" w:color="auto"/>
                    <w:bottom w:val="none" w:sz="0" w:space="0" w:color="auto"/>
                    <w:right w:val="none" w:sz="0" w:space="0" w:color="auto"/>
                  </w:divBdr>
                  <w:divsChild>
                    <w:div w:id="17592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3313">
          <w:marLeft w:val="0"/>
          <w:marRight w:val="0"/>
          <w:marTop w:val="30"/>
          <w:marBottom w:val="0"/>
          <w:divBdr>
            <w:top w:val="none" w:sz="0" w:space="0" w:color="auto"/>
            <w:left w:val="none" w:sz="0" w:space="0" w:color="auto"/>
            <w:bottom w:val="none" w:sz="0" w:space="0" w:color="auto"/>
            <w:right w:val="none" w:sz="0" w:space="0" w:color="auto"/>
          </w:divBdr>
          <w:divsChild>
            <w:div w:id="1190677879">
              <w:marLeft w:val="0"/>
              <w:marRight w:val="0"/>
              <w:marTop w:val="0"/>
              <w:marBottom w:val="0"/>
              <w:divBdr>
                <w:top w:val="none" w:sz="0" w:space="0" w:color="auto"/>
                <w:left w:val="none" w:sz="0" w:space="0" w:color="auto"/>
                <w:bottom w:val="none" w:sz="0" w:space="0" w:color="auto"/>
                <w:right w:val="none" w:sz="0" w:space="0" w:color="auto"/>
              </w:divBdr>
              <w:divsChild>
                <w:div w:id="343558595">
                  <w:marLeft w:val="0"/>
                  <w:marRight w:val="0"/>
                  <w:marTop w:val="0"/>
                  <w:marBottom w:val="0"/>
                  <w:divBdr>
                    <w:top w:val="none" w:sz="0" w:space="0" w:color="auto"/>
                    <w:left w:val="none" w:sz="0" w:space="0" w:color="auto"/>
                    <w:bottom w:val="none" w:sz="0" w:space="0" w:color="auto"/>
                    <w:right w:val="none" w:sz="0" w:space="0" w:color="auto"/>
                  </w:divBdr>
                  <w:divsChild>
                    <w:div w:id="2018069303">
                      <w:marLeft w:val="0"/>
                      <w:marRight w:val="0"/>
                      <w:marTop w:val="120"/>
                      <w:marBottom w:val="0"/>
                      <w:divBdr>
                        <w:top w:val="none" w:sz="0" w:space="0" w:color="auto"/>
                        <w:left w:val="none" w:sz="0" w:space="0" w:color="auto"/>
                        <w:bottom w:val="none" w:sz="0" w:space="0" w:color="auto"/>
                        <w:right w:val="none" w:sz="0" w:space="0" w:color="auto"/>
                      </w:divBdr>
                      <w:divsChild>
                        <w:div w:id="295449386">
                          <w:marLeft w:val="0"/>
                          <w:marRight w:val="0"/>
                          <w:marTop w:val="0"/>
                          <w:marBottom w:val="0"/>
                          <w:divBdr>
                            <w:top w:val="none" w:sz="0" w:space="0" w:color="auto"/>
                            <w:left w:val="none" w:sz="0" w:space="0" w:color="auto"/>
                            <w:bottom w:val="none" w:sz="0" w:space="0" w:color="auto"/>
                            <w:right w:val="none" w:sz="0" w:space="0" w:color="auto"/>
                          </w:divBdr>
                          <w:divsChild>
                            <w:div w:id="828712363">
                              <w:marLeft w:val="180"/>
                              <w:marRight w:val="0"/>
                              <w:marTop w:val="0"/>
                              <w:marBottom w:val="0"/>
                              <w:divBdr>
                                <w:top w:val="none" w:sz="0" w:space="0" w:color="auto"/>
                                <w:left w:val="none" w:sz="0" w:space="0" w:color="auto"/>
                                <w:bottom w:val="none" w:sz="0" w:space="0" w:color="auto"/>
                                <w:right w:val="none" w:sz="0" w:space="0" w:color="auto"/>
                              </w:divBdr>
                              <w:divsChild>
                                <w:div w:id="11527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773736">
                  <w:marLeft w:val="0"/>
                  <w:marRight w:val="0"/>
                  <w:marTop w:val="0"/>
                  <w:marBottom w:val="0"/>
                  <w:divBdr>
                    <w:top w:val="none" w:sz="0" w:space="0" w:color="auto"/>
                    <w:left w:val="none" w:sz="0" w:space="0" w:color="auto"/>
                    <w:bottom w:val="none" w:sz="0" w:space="0" w:color="auto"/>
                    <w:right w:val="none" w:sz="0" w:space="0" w:color="auto"/>
                  </w:divBdr>
                  <w:divsChild>
                    <w:div w:id="270892513">
                      <w:marLeft w:val="0"/>
                      <w:marRight w:val="0"/>
                      <w:marTop w:val="120"/>
                      <w:marBottom w:val="0"/>
                      <w:divBdr>
                        <w:top w:val="none" w:sz="0" w:space="0" w:color="auto"/>
                        <w:left w:val="none" w:sz="0" w:space="0" w:color="auto"/>
                        <w:bottom w:val="none" w:sz="0" w:space="0" w:color="auto"/>
                        <w:right w:val="none" w:sz="0" w:space="0" w:color="auto"/>
                      </w:divBdr>
                      <w:divsChild>
                        <w:div w:id="1802266308">
                          <w:marLeft w:val="0"/>
                          <w:marRight w:val="0"/>
                          <w:marTop w:val="0"/>
                          <w:marBottom w:val="0"/>
                          <w:divBdr>
                            <w:top w:val="none" w:sz="0" w:space="0" w:color="auto"/>
                            <w:left w:val="none" w:sz="0" w:space="0" w:color="auto"/>
                            <w:bottom w:val="none" w:sz="0" w:space="0" w:color="auto"/>
                            <w:right w:val="none" w:sz="0" w:space="0" w:color="auto"/>
                          </w:divBdr>
                          <w:divsChild>
                            <w:div w:id="90391573">
                              <w:marLeft w:val="180"/>
                              <w:marRight w:val="0"/>
                              <w:marTop w:val="0"/>
                              <w:marBottom w:val="0"/>
                              <w:divBdr>
                                <w:top w:val="none" w:sz="0" w:space="0" w:color="auto"/>
                                <w:left w:val="none" w:sz="0" w:space="0" w:color="auto"/>
                                <w:bottom w:val="none" w:sz="0" w:space="0" w:color="auto"/>
                                <w:right w:val="none" w:sz="0" w:space="0" w:color="auto"/>
                              </w:divBdr>
                              <w:divsChild>
                                <w:div w:id="17945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477758">
                  <w:marLeft w:val="0"/>
                  <w:marRight w:val="0"/>
                  <w:marTop w:val="0"/>
                  <w:marBottom w:val="0"/>
                  <w:divBdr>
                    <w:top w:val="none" w:sz="0" w:space="0" w:color="auto"/>
                    <w:left w:val="none" w:sz="0" w:space="0" w:color="auto"/>
                    <w:bottom w:val="none" w:sz="0" w:space="0" w:color="auto"/>
                    <w:right w:val="none" w:sz="0" w:space="0" w:color="auto"/>
                  </w:divBdr>
                  <w:divsChild>
                    <w:div w:id="345641756">
                      <w:marLeft w:val="0"/>
                      <w:marRight w:val="0"/>
                      <w:marTop w:val="120"/>
                      <w:marBottom w:val="0"/>
                      <w:divBdr>
                        <w:top w:val="none" w:sz="0" w:space="0" w:color="auto"/>
                        <w:left w:val="none" w:sz="0" w:space="0" w:color="auto"/>
                        <w:bottom w:val="none" w:sz="0" w:space="0" w:color="auto"/>
                        <w:right w:val="none" w:sz="0" w:space="0" w:color="auto"/>
                      </w:divBdr>
                      <w:divsChild>
                        <w:div w:id="561865765">
                          <w:marLeft w:val="0"/>
                          <w:marRight w:val="0"/>
                          <w:marTop w:val="0"/>
                          <w:marBottom w:val="0"/>
                          <w:divBdr>
                            <w:top w:val="none" w:sz="0" w:space="0" w:color="auto"/>
                            <w:left w:val="none" w:sz="0" w:space="0" w:color="auto"/>
                            <w:bottom w:val="none" w:sz="0" w:space="0" w:color="auto"/>
                            <w:right w:val="none" w:sz="0" w:space="0" w:color="auto"/>
                          </w:divBdr>
                          <w:divsChild>
                            <w:div w:id="1805343778">
                              <w:marLeft w:val="180"/>
                              <w:marRight w:val="0"/>
                              <w:marTop w:val="0"/>
                              <w:marBottom w:val="0"/>
                              <w:divBdr>
                                <w:top w:val="none" w:sz="0" w:space="0" w:color="auto"/>
                                <w:left w:val="none" w:sz="0" w:space="0" w:color="auto"/>
                                <w:bottom w:val="none" w:sz="0" w:space="0" w:color="auto"/>
                                <w:right w:val="none" w:sz="0" w:space="0" w:color="auto"/>
                              </w:divBdr>
                              <w:divsChild>
                                <w:div w:id="8546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10451">
                  <w:marLeft w:val="0"/>
                  <w:marRight w:val="0"/>
                  <w:marTop w:val="0"/>
                  <w:marBottom w:val="0"/>
                  <w:divBdr>
                    <w:top w:val="none" w:sz="0" w:space="0" w:color="auto"/>
                    <w:left w:val="none" w:sz="0" w:space="0" w:color="auto"/>
                    <w:bottom w:val="none" w:sz="0" w:space="0" w:color="auto"/>
                    <w:right w:val="none" w:sz="0" w:space="0" w:color="auto"/>
                  </w:divBdr>
                  <w:divsChild>
                    <w:div w:id="68625953">
                      <w:marLeft w:val="0"/>
                      <w:marRight w:val="0"/>
                      <w:marTop w:val="120"/>
                      <w:marBottom w:val="0"/>
                      <w:divBdr>
                        <w:top w:val="none" w:sz="0" w:space="0" w:color="auto"/>
                        <w:left w:val="none" w:sz="0" w:space="0" w:color="auto"/>
                        <w:bottom w:val="none" w:sz="0" w:space="0" w:color="auto"/>
                        <w:right w:val="none" w:sz="0" w:space="0" w:color="auto"/>
                      </w:divBdr>
                      <w:divsChild>
                        <w:div w:id="942765214">
                          <w:marLeft w:val="0"/>
                          <w:marRight w:val="0"/>
                          <w:marTop w:val="0"/>
                          <w:marBottom w:val="0"/>
                          <w:divBdr>
                            <w:top w:val="none" w:sz="0" w:space="0" w:color="auto"/>
                            <w:left w:val="none" w:sz="0" w:space="0" w:color="auto"/>
                            <w:bottom w:val="none" w:sz="0" w:space="0" w:color="auto"/>
                            <w:right w:val="none" w:sz="0" w:space="0" w:color="auto"/>
                          </w:divBdr>
                          <w:divsChild>
                            <w:div w:id="1588995466">
                              <w:marLeft w:val="180"/>
                              <w:marRight w:val="0"/>
                              <w:marTop w:val="0"/>
                              <w:marBottom w:val="0"/>
                              <w:divBdr>
                                <w:top w:val="none" w:sz="0" w:space="0" w:color="auto"/>
                                <w:left w:val="none" w:sz="0" w:space="0" w:color="auto"/>
                                <w:bottom w:val="none" w:sz="0" w:space="0" w:color="auto"/>
                                <w:right w:val="none" w:sz="0" w:space="0" w:color="auto"/>
                              </w:divBdr>
                              <w:divsChild>
                                <w:div w:id="3021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28948">
                  <w:marLeft w:val="0"/>
                  <w:marRight w:val="0"/>
                  <w:marTop w:val="0"/>
                  <w:marBottom w:val="0"/>
                  <w:divBdr>
                    <w:top w:val="none" w:sz="0" w:space="0" w:color="auto"/>
                    <w:left w:val="none" w:sz="0" w:space="0" w:color="auto"/>
                    <w:bottom w:val="none" w:sz="0" w:space="0" w:color="auto"/>
                    <w:right w:val="none" w:sz="0" w:space="0" w:color="auto"/>
                  </w:divBdr>
                  <w:divsChild>
                    <w:div w:id="171184727">
                      <w:marLeft w:val="0"/>
                      <w:marRight w:val="0"/>
                      <w:marTop w:val="120"/>
                      <w:marBottom w:val="0"/>
                      <w:divBdr>
                        <w:top w:val="none" w:sz="0" w:space="0" w:color="auto"/>
                        <w:left w:val="none" w:sz="0" w:space="0" w:color="auto"/>
                        <w:bottom w:val="none" w:sz="0" w:space="0" w:color="auto"/>
                        <w:right w:val="none" w:sz="0" w:space="0" w:color="auto"/>
                      </w:divBdr>
                      <w:divsChild>
                        <w:div w:id="879391712">
                          <w:marLeft w:val="0"/>
                          <w:marRight w:val="0"/>
                          <w:marTop w:val="0"/>
                          <w:marBottom w:val="0"/>
                          <w:divBdr>
                            <w:top w:val="none" w:sz="0" w:space="0" w:color="auto"/>
                            <w:left w:val="none" w:sz="0" w:space="0" w:color="auto"/>
                            <w:bottom w:val="none" w:sz="0" w:space="0" w:color="auto"/>
                            <w:right w:val="none" w:sz="0" w:space="0" w:color="auto"/>
                          </w:divBdr>
                          <w:divsChild>
                            <w:div w:id="605888262">
                              <w:marLeft w:val="180"/>
                              <w:marRight w:val="0"/>
                              <w:marTop w:val="0"/>
                              <w:marBottom w:val="0"/>
                              <w:divBdr>
                                <w:top w:val="none" w:sz="0" w:space="0" w:color="auto"/>
                                <w:left w:val="none" w:sz="0" w:space="0" w:color="auto"/>
                                <w:bottom w:val="none" w:sz="0" w:space="0" w:color="auto"/>
                                <w:right w:val="none" w:sz="0" w:space="0" w:color="auto"/>
                              </w:divBdr>
                              <w:divsChild>
                                <w:div w:id="20926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564217">
                  <w:marLeft w:val="0"/>
                  <w:marRight w:val="0"/>
                  <w:marTop w:val="0"/>
                  <w:marBottom w:val="0"/>
                  <w:divBdr>
                    <w:top w:val="none" w:sz="0" w:space="0" w:color="auto"/>
                    <w:left w:val="none" w:sz="0" w:space="0" w:color="auto"/>
                    <w:bottom w:val="none" w:sz="0" w:space="0" w:color="auto"/>
                    <w:right w:val="none" w:sz="0" w:space="0" w:color="auto"/>
                  </w:divBdr>
                  <w:divsChild>
                    <w:div w:id="1064329567">
                      <w:marLeft w:val="0"/>
                      <w:marRight w:val="0"/>
                      <w:marTop w:val="120"/>
                      <w:marBottom w:val="0"/>
                      <w:divBdr>
                        <w:top w:val="none" w:sz="0" w:space="0" w:color="auto"/>
                        <w:left w:val="none" w:sz="0" w:space="0" w:color="auto"/>
                        <w:bottom w:val="none" w:sz="0" w:space="0" w:color="auto"/>
                        <w:right w:val="none" w:sz="0" w:space="0" w:color="auto"/>
                      </w:divBdr>
                      <w:divsChild>
                        <w:div w:id="1229918131">
                          <w:marLeft w:val="0"/>
                          <w:marRight w:val="0"/>
                          <w:marTop w:val="0"/>
                          <w:marBottom w:val="0"/>
                          <w:divBdr>
                            <w:top w:val="none" w:sz="0" w:space="0" w:color="auto"/>
                            <w:left w:val="none" w:sz="0" w:space="0" w:color="auto"/>
                            <w:bottom w:val="none" w:sz="0" w:space="0" w:color="auto"/>
                            <w:right w:val="none" w:sz="0" w:space="0" w:color="auto"/>
                          </w:divBdr>
                          <w:divsChild>
                            <w:div w:id="574902636">
                              <w:marLeft w:val="180"/>
                              <w:marRight w:val="0"/>
                              <w:marTop w:val="0"/>
                              <w:marBottom w:val="0"/>
                              <w:divBdr>
                                <w:top w:val="none" w:sz="0" w:space="0" w:color="auto"/>
                                <w:left w:val="none" w:sz="0" w:space="0" w:color="auto"/>
                                <w:bottom w:val="none" w:sz="0" w:space="0" w:color="auto"/>
                                <w:right w:val="none" w:sz="0" w:space="0" w:color="auto"/>
                              </w:divBdr>
                              <w:divsChild>
                                <w:div w:id="166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588373">
      <w:bodyDiv w:val="1"/>
      <w:marLeft w:val="0"/>
      <w:marRight w:val="0"/>
      <w:marTop w:val="0"/>
      <w:marBottom w:val="0"/>
      <w:divBdr>
        <w:top w:val="none" w:sz="0" w:space="0" w:color="auto"/>
        <w:left w:val="none" w:sz="0" w:space="0" w:color="auto"/>
        <w:bottom w:val="none" w:sz="0" w:space="0" w:color="auto"/>
        <w:right w:val="none" w:sz="0" w:space="0" w:color="auto"/>
      </w:divBdr>
      <w:divsChild>
        <w:div w:id="2030595907">
          <w:marLeft w:val="-510"/>
          <w:marRight w:val="0"/>
          <w:marTop w:val="0"/>
          <w:marBottom w:val="0"/>
          <w:divBdr>
            <w:top w:val="none" w:sz="0" w:space="0" w:color="auto"/>
            <w:left w:val="none" w:sz="0" w:space="0" w:color="auto"/>
            <w:bottom w:val="none" w:sz="0" w:space="0" w:color="auto"/>
            <w:right w:val="none" w:sz="0" w:space="0" w:color="auto"/>
          </w:divBdr>
          <w:divsChild>
            <w:div w:id="496463763">
              <w:marLeft w:val="0"/>
              <w:marRight w:val="0"/>
              <w:marTop w:val="0"/>
              <w:marBottom w:val="0"/>
              <w:divBdr>
                <w:top w:val="none" w:sz="0" w:space="0" w:color="auto"/>
                <w:left w:val="none" w:sz="0" w:space="0" w:color="auto"/>
                <w:bottom w:val="none" w:sz="0" w:space="0" w:color="auto"/>
                <w:right w:val="none" w:sz="0" w:space="0" w:color="auto"/>
              </w:divBdr>
              <w:divsChild>
                <w:div w:id="10831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10824">
          <w:marLeft w:val="0"/>
          <w:marRight w:val="0"/>
          <w:marTop w:val="330"/>
          <w:marBottom w:val="0"/>
          <w:divBdr>
            <w:top w:val="none" w:sz="0" w:space="0" w:color="auto"/>
            <w:left w:val="none" w:sz="0" w:space="0" w:color="auto"/>
            <w:bottom w:val="none" w:sz="0" w:space="0" w:color="auto"/>
            <w:right w:val="none" w:sz="0" w:space="0" w:color="auto"/>
          </w:divBdr>
        </w:div>
      </w:divsChild>
    </w:div>
    <w:div w:id="739595335">
      <w:bodyDiv w:val="1"/>
      <w:marLeft w:val="0"/>
      <w:marRight w:val="0"/>
      <w:marTop w:val="0"/>
      <w:marBottom w:val="0"/>
      <w:divBdr>
        <w:top w:val="none" w:sz="0" w:space="0" w:color="auto"/>
        <w:left w:val="none" w:sz="0" w:space="0" w:color="auto"/>
        <w:bottom w:val="none" w:sz="0" w:space="0" w:color="auto"/>
        <w:right w:val="none" w:sz="0" w:space="0" w:color="auto"/>
      </w:divBdr>
      <w:divsChild>
        <w:div w:id="1122458530">
          <w:marLeft w:val="0"/>
          <w:marRight w:val="0"/>
          <w:marTop w:val="0"/>
          <w:marBottom w:val="0"/>
          <w:divBdr>
            <w:top w:val="none" w:sz="0" w:space="0" w:color="auto"/>
            <w:left w:val="none" w:sz="0" w:space="0" w:color="auto"/>
            <w:bottom w:val="none" w:sz="0" w:space="0" w:color="auto"/>
            <w:right w:val="none" w:sz="0" w:space="0" w:color="auto"/>
          </w:divBdr>
          <w:divsChild>
            <w:div w:id="961619595">
              <w:marLeft w:val="0"/>
              <w:marRight w:val="0"/>
              <w:marTop w:val="0"/>
              <w:marBottom w:val="330"/>
              <w:divBdr>
                <w:top w:val="none" w:sz="0" w:space="0" w:color="auto"/>
                <w:left w:val="none" w:sz="0" w:space="0" w:color="auto"/>
                <w:bottom w:val="none" w:sz="0" w:space="0" w:color="auto"/>
                <w:right w:val="none" w:sz="0" w:space="0" w:color="auto"/>
              </w:divBdr>
              <w:divsChild>
                <w:div w:id="1699618659">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286041175">
          <w:marLeft w:val="0"/>
          <w:marRight w:val="0"/>
          <w:marTop w:val="0"/>
          <w:marBottom w:val="0"/>
          <w:divBdr>
            <w:top w:val="none" w:sz="0" w:space="0" w:color="auto"/>
            <w:left w:val="none" w:sz="0" w:space="0" w:color="auto"/>
            <w:bottom w:val="none" w:sz="0" w:space="0" w:color="auto"/>
            <w:right w:val="none" w:sz="0" w:space="0" w:color="auto"/>
          </w:divBdr>
          <w:divsChild>
            <w:div w:id="1006009282">
              <w:marLeft w:val="0"/>
              <w:marRight w:val="0"/>
              <w:marTop w:val="30"/>
              <w:marBottom w:val="0"/>
              <w:divBdr>
                <w:top w:val="none" w:sz="0" w:space="0" w:color="auto"/>
                <w:left w:val="none" w:sz="0" w:space="0" w:color="auto"/>
                <w:bottom w:val="none" w:sz="0" w:space="0" w:color="auto"/>
                <w:right w:val="none" w:sz="0" w:space="0" w:color="auto"/>
              </w:divBdr>
              <w:divsChild>
                <w:div w:id="1973897409">
                  <w:marLeft w:val="-510"/>
                  <w:marRight w:val="0"/>
                  <w:marTop w:val="0"/>
                  <w:marBottom w:val="0"/>
                  <w:divBdr>
                    <w:top w:val="none" w:sz="0" w:space="0" w:color="auto"/>
                    <w:left w:val="none" w:sz="0" w:space="0" w:color="auto"/>
                    <w:bottom w:val="none" w:sz="0" w:space="0" w:color="auto"/>
                    <w:right w:val="none" w:sz="0" w:space="0" w:color="auto"/>
                  </w:divBdr>
                  <w:divsChild>
                    <w:div w:id="1925336022">
                      <w:marLeft w:val="0"/>
                      <w:marRight w:val="0"/>
                      <w:marTop w:val="0"/>
                      <w:marBottom w:val="0"/>
                      <w:divBdr>
                        <w:top w:val="none" w:sz="0" w:space="0" w:color="auto"/>
                        <w:left w:val="none" w:sz="0" w:space="0" w:color="auto"/>
                        <w:bottom w:val="none" w:sz="0" w:space="0" w:color="auto"/>
                        <w:right w:val="none" w:sz="0" w:space="0" w:color="auto"/>
                      </w:divBdr>
                      <w:divsChild>
                        <w:div w:id="20188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98668">
                  <w:marLeft w:val="0"/>
                  <w:marRight w:val="0"/>
                  <w:marTop w:val="330"/>
                  <w:marBottom w:val="0"/>
                  <w:divBdr>
                    <w:top w:val="none" w:sz="0" w:space="0" w:color="auto"/>
                    <w:left w:val="none" w:sz="0" w:space="0" w:color="auto"/>
                    <w:bottom w:val="none" w:sz="0" w:space="0" w:color="auto"/>
                    <w:right w:val="none" w:sz="0" w:space="0" w:color="auto"/>
                  </w:divBdr>
                </w:div>
              </w:divsChild>
            </w:div>
            <w:div w:id="190729203">
              <w:marLeft w:val="0"/>
              <w:marRight w:val="0"/>
              <w:marTop w:val="30"/>
              <w:marBottom w:val="0"/>
              <w:divBdr>
                <w:top w:val="none" w:sz="0" w:space="0" w:color="auto"/>
                <w:left w:val="none" w:sz="0" w:space="0" w:color="auto"/>
                <w:bottom w:val="none" w:sz="0" w:space="0" w:color="auto"/>
                <w:right w:val="none" w:sz="0" w:space="0" w:color="auto"/>
              </w:divBdr>
              <w:divsChild>
                <w:div w:id="63914812">
                  <w:marLeft w:val="0"/>
                  <w:marRight w:val="0"/>
                  <w:marTop w:val="0"/>
                  <w:marBottom w:val="0"/>
                  <w:divBdr>
                    <w:top w:val="none" w:sz="0" w:space="0" w:color="auto"/>
                    <w:left w:val="none" w:sz="0" w:space="0" w:color="auto"/>
                    <w:bottom w:val="none" w:sz="0" w:space="0" w:color="auto"/>
                    <w:right w:val="none" w:sz="0" w:space="0" w:color="auto"/>
                  </w:divBdr>
                  <w:divsChild>
                    <w:div w:id="1618632784">
                      <w:marLeft w:val="0"/>
                      <w:marRight w:val="0"/>
                      <w:marTop w:val="0"/>
                      <w:marBottom w:val="0"/>
                      <w:divBdr>
                        <w:top w:val="none" w:sz="0" w:space="0" w:color="auto"/>
                        <w:left w:val="none" w:sz="0" w:space="0" w:color="auto"/>
                        <w:bottom w:val="none" w:sz="0" w:space="0" w:color="auto"/>
                        <w:right w:val="none" w:sz="0" w:space="0" w:color="auto"/>
                      </w:divBdr>
                      <w:divsChild>
                        <w:div w:id="18255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59518">
                  <w:marLeft w:val="0"/>
                  <w:marRight w:val="0"/>
                  <w:marTop w:val="0"/>
                  <w:marBottom w:val="0"/>
                  <w:divBdr>
                    <w:top w:val="none" w:sz="0" w:space="0" w:color="auto"/>
                    <w:left w:val="none" w:sz="0" w:space="0" w:color="auto"/>
                    <w:bottom w:val="none" w:sz="0" w:space="0" w:color="auto"/>
                    <w:right w:val="none" w:sz="0" w:space="0" w:color="auto"/>
                  </w:divBdr>
                  <w:divsChild>
                    <w:div w:id="1321155857">
                      <w:marLeft w:val="0"/>
                      <w:marRight w:val="0"/>
                      <w:marTop w:val="0"/>
                      <w:marBottom w:val="0"/>
                      <w:divBdr>
                        <w:top w:val="none" w:sz="0" w:space="0" w:color="auto"/>
                        <w:left w:val="none" w:sz="0" w:space="0" w:color="auto"/>
                        <w:bottom w:val="none" w:sz="0" w:space="0" w:color="auto"/>
                        <w:right w:val="none" w:sz="0" w:space="0" w:color="auto"/>
                      </w:divBdr>
                      <w:divsChild>
                        <w:div w:id="947081100">
                          <w:marLeft w:val="0"/>
                          <w:marRight w:val="0"/>
                          <w:marTop w:val="120"/>
                          <w:marBottom w:val="0"/>
                          <w:divBdr>
                            <w:top w:val="none" w:sz="0" w:space="0" w:color="auto"/>
                            <w:left w:val="none" w:sz="0" w:space="0" w:color="auto"/>
                            <w:bottom w:val="none" w:sz="0" w:space="0" w:color="auto"/>
                            <w:right w:val="none" w:sz="0" w:space="0" w:color="auto"/>
                          </w:divBdr>
                          <w:divsChild>
                            <w:div w:id="1729109172">
                              <w:marLeft w:val="0"/>
                              <w:marRight w:val="0"/>
                              <w:marTop w:val="0"/>
                              <w:marBottom w:val="0"/>
                              <w:divBdr>
                                <w:top w:val="none" w:sz="0" w:space="0" w:color="auto"/>
                                <w:left w:val="none" w:sz="0" w:space="0" w:color="auto"/>
                                <w:bottom w:val="none" w:sz="0" w:space="0" w:color="auto"/>
                                <w:right w:val="none" w:sz="0" w:space="0" w:color="auto"/>
                              </w:divBdr>
                              <w:divsChild>
                                <w:div w:id="1578398067">
                                  <w:marLeft w:val="180"/>
                                  <w:marRight w:val="0"/>
                                  <w:marTop w:val="0"/>
                                  <w:marBottom w:val="0"/>
                                  <w:divBdr>
                                    <w:top w:val="none" w:sz="0" w:space="0" w:color="auto"/>
                                    <w:left w:val="none" w:sz="0" w:space="0" w:color="auto"/>
                                    <w:bottom w:val="none" w:sz="0" w:space="0" w:color="auto"/>
                                    <w:right w:val="none" w:sz="0" w:space="0" w:color="auto"/>
                                  </w:divBdr>
                                  <w:divsChild>
                                    <w:div w:id="16793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6531">
                      <w:marLeft w:val="0"/>
                      <w:marRight w:val="0"/>
                      <w:marTop w:val="0"/>
                      <w:marBottom w:val="0"/>
                      <w:divBdr>
                        <w:top w:val="none" w:sz="0" w:space="0" w:color="auto"/>
                        <w:left w:val="none" w:sz="0" w:space="0" w:color="auto"/>
                        <w:bottom w:val="none" w:sz="0" w:space="0" w:color="auto"/>
                        <w:right w:val="none" w:sz="0" w:space="0" w:color="auto"/>
                      </w:divBdr>
                      <w:divsChild>
                        <w:div w:id="1552811027">
                          <w:marLeft w:val="0"/>
                          <w:marRight w:val="0"/>
                          <w:marTop w:val="120"/>
                          <w:marBottom w:val="0"/>
                          <w:divBdr>
                            <w:top w:val="none" w:sz="0" w:space="0" w:color="auto"/>
                            <w:left w:val="none" w:sz="0" w:space="0" w:color="auto"/>
                            <w:bottom w:val="none" w:sz="0" w:space="0" w:color="auto"/>
                            <w:right w:val="none" w:sz="0" w:space="0" w:color="auto"/>
                          </w:divBdr>
                          <w:divsChild>
                            <w:div w:id="845098697">
                              <w:marLeft w:val="0"/>
                              <w:marRight w:val="0"/>
                              <w:marTop w:val="0"/>
                              <w:marBottom w:val="0"/>
                              <w:divBdr>
                                <w:top w:val="none" w:sz="0" w:space="0" w:color="auto"/>
                                <w:left w:val="none" w:sz="0" w:space="0" w:color="auto"/>
                                <w:bottom w:val="none" w:sz="0" w:space="0" w:color="auto"/>
                                <w:right w:val="none" w:sz="0" w:space="0" w:color="auto"/>
                              </w:divBdr>
                              <w:divsChild>
                                <w:div w:id="348143391">
                                  <w:marLeft w:val="180"/>
                                  <w:marRight w:val="0"/>
                                  <w:marTop w:val="0"/>
                                  <w:marBottom w:val="0"/>
                                  <w:divBdr>
                                    <w:top w:val="none" w:sz="0" w:space="0" w:color="auto"/>
                                    <w:left w:val="none" w:sz="0" w:space="0" w:color="auto"/>
                                    <w:bottom w:val="none" w:sz="0" w:space="0" w:color="auto"/>
                                    <w:right w:val="none" w:sz="0" w:space="0" w:color="auto"/>
                                  </w:divBdr>
                                  <w:divsChild>
                                    <w:div w:id="15666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259224">
                      <w:marLeft w:val="0"/>
                      <w:marRight w:val="0"/>
                      <w:marTop w:val="0"/>
                      <w:marBottom w:val="0"/>
                      <w:divBdr>
                        <w:top w:val="none" w:sz="0" w:space="0" w:color="auto"/>
                        <w:left w:val="none" w:sz="0" w:space="0" w:color="auto"/>
                        <w:bottom w:val="none" w:sz="0" w:space="0" w:color="auto"/>
                        <w:right w:val="none" w:sz="0" w:space="0" w:color="auto"/>
                      </w:divBdr>
                      <w:divsChild>
                        <w:div w:id="405034685">
                          <w:marLeft w:val="0"/>
                          <w:marRight w:val="0"/>
                          <w:marTop w:val="120"/>
                          <w:marBottom w:val="0"/>
                          <w:divBdr>
                            <w:top w:val="none" w:sz="0" w:space="0" w:color="auto"/>
                            <w:left w:val="none" w:sz="0" w:space="0" w:color="auto"/>
                            <w:bottom w:val="none" w:sz="0" w:space="0" w:color="auto"/>
                            <w:right w:val="none" w:sz="0" w:space="0" w:color="auto"/>
                          </w:divBdr>
                          <w:divsChild>
                            <w:div w:id="212544232">
                              <w:marLeft w:val="0"/>
                              <w:marRight w:val="0"/>
                              <w:marTop w:val="0"/>
                              <w:marBottom w:val="0"/>
                              <w:divBdr>
                                <w:top w:val="none" w:sz="0" w:space="0" w:color="auto"/>
                                <w:left w:val="none" w:sz="0" w:space="0" w:color="auto"/>
                                <w:bottom w:val="none" w:sz="0" w:space="0" w:color="auto"/>
                                <w:right w:val="none" w:sz="0" w:space="0" w:color="auto"/>
                              </w:divBdr>
                              <w:divsChild>
                                <w:div w:id="862748224">
                                  <w:marLeft w:val="180"/>
                                  <w:marRight w:val="0"/>
                                  <w:marTop w:val="0"/>
                                  <w:marBottom w:val="0"/>
                                  <w:divBdr>
                                    <w:top w:val="none" w:sz="0" w:space="0" w:color="auto"/>
                                    <w:left w:val="none" w:sz="0" w:space="0" w:color="auto"/>
                                    <w:bottom w:val="none" w:sz="0" w:space="0" w:color="auto"/>
                                    <w:right w:val="none" w:sz="0" w:space="0" w:color="auto"/>
                                  </w:divBdr>
                                  <w:divsChild>
                                    <w:div w:id="7199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595409">
      <w:bodyDiv w:val="1"/>
      <w:marLeft w:val="0"/>
      <w:marRight w:val="0"/>
      <w:marTop w:val="0"/>
      <w:marBottom w:val="0"/>
      <w:divBdr>
        <w:top w:val="none" w:sz="0" w:space="0" w:color="auto"/>
        <w:left w:val="none" w:sz="0" w:space="0" w:color="auto"/>
        <w:bottom w:val="none" w:sz="0" w:space="0" w:color="auto"/>
        <w:right w:val="none" w:sz="0" w:space="0" w:color="auto"/>
      </w:divBdr>
      <w:divsChild>
        <w:div w:id="1721245613">
          <w:marLeft w:val="0"/>
          <w:marRight w:val="0"/>
          <w:marTop w:val="30"/>
          <w:marBottom w:val="0"/>
          <w:divBdr>
            <w:top w:val="none" w:sz="0" w:space="0" w:color="auto"/>
            <w:left w:val="none" w:sz="0" w:space="0" w:color="auto"/>
            <w:bottom w:val="none" w:sz="0" w:space="0" w:color="auto"/>
            <w:right w:val="none" w:sz="0" w:space="0" w:color="auto"/>
          </w:divBdr>
          <w:divsChild>
            <w:div w:id="1517688656">
              <w:marLeft w:val="-510"/>
              <w:marRight w:val="0"/>
              <w:marTop w:val="0"/>
              <w:marBottom w:val="0"/>
              <w:divBdr>
                <w:top w:val="none" w:sz="0" w:space="0" w:color="auto"/>
                <w:left w:val="none" w:sz="0" w:space="0" w:color="auto"/>
                <w:bottom w:val="none" w:sz="0" w:space="0" w:color="auto"/>
                <w:right w:val="none" w:sz="0" w:space="0" w:color="auto"/>
              </w:divBdr>
              <w:divsChild>
                <w:div w:id="349110728">
                  <w:marLeft w:val="0"/>
                  <w:marRight w:val="0"/>
                  <w:marTop w:val="0"/>
                  <w:marBottom w:val="0"/>
                  <w:divBdr>
                    <w:top w:val="none" w:sz="0" w:space="0" w:color="auto"/>
                    <w:left w:val="none" w:sz="0" w:space="0" w:color="auto"/>
                    <w:bottom w:val="none" w:sz="0" w:space="0" w:color="auto"/>
                    <w:right w:val="none" w:sz="0" w:space="0" w:color="auto"/>
                  </w:divBdr>
                  <w:divsChild>
                    <w:div w:id="21126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64966">
          <w:marLeft w:val="0"/>
          <w:marRight w:val="0"/>
          <w:marTop w:val="30"/>
          <w:marBottom w:val="0"/>
          <w:divBdr>
            <w:top w:val="none" w:sz="0" w:space="0" w:color="auto"/>
            <w:left w:val="none" w:sz="0" w:space="0" w:color="auto"/>
            <w:bottom w:val="none" w:sz="0" w:space="0" w:color="auto"/>
            <w:right w:val="none" w:sz="0" w:space="0" w:color="auto"/>
          </w:divBdr>
          <w:divsChild>
            <w:div w:id="206838725">
              <w:marLeft w:val="0"/>
              <w:marRight w:val="0"/>
              <w:marTop w:val="0"/>
              <w:marBottom w:val="0"/>
              <w:divBdr>
                <w:top w:val="none" w:sz="0" w:space="0" w:color="auto"/>
                <w:left w:val="none" w:sz="0" w:space="0" w:color="auto"/>
                <w:bottom w:val="none" w:sz="0" w:space="0" w:color="auto"/>
                <w:right w:val="none" w:sz="0" w:space="0" w:color="auto"/>
              </w:divBdr>
              <w:divsChild>
                <w:div w:id="896017546">
                  <w:marLeft w:val="0"/>
                  <w:marRight w:val="0"/>
                  <w:marTop w:val="0"/>
                  <w:marBottom w:val="0"/>
                  <w:divBdr>
                    <w:top w:val="none" w:sz="0" w:space="0" w:color="auto"/>
                    <w:left w:val="none" w:sz="0" w:space="0" w:color="auto"/>
                    <w:bottom w:val="none" w:sz="0" w:space="0" w:color="auto"/>
                    <w:right w:val="none" w:sz="0" w:space="0" w:color="auto"/>
                  </w:divBdr>
                  <w:divsChild>
                    <w:div w:id="314843533">
                      <w:marLeft w:val="0"/>
                      <w:marRight w:val="0"/>
                      <w:marTop w:val="120"/>
                      <w:marBottom w:val="0"/>
                      <w:divBdr>
                        <w:top w:val="none" w:sz="0" w:space="0" w:color="auto"/>
                        <w:left w:val="none" w:sz="0" w:space="0" w:color="auto"/>
                        <w:bottom w:val="none" w:sz="0" w:space="0" w:color="auto"/>
                        <w:right w:val="none" w:sz="0" w:space="0" w:color="auto"/>
                      </w:divBdr>
                      <w:divsChild>
                        <w:div w:id="2024044806">
                          <w:marLeft w:val="0"/>
                          <w:marRight w:val="0"/>
                          <w:marTop w:val="0"/>
                          <w:marBottom w:val="0"/>
                          <w:divBdr>
                            <w:top w:val="none" w:sz="0" w:space="0" w:color="auto"/>
                            <w:left w:val="none" w:sz="0" w:space="0" w:color="auto"/>
                            <w:bottom w:val="none" w:sz="0" w:space="0" w:color="auto"/>
                            <w:right w:val="none" w:sz="0" w:space="0" w:color="auto"/>
                          </w:divBdr>
                          <w:divsChild>
                            <w:div w:id="612325612">
                              <w:marLeft w:val="180"/>
                              <w:marRight w:val="0"/>
                              <w:marTop w:val="0"/>
                              <w:marBottom w:val="0"/>
                              <w:divBdr>
                                <w:top w:val="none" w:sz="0" w:space="0" w:color="auto"/>
                                <w:left w:val="none" w:sz="0" w:space="0" w:color="auto"/>
                                <w:bottom w:val="none" w:sz="0" w:space="0" w:color="auto"/>
                                <w:right w:val="none" w:sz="0" w:space="0" w:color="auto"/>
                              </w:divBdr>
                              <w:divsChild>
                                <w:div w:id="8832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099406">
                  <w:marLeft w:val="0"/>
                  <w:marRight w:val="0"/>
                  <w:marTop w:val="0"/>
                  <w:marBottom w:val="0"/>
                  <w:divBdr>
                    <w:top w:val="none" w:sz="0" w:space="0" w:color="auto"/>
                    <w:left w:val="none" w:sz="0" w:space="0" w:color="auto"/>
                    <w:bottom w:val="none" w:sz="0" w:space="0" w:color="auto"/>
                    <w:right w:val="none" w:sz="0" w:space="0" w:color="auto"/>
                  </w:divBdr>
                  <w:divsChild>
                    <w:div w:id="276642439">
                      <w:marLeft w:val="0"/>
                      <w:marRight w:val="0"/>
                      <w:marTop w:val="120"/>
                      <w:marBottom w:val="0"/>
                      <w:divBdr>
                        <w:top w:val="none" w:sz="0" w:space="0" w:color="auto"/>
                        <w:left w:val="none" w:sz="0" w:space="0" w:color="auto"/>
                        <w:bottom w:val="none" w:sz="0" w:space="0" w:color="auto"/>
                        <w:right w:val="none" w:sz="0" w:space="0" w:color="auto"/>
                      </w:divBdr>
                      <w:divsChild>
                        <w:div w:id="663507894">
                          <w:marLeft w:val="0"/>
                          <w:marRight w:val="0"/>
                          <w:marTop w:val="0"/>
                          <w:marBottom w:val="0"/>
                          <w:divBdr>
                            <w:top w:val="none" w:sz="0" w:space="0" w:color="auto"/>
                            <w:left w:val="none" w:sz="0" w:space="0" w:color="auto"/>
                            <w:bottom w:val="none" w:sz="0" w:space="0" w:color="auto"/>
                            <w:right w:val="none" w:sz="0" w:space="0" w:color="auto"/>
                          </w:divBdr>
                          <w:divsChild>
                            <w:div w:id="1236041651">
                              <w:marLeft w:val="180"/>
                              <w:marRight w:val="0"/>
                              <w:marTop w:val="0"/>
                              <w:marBottom w:val="0"/>
                              <w:divBdr>
                                <w:top w:val="none" w:sz="0" w:space="0" w:color="auto"/>
                                <w:left w:val="none" w:sz="0" w:space="0" w:color="auto"/>
                                <w:bottom w:val="none" w:sz="0" w:space="0" w:color="auto"/>
                                <w:right w:val="none" w:sz="0" w:space="0" w:color="auto"/>
                              </w:divBdr>
                              <w:divsChild>
                                <w:div w:id="16867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16869">
                  <w:marLeft w:val="0"/>
                  <w:marRight w:val="0"/>
                  <w:marTop w:val="0"/>
                  <w:marBottom w:val="0"/>
                  <w:divBdr>
                    <w:top w:val="none" w:sz="0" w:space="0" w:color="auto"/>
                    <w:left w:val="none" w:sz="0" w:space="0" w:color="auto"/>
                    <w:bottom w:val="none" w:sz="0" w:space="0" w:color="auto"/>
                    <w:right w:val="none" w:sz="0" w:space="0" w:color="auto"/>
                  </w:divBdr>
                  <w:divsChild>
                    <w:div w:id="1835027031">
                      <w:marLeft w:val="0"/>
                      <w:marRight w:val="0"/>
                      <w:marTop w:val="120"/>
                      <w:marBottom w:val="0"/>
                      <w:divBdr>
                        <w:top w:val="none" w:sz="0" w:space="0" w:color="auto"/>
                        <w:left w:val="none" w:sz="0" w:space="0" w:color="auto"/>
                        <w:bottom w:val="none" w:sz="0" w:space="0" w:color="auto"/>
                        <w:right w:val="none" w:sz="0" w:space="0" w:color="auto"/>
                      </w:divBdr>
                      <w:divsChild>
                        <w:div w:id="422839326">
                          <w:marLeft w:val="0"/>
                          <w:marRight w:val="0"/>
                          <w:marTop w:val="0"/>
                          <w:marBottom w:val="0"/>
                          <w:divBdr>
                            <w:top w:val="none" w:sz="0" w:space="0" w:color="auto"/>
                            <w:left w:val="none" w:sz="0" w:space="0" w:color="auto"/>
                            <w:bottom w:val="none" w:sz="0" w:space="0" w:color="auto"/>
                            <w:right w:val="none" w:sz="0" w:space="0" w:color="auto"/>
                          </w:divBdr>
                          <w:divsChild>
                            <w:div w:id="2047097994">
                              <w:marLeft w:val="180"/>
                              <w:marRight w:val="0"/>
                              <w:marTop w:val="0"/>
                              <w:marBottom w:val="0"/>
                              <w:divBdr>
                                <w:top w:val="none" w:sz="0" w:space="0" w:color="auto"/>
                                <w:left w:val="none" w:sz="0" w:space="0" w:color="auto"/>
                                <w:bottom w:val="none" w:sz="0" w:space="0" w:color="auto"/>
                                <w:right w:val="none" w:sz="0" w:space="0" w:color="auto"/>
                              </w:divBdr>
                              <w:divsChild>
                                <w:div w:id="128542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51152">
                  <w:marLeft w:val="0"/>
                  <w:marRight w:val="0"/>
                  <w:marTop w:val="0"/>
                  <w:marBottom w:val="0"/>
                  <w:divBdr>
                    <w:top w:val="none" w:sz="0" w:space="0" w:color="auto"/>
                    <w:left w:val="none" w:sz="0" w:space="0" w:color="auto"/>
                    <w:bottom w:val="none" w:sz="0" w:space="0" w:color="auto"/>
                    <w:right w:val="none" w:sz="0" w:space="0" w:color="auto"/>
                  </w:divBdr>
                  <w:divsChild>
                    <w:div w:id="1243104420">
                      <w:marLeft w:val="0"/>
                      <w:marRight w:val="0"/>
                      <w:marTop w:val="120"/>
                      <w:marBottom w:val="0"/>
                      <w:divBdr>
                        <w:top w:val="none" w:sz="0" w:space="0" w:color="auto"/>
                        <w:left w:val="none" w:sz="0" w:space="0" w:color="auto"/>
                        <w:bottom w:val="none" w:sz="0" w:space="0" w:color="auto"/>
                        <w:right w:val="none" w:sz="0" w:space="0" w:color="auto"/>
                      </w:divBdr>
                      <w:divsChild>
                        <w:div w:id="1477378430">
                          <w:marLeft w:val="0"/>
                          <w:marRight w:val="0"/>
                          <w:marTop w:val="0"/>
                          <w:marBottom w:val="0"/>
                          <w:divBdr>
                            <w:top w:val="none" w:sz="0" w:space="0" w:color="auto"/>
                            <w:left w:val="none" w:sz="0" w:space="0" w:color="auto"/>
                            <w:bottom w:val="none" w:sz="0" w:space="0" w:color="auto"/>
                            <w:right w:val="none" w:sz="0" w:space="0" w:color="auto"/>
                          </w:divBdr>
                          <w:divsChild>
                            <w:div w:id="1845125573">
                              <w:marLeft w:val="180"/>
                              <w:marRight w:val="0"/>
                              <w:marTop w:val="0"/>
                              <w:marBottom w:val="0"/>
                              <w:divBdr>
                                <w:top w:val="none" w:sz="0" w:space="0" w:color="auto"/>
                                <w:left w:val="none" w:sz="0" w:space="0" w:color="auto"/>
                                <w:bottom w:val="none" w:sz="0" w:space="0" w:color="auto"/>
                                <w:right w:val="none" w:sz="0" w:space="0" w:color="auto"/>
                              </w:divBdr>
                              <w:divsChild>
                                <w:div w:id="14321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75505">
                  <w:marLeft w:val="0"/>
                  <w:marRight w:val="0"/>
                  <w:marTop w:val="0"/>
                  <w:marBottom w:val="0"/>
                  <w:divBdr>
                    <w:top w:val="none" w:sz="0" w:space="0" w:color="auto"/>
                    <w:left w:val="none" w:sz="0" w:space="0" w:color="auto"/>
                    <w:bottom w:val="none" w:sz="0" w:space="0" w:color="auto"/>
                    <w:right w:val="none" w:sz="0" w:space="0" w:color="auto"/>
                  </w:divBdr>
                  <w:divsChild>
                    <w:div w:id="1439717409">
                      <w:marLeft w:val="0"/>
                      <w:marRight w:val="0"/>
                      <w:marTop w:val="120"/>
                      <w:marBottom w:val="0"/>
                      <w:divBdr>
                        <w:top w:val="none" w:sz="0" w:space="0" w:color="auto"/>
                        <w:left w:val="none" w:sz="0" w:space="0" w:color="auto"/>
                        <w:bottom w:val="none" w:sz="0" w:space="0" w:color="auto"/>
                        <w:right w:val="none" w:sz="0" w:space="0" w:color="auto"/>
                      </w:divBdr>
                      <w:divsChild>
                        <w:div w:id="78135593">
                          <w:marLeft w:val="0"/>
                          <w:marRight w:val="0"/>
                          <w:marTop w:val="0"/>
                          <w:marBottom w:val="0"/>
                          <w:divBdr>
                            <w:top w:val="none" w:sz="0" w:space="0" w:color="auto"/>
                            <w:left w:val="none" w:sz="0" w:space="0" w:color="auto"/>
                            <w:bottom w:val="none" w:sz="0" w:space="0" w:color="auto"/>
                            <w:right w:val="none" w:sz="0" w:space="0" w:color="auto"/>
                          </w:divBdr>
                          <w:divsChild>
                            <w:div w:id="2003198836">
                              <w:marLeft w:val="180"/>
                              <w:marRight w:val="0"/>
                              <w:marTop w:val="0"/>
                              <w:marBottom w:val="0"/>
                              <w:divBdr>
                                <w:top w:val="none" w:sz="0" w:space="0" w:color="auto"/>
                                <w:left w:val="none" w:sz="0" w:space="0" w:color="auto"/>
                                <w:bottom w:val="none" w:sz="0" w:space="0" w:color="auto"/>
                                <w:right w:val="none" w:sz="0" w:space="0" w:color="auto"/>
                              </w:divBdr>
                              <w:divsChild>
                                <w:div w:id="15028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356409">
      <w:bodyDiv w:val="1"/>
      <w:marLeft w:val="0"/>
      <w:marRight w:val="0"/>
      <w:marTop w:val="0"/>
      <w:marBottom w:val="0"/>
      <w:divBdr>
        <w:top w:val="none" w:sz="0" w:space="0" w:color="auto"/>
        <w:left w:val="none" w:sz="0" w:space="0" w:color="auto"/>
        <w:bottom w:val="none" w:sz="0" w:space="0" w:color="auto"/>
        <w:right w:val="none" w:sz="0" w:space="0" w:color="auto"/>
      </w:divBdr>
      <w:divsChild>
        <w:div w:id="1503424083">
          <w:marLeft w:val="0"/>
          <w:marRight w:val="0"/>
          <w:marTop w:val="0"/>
          <w:marBottom w:val="0"/>
          <w:divBdr>
            <w:top w:val="none" w:sz="0" w:space="0" w:color="auto"/>
            <w:left w:val="none" w:sz="0" w:space="0" w:color="auto"/>
            <w:bottom w:val="none" w:sz="0" w:space="0" w:color="auto"/>
            <w:right w:val="none" w:sz="0" w:space="0" w:color="auto"/>
          </w:divBdr>
          <w:divsChild>
            <w:div w:id="2091077189">
              <w:marLeft w:val="0"/>
              <w:marRight w:val="0"/>
              <w:marTop w:val="0"/>
              <w:marBottom w:val="0"/>
              <w:divBdr>
                <w:top w:val="none" w:sz="0" w:space="0" w:color="auto"/>
                <w:left w:val="none" w:sz="0" w:space="0" w:color="auto"/>
                <w:bottom w:val="none" w:sz="0" w:space="0" w:color="auto"/>
                <w:right w:val="none" w:sz="0" w:space="0" w:color="auto"/>
              </w:divBdr>
              <w:divsChild>
                <w:div w:id="6866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0649">
          <w:marLeft w:val="0"/>
          <w:marRight w:val="0"/>
          <w:marTop w:val="0"/>
          <w:marBottom w:val="0"/>
          <w:divBdr>
            <w:top w:val="none" w:sz="0" w:space="0" w:color="auto"/>
            <w:left w:val="none" w:sz="0" w:space="0" w:color="auto"/>
            <w:bottom w:val="none" w:sz="0" w:space="0" w:color="auto"/>
            <w:right w:val="none" w:sz="0" w:space="0" w:color="auto"/>
          </w:divBdr>
          <w:divsChild>
            <w:div w:id="133177881">
              <w:marLeft w:val="0"/>
              <w:marRight w:val="0"/>
              <w:marTop w:val="0"/>
              <w:marBottom w:val="0"/>
              <w:divBdr>
                <w:top w:val="none" w:sz="0" w:space="0" w:color="auto"/>
                <w:left w:val="none" w:sz="0" w:space="0" w:color="auto"/>
                <w:bottom w:val="none" w:sz="0" w:space="0" w:color="auto"/>
                <w:right w:val="none" w:sz="0" w:space="0" w:color="auto"/>
              </w:divBdr>
              <w:divsChild>
                <w:div w:id="54665265">
                  <w:marLeft w:val="0"/>
                  <w:marRight w:val="0"/>
                  <w:marTop w:val="0"/>
                  <w:marBottom w:val="0"/>
                  <w:divBdr>
                    <w:top w:val="none" w:sz="0" w:space="0" w:color="auto"/>
                    <w:left w:val="none" w:sz="0" w:space="0" w:color="auto"/>
                    <w:bottom w:val="none" w:sz="0" w:space="0" w:color="auto"/>
                    <w:right w:val="none" w:sz="0" w:space="0" w:color="auto"/>
                  </w:divBdr>
                  <w:divsChild>
                    <w:div w:id="1129935697">
                      <w:marLeft w:val="0"/>
                      <w:marRight w:val="0"/>
                      <w:marTop w:val="0"/>
                      <w:marBottom w:val="0"/>
                      <w:divBdr>
                        <w:top w:val="none" w:sz="0" w:space="0" w:color="auto"/>
                        <w:left w:val="none" w:sz="0" w:space="0" w:color="auto"/>
                        <w:bottom w:val="none" w:sz="0" w:space="0" w:color="auto"/>
                        <w:right w:val="none" w:sz="0" w:space="0" w:color="auto"/>
                      </w:divBdr>
                      <w:divsChild>
                        <w:div w:id="1857618796">
                          <w:marLeft w:val="180"/>
                          <w:marRight w:val="0"/>
                          <w:marTop w:val="0"/>
                          <w:marBottom w:val="0"/>
                          <w:divBdr>
                            <w:top w:val="none" w:sz="0" w:space="0" w:color="auto"/>
                            <w:left w:val="none" w:sz="0" w:space="0" w:color="auto"/>
                            <w:bottom w:val="none" w:sz="0" w:space="0" w:color="auto"/>
                            <w:right w:val="none" w:sz="0" w:space="0" w:color="auto"/>
                          </w:divBdr>
                          <w:divsChild>
                            <w:div w:id="356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2347">
                      <w:marLeft w:val="0"/>
                      <w:marRight w:val="0"/>
                      <w:marTop w:val="0"/>
                      <w:marBottom w:val="0"/>
                      <w:divBdr>
                        <w:top w:val="none" w:sz="0" w:space="0" w:color="auto"/>
                        <w:left w:val="none" w:sz="0" w:space="0" w:color="auto"/>
                        <w:bottom w:val="none" w:sz="0" w:space="0" w:color="auto"/>
                        <w:right w:val="none" w:sz="0" w:space="0" w:color="auto"/>
                      </w:divBdr>
                      <w:divsChild>
                        <w:div w:id="388694387">
                          <w:marLeft w:val="180"/>
                          <w:marRight w:val="0"/>
                          <w:marTop w:val="0"/>
                          <w:marBottom w:val="0"/>
                          <w:divBdr>
                            <w:top w:val="none" w:sz="0" w:space="0" w:color="auto"/>
                            <w:left w:val="none" w:sz="0" w:space="0" w:color="auto"/>
                            <w:bottom w:val="none" w:sz="0" w:space="0" w:color="auto"/>
                            <w:right w:val="none" w:sz="0" w:space="0" w:color="auto"/>
                          </w:divBdr>
                          <w:divsChild>
                            <w:div w:id="2265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521164">
      <w:bodyDiv w:val="1"/>
      <w:marLeft w:val="0"/>
      <w:marRight w:val="0"/>
      <w:marTop w:val="0"/>
      <w:marBottom w:val="0"/>
      <w:divBdr>
        <w:top w:val="none" w:sz="0" w:space="0" w:color="auto"/>
        <w:left w:val="none" w:sz="0" w:space="0" w:color="auto"/>
        <w:bottom w:val="none" w:sz="0" w:space="0" w:color="auto"/>
        <w:right w:val="none" w:sz="0" w:space="0" w:color="auto"/>
      </w:divBdr>
    </w:div>
    <w:div w:id="983656674">
      <w:bodyDiv w:val="1"/>
      <w:marLeft w:val="0"/>
      <w:marRight w:val="0"/>
      <w:marTop w:val="0"/>
      <w:marBottom w:val="0"/>
      <w:divBdr>
        <w:top w:val="none" w:sz="0" w:space="0" w:color="auto"/>
        <w:left w:val="none" w:sz="0" w:space="0" w:color="auto"/>
        <w:bottom w:val="none" w:sz="0" w:space="0" w:color="auto"/>
        <w:right w:val="none" w:sz="0" w:space="0" w:color="auto"/>
      </w:divBdr>
      <w:divsChild>
        <w:div w:id="1810977765">
          <w:marLeft w:val="0"/>
          <w:marRight w:val="0"/>
          <w:marTop w:val="30"/>
          <w:marBottom w:val="0"/>
          <w:divBdr>
            <w:top w:val="none" w:sz="0" w:space="0" w:color="auto"/>
            <w:left w:val="none" w:sz="0" w:space="0" w:color="auto"/>
            <w:bottom w:val="none" w:sz="0" w:space="0" w:color="auto"/>
            <w:right w:val="none" w:sz="0" w:space="0" w:color="auto"/>
          </w:divBdr>
          <w:divsChild>
            <w:div w:id="66614862">
              <w:marLeft w:val="-510"/>
              <w:marRight w:val="0"/>
              <w:marTop w:val="0"/>
              <w:marBottom w:val="0"/>
              <w:divBdr>
                <w:top w:val="none" w:sz="0" w:space="0" w:color="auto"/>
                <w:left w:val="none" w:sz="0" w:space="0" w:color="auto"/>
                <w:bottom w:val="none" w:sz="0" w:space="0" w:color="auto"/>
                <w:right w:val="none" w:sz="0" w:space="0" w:color="auto"/>
              </w:divBdr>
              <w:divsChild>
                <w:div w:id="2009359220">
                  <w:marLeft w:val="0"/>
                  <w:marRight w:val="0"/>
                  <w:marTop w:val="0"/>
                  <w:marBottom w:val="0"/>
                  <w:divBdr>
                    <w:top w:val="none" w:sz="0" w:space="0" w:color="auto"/>
                    <w:left w:val="none" w:sz="0" w:space="0" w:color="auto"/>
                    <w:bottom w:val="none" w:sz="0" w:space="0" w:color="auto"/>
                    <w:right w:val="none" w:sz="0" w:space="0" w:color="auto"/>
                  </w:divBdr>
                  <w:divsChild>
                    <w:div w:id="20679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457">
              <w:marLeft w:val="0"/>
              <w:marRight w:val="0"/>
              <w:marTop w:val="330"/>
              <w:marBottom w:val="0"/>
              <w:divBdr>
                <w:top w:val="none" w:sz="0" w:space="0" w:color="auto"/>
                <w:left w:val="none" w:sz="0" w:space="0" w:color="auto"/>
                <w:bottom w:val="none" w:sz="0" w:space="0" w:color="auto"/>
                <w:right w:val="none" w:sz="0" w:space="0" w:color="auto"/>
              </w:divBdr>
            </w:div>
          </w:divsChild>
        </w:div>
        <w:div w:id="1863278687">
          <w:marLeft w:val="0"/>
          <w:marRight w:val="0"/>
          <w:marTop w:val="30"/>
          <w:marBottom w:val="0"/>
          <w:divBdr>
            <w:top w:val="none" w:sz="0" w:space="0" w:color="auto"/>
            <w:left w:val="none" w:sz="0" w:space="0" w:color="auto"/>
            <w:bottom w:val="none" w:sz="0" w:space="0" w:color="auto"/>
            <w:right w:val="none" w:sz="0" w:space="0" w:color="auto"/>
          </w:divBdr>
          <w:divsChild>
            <w:div w:id="887034183">
              <w:marLeft w:val="0"/>
              <w:marRight w:val="0"/>
              <w:marTop w:val="0"/>
              <w:marBottom w:val="0"/>
              <w:divBdr>
                <w:top w:val="none" w:sz="0" w:space="0" w:color="auto"/>
                <w:left w:val="none" w:sz="0" w:space="0" w:color="auto"/>
                <w:bottom w:val="none" w:sz="0" w:space="0" w:color="auto"/>
                <w:right w:val="none" w:sz="0" w:space="0" w:color="auto"/>
              </w:divBdr>
              <w:divsChild>
                <w:div w:id="1489831414">
                  <w:marLeft w:val="0"/>
                  <w:marRight w:val="0"/>
                  <w:marTop w:val="0"/>
                  <w:marBottom w:val="0"/>
                  <w:divBdr>
                    <w:top w:val="none" w:sz="0" w:space="0" w:color="auto"/>
                    <w:left w:val="none" w:sz="0" w:space="0" w:color="auto"/>
                    <w:bottom w:val="none" w:sz="0" w:space="0" w:color="auto"/>
                    <w:right w:val="none" w:sz="0" w:space="0" w:color="auto"/>
                  </w:divBdr>
                  <w:divsChild>
                    <w:div w:id="1245725279">
                      <w:marLeft w:val="0"/>
                      <w:marRight w:val="0"/>
                      <w:marTop w:val="0"/>
                      <w:marBottom w:val="0"/>
                      <w:divBdr>
                        <w:top w:val="none" w:sz="0" w:space="0" w:color="auto"/>
                        <w:left w:val="none" w:sz="0" w:space="0" w:color="auto"/>
                        <w:bottom w:val="none" w:sz="0" w:space="0" w:color="auto"/>
                        <w:right w:val="none" w:sz="0" w:space="0" w:color="auto"/>
                      </w:divBdr>
                      <w:divsChild>
                        <w:div w:id="1370960282">
                          <w:marLeft w:val="0"/>
                          <w:marRight w:val="0"/>
                          <w:marTop w:val="0"/>
                          <w:marBottom w:val="0"/>
                          <w:divBdr>
                            <w:top w:val="none" w:sz="0" w:space="0" w:color="auto"/>
                            <w:left w:val="none" w:sz="0" w:space="0" w:color="auto"/>
                            <w:bottom w:val="none" w:sz="0" w:space="0" w:color="auto"/>
                            <w:right w:val="none" w:sz="0" w:space="0" w:color="auto"/>
                          </w:divBdr>
                          <w:divsChild>
                            <w:div w:id="245961665">
                              <w:marLeft w:val="180"/>
                              <w:marRight w:val="0"/>
                              <w:marTop w:val="0"/>
                              <w:marBottom w:val="0"/>
                              <w:divBdr>
                                <w:top w:val="none" w:sz="0" w:space="0" w:color="auto"/>
                                <w:left w:val="none" w:sz="0" w:space="0" w:color="auto"/>
                                <w:bottom w:val="none" w:sz="0" w:space="0" w:color="auto"/>
                                <w:right w:val="none" w:sz="0" w:space="0" w:color="auto"/>
                              </w:divBdr>
                              <w:divsChild>
                                <w:div w:id="6453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6016">
                          <w:marLeft w:val="0"/>
                          <w:marRight w:val="0"/>
                          <w:marTop w:val="0"/>
                          <w:marBottom w:val="0"/>
                          <w:divBdr>
                            <w:top w:val="none" w:sz="0" w:space="0" w:color="auto"/>
                            <w:left w:val="none" w:sz="0" w:space="0" w:color="auto"/>
                            <w:bottom w:val="none" w:sz="0" w:space="0" w:color="auto"/>
                            <w:right w:val="none" w:sz="0" w:space="0" w:color="auto"/>
                          </w:divBdr>
                          <w:divsChild>
                            <w:div w:id="1618563481">
                              <w:marLeft w:val="180"/>
                              <w:marRight w:val="0"/>
                              <w:marTop w:val="0"/>
                              <w:marBottom w:val="0"/>
                              <w:divBdr>
                                <w:top w:val="none" w:sz="0" w:space="0" w:color="auto"/>
                                <w:left w:val="none" w:sz="0" w:space="0" w:color="auto"/>
                                <w:bottom w:val="none" w:sz="0" w:space="0" w:color="auto"/>
                                <w:right w:val="none" w:sz="0" w:space="0" w:color="auto"/>
                              </w:divBdr>
                              <w:divsChild>
                                <w:div w:id="1188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495126">
      <w:bodyDiv w:val="1"/>
      <w:marLeft w:val="0"/>
      <w:marRight w:val="0"/>
      <w:marTop w:val="0"/>
      <w:marBottom w:val="0"/>
      <w:divBdr>
        <w:top w:val="none" w:sz="0" w:space="0" w:color="auto"/>
        <w:left w:val="none" w:sz="0" w:space="0" w:color="auto"/>
        <w:bottom w:val="none" w:sz="0" w:space="0" w:color="auto"/>
        <w:right w:val="none" w:sz="0" w:space="0" w:color="auto"/>
      </w:divBdr>
      <w:divsChild>
        <w:div w:id="1820219815">
          <w:marLeft w:val="0"/>
          <w:marRight w:val="0"/>
          <w:marTop w:val="0"/>
          <w:marBottom w:val="0"/>
          <w:divBdr>
            <w:top w:val="none" w:sz="0" w:space="0" w:color="auto"/>
            <w:left w:val="none" w:sz="0" w:space="0" w:color="auto"/>
            <w:bottom w:val="none" w:sz="0" w:space="0" w:color="auto"/>
            <w:right w:val="none" w:sz="0" w:space="0" w:color="auto"/>
          </w:divBdr>
        </w:div>
        <w:div w:id="83191300">
          <w:marLeft w:val="0"/>
          <w:marRight w:val="0"/>
          <w:marTop w:val="0"/>
          <w:marBottom w:val="0"/>
          <w:divBdr>
            <w:top w:val="none" w:sz="0" w:space="0" w:color="auto"/>
            <w:left w:val="none" w:sz="0" w:space="0" w:color="auto"/>
            <w:bottom w:val="none" w:sz="0" w:space="0" w:color="auto"/>
            <w:right w:val="none" w:sz="0" w:space="0" w:color="auto"/>
          </w:divBdr>
        </w:div>
      </w:divsChild>
    </w:div>
    <w:div w:id="1124231163">
      <w:bodyDiv w:val="1"/>
      <w:marLeft w:val="0"/>
      <w:marRight w:val="0"/>
      <w:marTop w:val="0"/>
      <w:marBottom w:val="0"/>
      <w:divBdr>
        <w:top w:val="none" w:sz="0" w:space="0" w:color="auto"/>
        <w:left w:val="none" w:sz="0" w:space="0" w:color="auto"/>
        <w:bottom w:val="none" w:sz="0" w:space="0" w:color="auto"/>
        <w:right w:val="none" w:sz="0" w:space="0" w:color="auto"/>
      </w:divBdr>
      <w:divsChild>
        <w:div w:id="829440787">
          <w:marLeft w:val="0"/>
          <w:marRight w:val="0"/>
          <w:marTop w:val="0"/>
          <w:marBottom w:val="0"/>
          <w:divBdr>
            <w:top w:val="none" w:sz="0" w:space="0" w:color="auto"/>
            <w:left w:val="none" w:sz="0" w:space="0" w:color="auto"/>
            <w:bottom w:val="none" w:sz="0" w:space="0" w:color="auto"/>
            <w:right w:val="none" w:sz="0" w:space="0" w:color="auto"/>
          </w:divBdr>
          <w:divsChild>
            <w:div w:id="1628243350">
              <w:marLeft w:val="0"/>
              <w:marRight w:val="0"/>
              <w:marTop w:val="30"/>
              <w:marBottom w:val="0"/>
              <w:divBdr>
                <w:top w:val="none" w:sz="0" w:space="0" w:color="auto"/>
                <w:left w:val="none" w:sz="0" w:space="0" w:color="auto"/>
                <w:bottom w:val="none" w:sz="0" w:space="0" w:color="auto"/>
                <w:right w:val="none" w:sz="0" w:space="0" w:color="auto"/>
              </w:divBdr>
              <w:divsChild>
                <w:div w:id="502202624">
                  <w:marLeft w:val="-510"/>
                  <w:marRight w:val="0"/>
                  <w:marTop w:val="0"/>
                  <w:marBottom w:val="0"/>
                  <w:divBdr>
                    <w:top w:val="none" w:sz="0" w:space="0" w:color="auto"/>
                    <w:left w:val="none" w:sz="0" w:space="0" w:color="auto"/>
                    <w:bottom w:val="none" w:sz="0" w:space="0" w:color="auto"/>
                    <w:right w:val="none" w:sz="0" w:space="0" w:color="auto"/>
                  </w:divBdr>
                  <w:divsChild>
                    <w:div w:id="722679772">
                      <w:marLeft w:val="0"/>
                      <w:marRight w:val="0"/>
                      <w:marTop w:val="0"/>
                      <w:marBottom w:val="0"/>
                      <w:divBdr>
                        <w:top w:val="none" w:sz="0" w:space="0" w:color="auto"/>
                        <w:left w:val="none" w:sz="0" w:space="0" w:color="auto"/>
                        <w:bottom w:val="none" w:sz="0" w:space="0" w:color="auto"/>
                        <w:right w:val="none" w:sz="0" w:space="0" w:color="auto"/>
                      </w:divBdr>
                      <w:divsChild>
                        <w:div w:id="20042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84738">
              <w:marLeft w:val="0"/>
              <w:marRight w:val="0"/>
              <w:marTop w:val="30"/>
              <w:marBottom w:val="0"/>
              <w:divBdr>
                <w:top w:val="none" w:sz="0" w:space="0" w:color="auto"/>
                <w:left w:val="none" w:sz="0" w:space="0" w:color="auto"/>
                <w:bottom w:val="none" w:sz="0" w:space="0" w:color="auto"/>
                <w:right w:val="none" w:sz="0" w:space="0" w:color="auto"/>
              </w:divBdr>
              <w:divsChild>
                <w:div w:id="1046904719">
                  <w:marLeft w:val="0"/>
                  <w:marRight w:val="0"/>
                  <w:marTop w:val="0"/>
                  <w:marBottom w:val="0"/>
                  <w:divBdr>
                    <w:top w:val="none" w:sz="0" w:space="0" w:color="auto"/>
                    <w:left w:val="none" w:sz="0" w:space="0" w:color="auto"/>
                    <w:bottom w:val="none" w:sz="0" w:space="0" w:color="auto"/>
                    <w:right w:val="none" w:sz="0" w:space="0" w:color="auto"/>
                  </w:divBdr>
                  <w:divsChild>
                    <w:div w:id="1321956889">
                      <w:marLeft w:val="0"/>
                      <w:marRight w:val="0"/>
                      <w:marTop w:val="0"/>
                      <w:marBottom w:val="0"/>
                      <w:divBdr>
                        <w:top w:val="none" w:sz="0" w:space="0" w:color="auto"/>
                        <w:left w:val="none" w:sz="0" w:space="0" w:color="auto"/>
                        <w:bottom w:val="none" w:sz="0" w:space="0" w:color="auto"/>
                        <w:right w:val="none" w:sz="0" w:space="0" w:color="auto"/>
                      </w:divBdr>
                      <w:divsChild>
                        <w:div w:id="1158763316">
                          <w:marLeft w:val="0"/>
                          <w:marRight w:val="0"/>
                          <w:marTop w:val="0"/>
                          <w:marBottom w:val="0"/>
                          <w:divBdr>
                            <w:top w:val="none" w:sz="0" w:space="0" w:color="auto"/>
                            <w:left w:val="none" w:sz="0" w:space="0" w:color="auto"/>
                            <w:bottom w:val="none" w:sz="0" w:space="0" w:color="auto"/>
                            <w:right w:val="none" w:sz="0" w:space="0" w:color="auto"/>
                          </w:divBdr>
                        </w:div>
                        <w:div w:id="4127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23561">
          <w:marLeft w:val="0"/>
          <w:marRight w:val="0"/>
          <w:marTop w:val="0"/>
          <w:marBottom w:val="0"/>
          <w:divBdr>
            <w:top w:val="none" w:sz="0" w:space="0" w:color="auto"/>
            <w:left w:val="none" w:sz="0" w:space="0" w:color="auto"/>
            <w:bottom w:val="none" w:sz="0" w:space="0" w:color="auto"/>
            <w:right w:val="none" w:sz="0" w:space="0" w:color="auto"/>
          </w:divBdr>
          <w:divsChild>
            <w:div w:id="2006740173">
              <w:marLeft w:val="0"/>
              <w:marRight w:val="0"/>
              <w:marTop w:val="510"/>
              <w:marBottom w:val="0"/>
              <w:divBdr>
                <w:top w:val="none" w:sz="0" w:space="0" w:color="auto"/>
                <w:left w:val="none" w:sz="0" w:space="0" w:color="auto"/>
                <w:bottom w:val="none" w:sz="0" w:space="0" w:color="auto"/>
                <w:right w:val="none" w:sz="0" w:space="0" w:color="auto"/>
              </w:divBdr>
              <w:divsChild>
                <w:div w:id="402681326">
                  <w:marLeft w:val="0"/>
                  <w:marRight w:val="0"/>
                  <w:marTop w:val="0"/>
                  <w:marBottom w:val="0"/>
                  <w:divBdr>
                    <w:top w:val="none" w:sz="0" w:space="0" w:color="auto"/>
                    <w:left w:val="none" w:sz="0" w:space="0" w:color="auto"/>
                    <w:bottom w:val="none" w:sz="0" w:space="0" w:color="auto"/>
                    <w:right w:val="none" w:sz="0" w:space="0" w:color="auto"/>
                  </w:divBdr>
                  <w:divsChild>
                    <w:div w:id="1147168051">
                      <w:marLeft w:val="0"/>
                      <w:marRight w:val="210"/>
                      <w:marTop w:val="0"/>
                      <w:marBottom w:val="0"/>
                      <w:divBdr>
                        <w:top w:val="none" w:sz="0" w:space="0" w:color="auto"/>
                        <w:left w:val="none" w:sz="0" w:space="0" w:color="auto"/>
                        <w:bottom w:val="none" w:sz="0" w:space="0" w:color="auto"/>
                        <w:right w:val="none" w:sz="0" w:space="0" w:color="auto"/>
                      </w:divBdr>
                    </w:div>
                    <w:div w:id="22846762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48569">
      <w:bodyDiv w:val="1"/>
      <w:marLeft w:val="0"/>
      <w:marRight w:val="0"/>
      <w:marTop w:val="0"/>
      <w:marBottom w:val="0"/>
      <w:divBdr>
        <w:top w:val="none" w:sz="0" w:space="0" w:color="auto"/>
        <w:left w:val="none" w:sz="0" w:space="0" w:color="auto"/>
        <w:bottom w:val="none" w:sz="0" w:space="0" w:color="auto"/>
        <w:right w:val="none" w:sz="0" w:space="0" w:color="auto"/>
      </w:divBdr>
      <w:divsChild>
        <w:div w:id="288896958">
          <w:marLeft w:val="-255"/>
          <w:marRight w:val="-255"/>
          <w:marTop w:val="0"/>
          <w:marBottom w:val="0"/>
          <w:divBdr>
            <w:top w:val="none" w:sz="0" w:space="0" w:color="auto"/>
            <w:left w:val="none" w:sz="0" w:space="0" w:color="auto"/>
            <w:bottom w:val="none" w:sz="0" w:space="0" w:color="auto"/>
            <w:right w:val="none" w:sz="0" w:space="0" w:color="auto"/>
          </w:divBdr>
          <w:divsChild>
            <w:div w:id="773016195">
              <w:marLeft w:val="0"/>
              <w:marRight w:val="0"/>
              <w:marTop w:val="0"/>
              <w:marBottom w:val="0"/>
              <w:divBdr>
                <w:top w:val="none" w:sz="0" w:space="0" w:color="auto"/>
                <w:left w:val="none" w:sz="0" w:space="0" w:color="auto"/>
                <w:bottom w:val="none" w:sz="0" w:space="0" w:color="auto"/>
                <w:right w:val="none" w:sz="0" w:space="0" w:color="auto"/>
              </w:divBdr>
              <w:divsChild>
                <w:div w:id="98057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05977">
      <w:bodyDiv w:val="1"/>
      <w:marLeft w:val="0"/>
      <w:marRight w:val="0"/>
      <w:marTop w:val="0"/>
      <w:marBottom w:val="0"/>
      <w:divBdr>
        <w:top w:val="none" w:sz="0" w:space="0" w:color="auto"/>
        <w:left w:val="none" w:sz="0" w:space="0" w:color="auto"/>
        <w:bottom w:val="none" w:sz="0" w:space="0" w:color="auto"/>
        <w:right w:val="none" w:sz="0" w:space="0" w:color="auto"/>
      </w:divBdr>
    </w:div>
    <w:div w:id="1170295381">
      <w:bodyDiv w:val="1"/>
      <w:marLeft w:val="0"/>
      <w:marRight w:val="0"/>
      <w:marTop w:val="0"/>
      <w:marBottom w:val="0"/>
      <w:divBdr>
        <w:top w:val="none" w:sz="0" w:space="0" w:color="auto"/>
        <w:left w:val="none" w:sz="0" w:space="0" w:color="auto"/>
        <w:bottom w:val="none" w:sz="0" w:space="0" w:color="auto"/>
        <w:right w:val="none" w:sz="0" w:space="0" w:color="auto"/>
      </w:divBdr>
      <w:divsChild>
        <w:div w:id="406152080">
          <w:marLeft w:val="-255"/>
          <w:marRight w:val="-255"/>
          <w:marTop w:val="0"/>
          <w:marBottom w:val="0"/>
          <w:divBdr>
            <w:top w:val="none" w:sz="0" w:space="0" w:color="auto"/>
            <w:left w:val="none" w:sz="0" w:space="0" w:color="auto"/>
            <w:bottom w:val="none" w:sz="0" w:space="0" w:color="auto"/>
            <w:right w:val="none" w:sz="0" w:space="0" w:color="auto"/>
          </w:divBdr>
          <w:divsChild>
            <w:div w:id="2122800362">
              <w:marLeft w:val="0"/>
              <w:marRight w:val="0"/>
              <w:marTop w:val="0"/>
              <w:marBottom w:val="0"/>
              <w:divBdr>
                <w:top w:val="none" w:sz="0" w:space="0" w:color="auto"/>
                <w:left w:val="none" w:sz="0" w:space="0" w:color="auto"/>
                <w:bottom w:val="none" w:sz="0" w:space="0" w:color="auto"/>
                <w:right w:val="none" w:sz="0" w:space="0" w:color="auto"/>
              </w:divBdr>
              <w:divsChild>
                <w:div w:id="19403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9177">
          <w:marLeft w:val="0"/>
          <w:marRight w:val="0"/>
          <w:marTop w:val="30"/>
          <w:marBottom w:val="0"/>
          <w:divBdr>
            <w:top w:val="none" w:sz="0" w:space="0" w:color="auto"/>
            <w:left w:val="none" w:sz="0" w:space="0" w:color="auto"/>
            <w:bottom w:val="none" w:sz="0" w:space="0" w:color="auto"/>
            <w:right w:val="none" w:sz="0" w:space="0" w:color="auto"/>
          </w:divBdr>
          <w:divsChild>
            <w:div w:id="697976416">
              <w:marLeft w:val="0"/>
              <w:marRight w:val="0"/>
              <w:marTop w:val="0"/>
              <w:marBottom w:val="0"/>
              <w:divBdr>
                <w:top w:val="none" w:sz="0" w:space="0" w:color="auto"/>
                <w:left w:val="none" w:sz="0" w:space="0" w:color="auto"/>
                <w:bottom w:val="none" w:sz="0" w:space="0" w:color="auto"/>
                <w:right w:val="none" w:sz="0" w:space="0" w:color="auto"/>
              </w:divBdr>
              <w:divsChild>
                <w:div w:id="1551109048">
                  <w:marLeft w:val="0"/>
                  <w:marRight w:val="0"/>
                  <w:marTop w:val="0"/>
                  <w:marBottom w:val="0"/>
                  <w:divBdr>
                    <w:top w:val="none" w:sz="0" w:space="0" w:color="auto"/>
                    <w:left w:val="none" w:sz="0" w:space="0" w:color="auto"/>
                    <w:bottom w:val="none" w:sz="0" w:space="0" w:color="auto"/>
                    <w:right w:val="none" w:sz="0" w:space="0" w:color="auto"/>
                  </w:divBdr>
                  <w:divsChild>
                    <w:div w:id="7199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644432">
      <w:bodyDiv w:val="1"/>
      <w:marLeft w:val="0"/>
      <w:marRight w:val="0"/>
      <w:marTop w:val="0"/>
      <w:marBottom w:val="0"/>
      <w:divBdr>
        <w:top w:val="none" w:sz="0" w:space="0" w:color="auto"/>
        <w:left w:val="none" w:sz="0" w:space="0" w:color="auto"/>
        <w:bottom w:val="none" w:sz="0" w:space="0" w:color="auto"/>
        <w:right w:val="none" w:sz="0" w:space="0" w:color="auto"/>
      </w:divBdr>
      <w:divsChild>
        <w:div w:id="1260680208">
          <w:marLeft w:val="0"/>
          <w:marRight w:val="0"/>
          <w:marTop w:val="0"/>
          <w:marBottom w:val="0"/>
          <w:divBdr>
            <w:top w:val="none" w:sz="0" w:space="0" w:color="auto"/>
            <w:left w:val="none" w:sz="0" w:space="0" w:color="auto"/>
            <w:bottom w:val="none" w:sz="0" w:space="0" w:color="auto"/>
            <w:right w:val="none" w:sz="0" w:space="0" w:color="auto"/>
          </w:divBdr>
          <w:divsChild>
            <w:div w:id="447818700">
              <w:marLeft w:val="0"/>
              <w:marRight w:val="0"/>
              <w:marTop w:val="0"/>
              <w:marBottom w:val="0"/>
              <w:divBdr>
                <w:top w:val="none" w:sz="0" w:space="0" w:color="auto"/>
                <w:left w:val="none" w:sz="0" w:space="0" w:color="auto"/>
                <w:bottom w:val="none" w:sz="0" w:space="0" w:color="auto"/>
                <w:right w:val="none" w:sz="0" w:space="0" w:color="auto"/>
              </w:divBdr>
              <w:divsChild>
                <w:div w:id="1398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26034">
          <w:marLeft w:val="0"/>
          <w:marRight w:val="0"/>
          <w:marTop w:val="0"/>
          <w:marBottom w:val="0"/>
          <w:divBdr>
            <w:top w:val="none" w:sz="0" w:space="0" w:color="auto"/>
            <w:left w:val="none" w:sz="0" w:space="0" w:color="auto"/>
            <w:bottom w:val="none" w:sz="0" w:space="0" w:color="auto"/>
            <w:right w:val="none" w:sz="0" w:space="0" w:color="auto"/>
          </w:divBdr>
          <w:divsChild>
            <w:div w:id="949897502">
              <w:marLeft w:val="0"/>
              <w:marRight w:val="0"/>
              <w:marTop w:val="0"/>
              <w:marBottom w:val="0"/>
              <w:divBdr>
                <w:top w:val="none" w:sz="0" w:space="0" w:color="auto"/>
                <w:left w:val="none" w:sz="0" w:space="0" w:color="auto"/>
                <w:bottom w:val="none" w:sz="0" w:space="0" w:color="auto"/>
                <w:right w:val="none" w:sz="0" w:space="0" w:color="auto"/>
              </w:divBdr>
              <w:divsChild>
                <w:div w:id="916331059">
                  <w:marLeft w:val="0"/>
                  <w:marRight w:val="0"/>
                  <w:marTop w:val="120"/>
                  <w:marBottom w:val="0"/>
                  <w:divBdr>
                    <w:top w:val="none" w:sz="0" w:space="0" w:color="auto"/>
                    <w:left w:val="none" w:sz="0" w:space="0" w:color="auto"/>
                    <w:bottom w:val="none" w:sz="0" w:space="0" w:color="auto"/>
                    <w:right w:val="none" w:sz="0" w:space="0" w:color="auto"/>
                  </w:divBdr>
                  <w:divsChild>
                    <w:div w:id="1018434813">
                      <w:marLeft w:val="0"/>
                      <w:marRight w:val="0"/>
                      <w:marTop w:val="0"/>
                      <w:marBottom w:val="0"/>
                      <w:divBdr>
                        <w:top w:val="none" w:sz="0" w:space="0" w:color="auto"/>
                        <w:left w:val="none" w:sz="0" w:space="0" w:color="auto"/>
                        <w:bottom w:val="none" w:sz="0" w:space="0" w:color="auto"/>
                        <w:right w:val="none" w:sz="0" w:space="0" w:color="auto"/>
                      </w:divBdr>
                      <w:divsChild>
                        <w:div w:id="1212420816">
                          <w:marLeft w:val="180"/>
                          <w:marRight w:val="0"/>
                          <w:marTop w:val="0"/>
                          <w:marBottom w:val="0"/>
                          <w:divBdr>
                            <w:top w:val="none" w:sz="0" w:space="0" w:color="auto"/>
                            <w:left w:val="none" w:sz="0" w:space="0" w:color="auto"/>
                            <w:bottom w:val="none" w:sz="0" w:space="0" w:color="auto"/>
                            <w:right w:val="none" w:sz="0" w:space="0" w:color="auto"/>
                          </w:divBdr>
                          <w:divsChild>
                            <w:div w:id="8379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79224">
              <w:marLeft w:val="0"/>
              <w:marRight w:val="0"/>
              <w:marTop w:val="0"/>
              <w:marBottom w:val="0"/>
              <w:divBdr>
                <w:top w:val="none" w:sz="0" w:space="0" w:color="auto"/>
                <w:left w:val="none" w:sz="0" w:space="0" w:color="auto"/>
                <w:bottom w:val="none" w:sz="0" w:space="0" w:color="auto"/>
                <w:right w:val="none" w:sz="0" w:space="0" w:color="auto"/>
              </w:divBdr>
              <w:divsChild>
                <w:div w:id="1625312561">
                  <w:marLeft w:val="0"/>
                  <w:marRight w:val="0"/>
                  <w:marTop w:val="120"/>
                  <w:marBottom w:val="0"/>
                  <w:divBdr>
                    <w:top w:val="none" w:sz="0" w:space="0" w:color="auto"/>
                    <w:left w:val="none" w:sz="0" w:space="0" w:color="auto"/>
                    <w:bottom w:val="none" w:sz="0" w:space="0" w:color="auto"/>
                    <w:right w:val="none" w:sz="0" w:space="0" w:color="auto"/>
                  </w:divBdr>
                  <w:divsChild>
                    <w:div w:id="1473712075">
                      <w:marLeft w:val="0"/>
                      <w:marRight w:val="0"/>
                      <w:marTop w:val="0"/>
                      <w:marBottom w:val="0"/>
                      <w:divBdr>
                        <w:top w:val="none" w:sz="0" w:space="0" w:color="auto"/>
                        <w:left w:val="none" w:sz="0" w:space="0" w:color="auto"/>
                        <w:bottom w:val="none" w:sz="0" w:space="0" w:color="auto"/>
                        <w:right w:val="none" w:sz="0" w:space="0" w:color="auto"/>
                      </w:divBdr>
                      <w:divsChild>
                        <w:div w:id="1767993267">
                          <w:marLeft w:val="180"/>
                          <w:marRight w:val="0"/>
                          <w:marTop w:val="0"/>
                          <w:marBottom w:val="0"/>
                          <w:divBdr>
                            <w:top w:val="none" w:sz="0" w:space="0" w:color="auto"/>
                            <w:left w:val="none" w:sz="0" w:space="0" w:color="auto"/>
                            <w:bottom w:val="none" w:sz="0" w:space="0" w:color="auto"/>
                            <w:right w:val="none" w:sz="0" w:space="0" w:color="auto"/>
                          </w:divBdr>
                          <w:divsChild>
                            <w:div w:id="4642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8599">
              <w:marLeft w:val="0"/>
              <w:marRight w:val="0"/>
              <w:marTop w:val="0"/>
              <w:marBottom w:val="0"/>
              <w:divBdr>
                <w:top w:val="none" w:sz="0" w:space="0" w:color="auto"/>
                <w:left w:val="none" w:sz="0" w:space="0" w:color="auto"/>
                <w:bottom w:val="none" w:sz="0" w:space="0" w:color="auto"/>
                <w:right w:val="none" w:sz="0" w:space="0" w:color="auto"/>
              </w:divBdr>
              <w:divsChild>
                <w:div w:id="1895968463">
                  <w:marLeft w:val="0"/>
                  <w:marRight w:val="0"/>
                  <w:marTop w:val="120"/>
                  <w:marBottom w:val="0"/>
                  <w:divBdr>
                    <w:top w:val="none" w:sz="0" w:space="0" w:color="auto"/>
                    <w:left w:val="none" w:sz="0" w:space="0" w:color="auto"/>
                    <w:bottom w:val="none" w:sz="0" w:space="0" w:color="auto"/>
                    <w:right w:val="none" w:sz="0" w:space="0" w:color="auto"/>
                  </w:divBdr>
                  <w:divsChild>
                    <w:div w:id="1890801029">
                      <w:marLeft w:val="0"/>
                      <w:marRight w:val="0"/>
                      <w:marTop w:val="0"/>
                      <w:marBottom w:val="0"/>
                      <w:divBdr>
                        <w:top w:val="none" w:sz="0" w:space="0" w:color="auto"/>
                        <w:left w:val="none" w:sz="0" w:space="0" w:color="auto"/>
                        <w:bottom w:val="none" w:sz="0" w:space="0" w:color="auto"/>
                        <w:right w:val="none" w:sz="0" w:space="0" w:color="auto"/>
                      </w:divBdr>
                      <w:divsChild>
                        <w:div w:id="705646220">
                          <w:marLeft w:val="180"/>
                          <w:marRight w:val="0"/>
                          <w:marTop w:val="0"/>
                          <w:marBottom w:val="0"/>
                          <w:divBdr>
                            <w:top w:val="none" w:sz="0" w:space="0" w:color="auto"/>
                            <w:left w:val="none" w:sz="0" w:space="0" w:color="auto"/>
                            <w:bottom w:val="none" w:sz="0" w:space="0" w:color="auto"/>
                            <w:right w:val="none" w:sz="0" w:space="0" w:color="auto"/>
                          </w:divBdr>
                          <w:divsChild>
                            <w:div w:id="831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147853">
              <w:marLeft w:val="0"/>
              <w:marRight w:val="0"/>
              <w:marTop w:val="0"/>
              <w:marBottom w:val="0"/>
              <w:divBdr>
                <w:top w:val="none" w:sz="0" w:space="0" w:color="auto"/>
                <w:left w:val="none" w:sz="0" w:space="0" w:color="auto"/>
                <w:bottom w:val="none" w:sz="0" w:space="0" w:color="auto"/>
                <w:right w:val="none" w:sz="0" w:space="0" w:color="auto"/>
              </w:divBdr>
              <w:divsChild>
                <w:div w:id="639002173">
                  <w:marLeft w:val="0"/>
                  <w:marRight w:val="0"/>
                  <w:marTop w:val="120"/>
                  <w:marBottom w:val="0"/>
                  <w:divBdr>
                    <w:top w:val="none" w:sz="0" w:space="0" w:color="auto"/>
                    <w:left w:val="none" w:sz="0" w:space="0" w:color="auto"/>
                    <w:bottom w:val="none" w:sz="0" w:space="0" w:color="auto"/>
                    <w:right w:val="none" w:sz="0" w:space="0" w:color="auto"/>
                  </w:divBdr>
                  <w:divsChild>
                    <w:div w:id="1691836260">
                      <w:marLeft w:val="0"/>
                      <w:marRight w:val="0"/>
                      <w:marTop w:val="0"/>
                      <w:marBottom w:val="0"/>
                      <w:divBdr>
                        <w:top w:val="none" w:sz="0" w:space="0" w:color="auto"/>
                        <w:left w:val="none" w:sz="0" w:space="0" w:color="auto"/>
                        <w:bottom w:val="none" w:sz="0" w:space="0" w:color="auto"/>
                        <w:right w:val="none" w:sz="0" w:space="0" w:color="auto"/>
                      </w:divBdr>
                      <w:divsChild>
                        <w:div w:id="2014601028">
                          <w:marLeft w:val="180"/>
                          <w:marRight w:val="0"/>
                          <w:marTop w:val="0"/>
                          <w:marBottom w:val="0"/>
                          <w:divBdr>
                            <w:top w:val="none" w:sz="0" w:space="0" w:color="auto"/>
                            <w:left w:val="none" w:sz="0" w:space="0" w:color="auto"/>
                            <w:bottom w:val="none" w:sz="0" w:space="0" w:color="auto"/>
                            <w:right w:val="none" w:sz="0" w:space="0" w:color="auto"/>
                          </w:divBdr>
                          <w:divsChild>
                            <w:div w:id="20846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653950">
              <w:marLeft w:val="0"/>
              <w:marRight w:val="0"/>
              <w:marTop w:val="0"/>
              <w:marBottom w:val="0"/>
              <w:divBdr>
                <w:top w:val="none" w:sz="0" w:space="0" w:color="auto"/>
                <w:left w:val="none" w:sz="0" w:space="0" w:color="auto"/>
                <w:bottom w:val="none" w:sz="0" w:space="0" w:color="auto"/>
                <w:right w:val="none" w:sz="0" w:space="0" w:color="auto"/>
              </w:divBdr>
              <w:divsChild>
                <w:div w:id="1777946669">
                  <w:marLeft w:val="0"/>
                  <w:marRight w:val="0"/>
                  <w:marTop w:val="120"/>
                  <w:marBottom w:val="0"/>
                  <w:divBdr>
                    <w:top w:val="none" w:sz="0" w:space="0" w:color="auto"/>
                    <w:left w:val="none" w:sz="0" w:space="0" w:color="auto"/>
                    <w:bottom w:val="none" w:sz="0" w:space="0" w:color="auto"/>
                    <w:right w:val="none" w:sz="0" w:space="0" w:color="auto"/>
                  </w:divBdr>
                  <w:divsChild>
                    <w:div w:id="2136174175">
                      <w:marLeft w:val="0"/>
                      <w:marRight w:val="0"/>
                      <w:marTop w:val="0"/>
                      <w:marBottom w:val="0"/>
                      <w:divBdr>
                        <w:top w:val="none" w:sz="0" w:space="0" w:color="auto"/>
                        <w:left w:val="none" w:sz="0" w:space="0" w:color="auto"/>
                        <w:bottom w:val="none" w:sz="0" w:space="0" w:color="auto"/>
                        <w:right w:val="none" w:sz="0" w:space="0" w:color="auto"/>
                      </w:divBdr>
                      <w:divsChild>
                        <w:div w:id="1596553942">
                          <w:marLeft w:val="180"/>
                          <w:marRight w:val="0"/>
                          <w:marTop w:val="0"/>
                          <w:marBottom w:val="0"/>
                          <w:divBdr>
                            <w:top w:val="none" w:sz="0" w:space="0" w:color="auto"/>
                            <w:left w:val="none" w:sz="0" w:space="0" w:color="auto"/>
                            <w:bottom w:val="none" w:sz="0" w:space="0" w:color="auto"/>
                            <w:right w:val="none" w:sz="0" w:space="0" w:color="auto"/>
                          </w:divBdr>
                          <w:divsChild>
                            <w:div w:id="17057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51018">
              <w:marLeft w:val="0"/>
              <w:marRight w:val="0"/>
              <w:marTop w:val="0"/>
              <w:marBottom w:val="0"/>
              <w:divBdr>
                <w:top w:val="none" w:sz="0" w:space="0" w:color="auto"/>
                <w:left w:val="none" w:sz="0" w:space="0" w:color="auto"/>
                <w:bottom w:val="none" w:sz="0" w:space="0" w:color="auto"/>
                <w:right w:val="none" w:sz="0" w:space="0" w:color="auto"/>
              </w:divBdr>
              <w:divsChild>
                <w:div w:id="924848982">
                  <w:marLeft w:val="0"/>
                  <w:marRight w:val="0"/>
                  <w:marTop w:val="120"/>
                  <w:marBottom w:val="0"/>
                  <w:divBdr>
                    <w:top w:val="none" w:sz="0" w:space="0" w:color="auto"/>
                    <w:left w:val="none" w:sz="0" w:space="0" w:color="auto"/>
                    <w:bottom w:val="none" w:sz="0" w:space="0" w:color="auto"/>
                    <w:right w:val="none" w:sz="0" w:space="0" w:color="auto"/>
                  </w:divBdr>
                  <w:divsChild>
                    <w:div w:id="1597518946">
                      <w:marLeft w:val="0"/>
                      <w:marRight w:val="0"/>
                      <w:marTop w:val="0"/>
                      <w:marBottom w:val="0"/>
                      <w:divBdr>
                        <w:top w:val="none" w:sz="0" w:space="0" w:color="auto"/>
                        <w:left w:val="none" w:sz="0" w:space="0" w:color="auto"/>
                        <w:bottom w:val="none" w:sz="0" w:space="0" w:color="auto"/>
                        <w:right w:val="none" w:sz="0" w:space="0" w:color="auto"/>
                      </w:divBdr>
                      <w:divsChild>
                        <w:div w:id="1062220496">
                          <w:marLeft w:val="180"/>
                          <w:marRight w:val="0"/>
                          <w:marTop w:val="0"/>
                          <w:marBottom w:val="0"/>
                          <w:divBdr>
                            <w:top w:val="none" w:sz="0" w:space="0" w:color="auto"/>
                            <w:left w:val="none" w:sz="0" w:space="0" w:color="auto"/>
                            <w:bottom w:val="none" w:sz="0" w:space="0" w:color="auto"/>
                            <w:right w:val="none" w:sz="0" w:space="0" w:color="auto"/>
                          </w:divBdr>
                          <w:divsChild>
                            <w:div w:id="16098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75112">
              <w:marLeft w:val="0"/>
              <w:marRight w:val="0"/>
              <w:marTop w:val="0"/>
              <w:marBottom w:val="0"/>
              <w:divBdr>
                <w:top w:val="none" w:sz="0" w:space="0" w:color="auto"/>
                <w:left w:val="none" w:sz="0" w:space="0" w:color="auto"/>
                <w:bottom w:val="none" w:sz="0" w:space="0" w:color="auto"/>
                <w:right w:val="none" w:sz="0" w:space="0" w:color="auto"/>
              </w:divBdr>
              <w:divsChild>
                <w:div w:id="1609770371">
                  <w:marLeft w:val="0"/>
                  <w:marRight w:val="0"/>
                  <w:marTop w:val="120"/>
                  <w:marBottom w:val="0"/>
                  <w:divBdr>
                    <w:top w:val="none" w:sz="0" w:space="0" w:color="auto"/>
                    <w:left w:val="none" w:sz="0" w:space="0" w:color="auto"/>
                    <w:bottom w:val="none" w:sz="0" w:space="0" w:color="auto"/>
                    <w:right w:val="none" w:sz="0" w:space="0" w:color="auto"/>
                  </w:divBdr>
                  <w:divsChild>
                    <w:div w:id="312175429">
                      <w:marLeft w:val="0"/>
                      <w:marRight w:val="0"/>
                      <w:marTop w:val="0"/>
                      <w:marBottom w:val="0"/>
                      <w:divBdr>
                        <w:top w:val="none" w:sz="0" w:space="0" w:color="auto"/>
                        <w:left w:val="none" w:sz="0" w:space="0" w:color="auto"/>
                        <w:bottom w:val="none" w:sz="0" w:space="0" w:color="auto"/>
                        <w:right w:val="none" w:sz="0" w:space="0" w:color="auto"/>
                      </w:divBdr>
                      <w:divsChild>
                        <w:div w:id="191308326">
                          <w:marLeft w:val="180"/>
                          <w:marRight w:val="0"/>
                          <w:marTop w:val="0"/>
                          <w:marBottom w:val="0"/>
                          <w:divBdr>
                            <w:top w:val="none" w:sz="0" w:space="0" w:color="auto"/>
                            <w:left w:val="none" w:sz="0" w:space="0" w:color="auto"/>
                            <w:bottom w:val="none" w:sz="0" w:space="0" w:color="auto"/>
                            <w:right w:val="none" w:sz="0" w:space="0" w:color="auto"/>
                          </w:divBdr>
                          <w:divsChild>
                            <w:div w:id="15313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55126">
              <w:marLeft w:val="0"/>
              <w:marRight w:val="0"/>
              <w:marTop w:val="0"/>
              <w:marBottom w:val="0"/>
              <w:divBdr>
                <w:top w:val="none" w:sz="0" w:space="0" w:color="auto"/>
                <w:left w:val="none" w:sz="0" w:space="0" w:color="auto"/>
                <w:bottom w:val="none" w:sz="0" w:space="0" w:color="auto"/>
                <w:right w:val="none" w:sz="0" w:space="0" w:color="auto"/>
              </w:divBdr>
              <w:divsChild>
                <w:div w:id="833490214">
                  <w:marLeft w:val="0"/>
                  <w:marRight w:val="0"/>
                  <w:marTop w:val="120"/>
                  <w:marBottom w:val="0"/>
                  <w:divBdr>
                    <w:top w:val="none" w:sz="0" w:space="0" w:color="auto"/>
                    <w:left w:val="none" w:sz="0" w:space="0" w:color="auto"/>
                    <w:bottom w:val="none" w:sz="0" w:space="0" w:color="auto"/>
                    <w:right w:val="none" w:sz="0" w:space="0" w:color="auto"/>
                  </w:divBdr>
                  <w:divsChild>
                    <w:div w:id="153880731">
                      <w:marLeft w:val="0"/>
                      <w:marRight w:val="0"/>
                      <w:marTop w:val="0"/>
                      <w:marBottom w:val="0"/>
                      <w:divBdr>
                        <w:top w:val="none" w:sz="0" w:space="0" w:color="auto"/>
                        <w:left w:val="none" w:sz="0" w:space="0" w:color="auto"/>
                        <w:bottom w:val="none" w:sz="0" w:space="0" w:color="auto"/>
                        <w:right w:val="none" w:sz="0" w:space="0" w:color="auto"/>
                      </w:divBdr>
                      <w:divsChild>
                        <w:div w:id="1563176053">
                          <w:marLeft w:val="180"/>
                          <w:marRight w:val="0"/>
                          <w:marTop w:val="0"/>
                          <w:marBottom w:val="0"/>
                          <w:divBdr>
                            <w:top w:val="none" w:sz="0" w:space="0" w:color="auto"/>
                            <w:left w:val="none" w:sz="0" w:space="0" w:color="auto"/>
                            <w:bottom w:val="none" w:sz="0" w:space="0" w:color="auto"/>
                            <w:right w:val="none" w:sz="0" w:space="0" w:color="auto"/>
                          </w:divBdr>
                          <w:divsChild>
                            <w:div w:id="16602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78213">
              <w:marLeft w:val="0"/>
              <w:marRight w:val="0"/>
              <w:marTop w:val="0"/>
              <w:marBottom w:val="0"/>
              <w:divBdr>
                <w:top w:val="none" w:sz="0" w:space="0" w:color="auto"/>
                <w:left w:val="none" w:sz="0" w:space="0" w:color="auto"/>
                <w:bottom w:val="none" w:sz="0" w:space="0" w:color="auto"/>
                <w:right w:val="none" w:sz="0" w:space="0" w:color="auto"/>
              </w:divBdr>
              <w:divsChild>
                <w:div w:id="2101876702">
                  <w:marLeft w:val="0"/>
                  <w:marRight w:val="0"/>
                  <w:marTop w:val="120"/>
                  <w:marBottom w:val="0"/>
                  <w:divBdr>
                    <w:top w:val="none" w:sz="0" w:space="0" w:color="auto"/>
                    <w:left w:val="none" w:sz="0" w:space="0" w:color="auto"/>
                    <w:bottom w:val="none" w:sz="0" w:space="0" w:color="auto"/>
                    <w:right w:val="none" w:sz="0" w:space="0" w:color="auto"/>
                  </w:divBdr>
                  <w:divsChild>
                    <w:div w:id="1516967694">
                      <w:marLeft w:val="0"/>
                      <w:marRight w:val="0"/>
                      <w:marTop w:val="0"/>
                      <w:marBottom w:val="0"/>
                      <w:divBdr>
                        <w:top w:val="none" w:sz="0" w:space="0" w:color="auto"/>
                        <w:left w:val="none" w:sz="0" w:space="0" w:color="auto"/>
                        <w:bottom w:val="none" w:sz="0" w:space="0" w:color="auto"/>
                        <w:right w:val="none" w:sz="0" w:space="0" w:color="auto"/>
                      </w:divBdr>
                      <w:divsChild>
                        <w:div w:id="1974828070">
                          <w:marLeft w:val="180"/>
                          <w:marRight w:val="0"/>
                          <w:marTop w:val="0"/>
                          <w:marBottom w:val="0"/>
                          <w:divBdr>
                            <w:top w:val="none" w:sz="0" w:space="0" w:color="auto"/>
                            <w:left w:val="none" w:sz="0" w:space="0" w:color="auto"/>
                            <w:bottom w:val="none" w:sz="0" w:space="0" w:color="auto"/>
                            <w:right w:val="none" w:sz="0" w:space="0" w:color="auto"/>
                          </w:divBdr>
                          <w:divsChild>
                            <w:div w:id="13217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474556">
      <w:bodyDiv w:val="1"/>
      <w:marLeft w:val="0"/>
      <w:marRight w:val="0"/>
      <w:marTop w:val="0"/>
      <w:marBottom w:val="0"/>
      <w:divBdr>
        <w:top w:val="none" w:sz="0" w:space="0" w:color="auto"/>
        <w:left w:val="none" w:sz="0" w:space="0" w:color="auto"/>
        <w:bottom w:val="none" w:sz="0" w:space="0" w:color="auto"/>
        <w:right w:val="none" w:sz="0" w:space="0" w:color="auto"/>
      </w:divBdr>
    </w:div>
    <w:div w:id="1534419781">
      <w:bodyDiv w:val="1"/>
      <w:marLeft w:val="0"/>
      <w:marRight w:val="0"/>
      <w:marTop w:val="0"/>
      <w:marBottom w:val="0"/>
      <w:divBdr>
        <w:top w:val="none" w:sz="0" w:space="0" w:color="auto"/>
        <w:left w:val="none" w:sz="0" w:space="0" w:color="auto"/>
        <w:bottom w:val="none" w:sz="0" w:space="0" w:color="auto"/>
        <w:right w:val="none" w:sz="0" w:space="0" w:color="auto"/>
      </w:divBdr>
      <w:divsChild>
        <w:div w:id="775175376">
          <w:marLeft w:val="0"/>
          <w:marRight w:val="0"/>
          <w:marTop w:val="30"/>
          <w:marBottom w:val="0"/>
          <w:divBdr>
            <w:top w:val="none" w:sz="0" w:space="0" w:color="auto"/>
            <w:left w:val="none" w:sz="0" w:space="0" w:color="auto"/>
            <w:bottom w:val="none" w:sz="0" w:space="0" w:color="auto"/>
            <w:right w:val="none" w:sz="0" w:space="0" w:color="auto"/>
          </w:divBdr>
          <w:divsChild>
            <w:div w:id="214127606">
              <w:marLeft w:val="-510"/>
              <w:marRight w:val="0"/>
              <w:marTop w:val="0"/>
              <w:marBottom w:val="0"/>
              <w:divBdr>
                <w:top w:val="none" w:sz="0" w:space="0" w:color="auto"/>
                <w:left w:val="none" w:sz="0" w:space="0" w:color="auto"/>
                <w:bottom w:val="none" w:sz="0" w:space="0" w:color="auto"/>
                <w:right w:val="none" w:sz="0" w:space="0" w:color="auto"/>
              </w:divBdr>
              <w:divsChild>
                <w:div w:id="979966408">
                  <w:marLeft w:val="0"/>
                  <w:marRight w:val="0"/>
                  <w:marTop w:val="0"/>
                  <w:marBottom w:val="0"/>
                  <w:divBdr>
                    <w:top w:val="none" w:sz="0" w:space="0" w:color="auto"/>
                    <w:left w:val="none" w:sz="0" w:space="0" w:color="auto"/>
                    <w:bottom w:val="none" w:sz="0" w:space="0" w:color="auto"/>
                    <w:right w:val="none" w:sz="0" w:space="0" w:color="auto"/>
                  </w:divBdr>
                  <w:divsChild>
                    <w:div w:id="20854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555695">
          <w:marLeft w:val="0"/>
          <w:marRight w:val="0"/>
          <w:marTop w:val="30"/>
          <w:marBottom w:val="0"/>
          <w:divBdr>
            <w:top w:val="none" w:sz="0" w:space="0" w:color="auto"/>
            <w:left w:val="none" w:sz="0" w:space="0" w:color="auto"/>
            <w:bottom w:val="none" w:sz="0" w:space="0" w:color="auto"/>
            <w:right w:val="none" w:sz="0" w:space="0" w:color="auto"/>
          </w:divBdr>
          <w:divsChild>
            <w:div w:id="322589105">
              <w:marLeft w:val="0"/>
              <w:marRight w:val="0"/>
              <w:marTop w:val="0"/>
              <w:marBottom w:val="0"/>
              <w:divBdr>
                <w:top w:val="none" w:sz="0" w:space="0" w:color="auto"/>
                <w:left w:val="none" w:sz="0" w:space="0" w:color="auto"/>
                <w:bottom w:val="none" w:sz="0" w:space="0" w:color="auto"/>
                <w:right w:val="none" w:sz="0" w:space="0" w:color="auto"/>
              </w:divBdr>
              <w:divsChild>
                <w:div w:id="1918174883">
                  <w:marLeft w:val="0"/>
                  <w:marRight w:val="0"/>
                  <w:marTop w:val="0"/>
                  <w:marBottom w:val="0"/>
                  <w:divBdr>
                    <w:top w:val="none" w:sz="0" w:space="0" w:color="auto"/>
                    <w:left w:val="none" w:sz="0" w:space="0" w:color="auto"/>
                    <w:bottom w:val="none" w:sz="0" w:space="0" w:color="auto"/>
                    <w:right w:val="none" w:sz="0" w:space="0" w:color="auto"/>
                  </w:divBdr>
                  <w:divsChild>
                    <w:div w:id="1708022713">
                      <w:marLeft w:val="0"/>
                      <w:marRight w:val="0"/>
                      <w:marTop w:val="120"/>
                      <w:marBottom w:val="0"/>
                      <w:divBdr>
                        <w:top w:val="none" w:sz="0" w:space="0" w:color="auto"/>
                        <w:left w:val="none" w:sz="0" w:space="0" w:color="auto"/>
                        <w:bottom w:val="none" w:sz="0" w:space="0" w:color="auto"/>
                        <w:right w:val="none" w:sz="0" w:space="0" w:color="auto"/>
                      </w:divBdr>
                      <w:divsChild>
                        <w:div w:id="1151291727">
                          <w:marLeft w:val="0"/>
                          <w:marRight w:val="0"/>
                          <w:marTop w:val="0"/>
                          <w:marBottom w:val="0"/>
                          <w:divBdr>
                            <w:top w:val="none" w:sz="0" w:space="0" w:color="auto"/>
                            <w:left w:val="none" w:sz="0" w:space="0" w:color="auto"/>
                            <w:bottom w:val="none" w:sz="0" w:space="0" w:color="auto"/>
                            <w:right w:val="none" w:sz="0" w:space="0" w:color="auto"/>
                          </w:divBdr>
                          <w:divsChild>
                            <w:div w:id="1014921316">
                              <w:marLeft w:val="180"/>
                              <w:marRight w:val="0"/>
                              <w:marTop w:val="0"/>
                              <w:marBottom w:val="0"/>
                              <w:divBdr>
                                <w:top w:val="none" w:sz="0" w:space="0" w:color="auto"/>
                                <w:left w:val="none" w:sz="0" w:space="0" w:color="auto"/>
                                <w:bottom w:val="none" w:sz="0" w:space="0" w:color="auto"/>
                                <w:right w:val="none" w:sz="0" w:space="0" w:color="auto"/>
                              </w:divBdr>
                              <w:divsChild>
                                <w:div w:id="656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120389">
                  <w:marLeft w:val="0"/>
                  <w:marRight w:val="0"/>
                  <w:marTop w:val="0"/>
                  <w:marBottom w:val="0"/>
                  <w:divBdr>
                    <w:top w:val="none" w:sz="0" w:space="0" w:color="auto"/>
                    <w:left w:val="none" w:sz="0" w:space="0" w:color="auto"/>
                    <w:bottom w:val="none" w:sz="0" w:space="0" w:color="auto"/>
                    <w:right w:val="none" w:sz="0" w:space="0" w:color="auto"/>
                  </w:divBdr>
                  <w:divsChild>
                    <w:div w:id="1006401054">
                      <w:marLeft w:val="0"/>
                      <w:marRight w:val="0"/>
                      <w:marTop w:val="120"/>
                      <w:marBottom w:val="0"/>
                      <w:divBdr>
                        <w:top w:val="none" w:sz="0" w:space="0" w:color="auto"/>
                        <w:left w:val="none" w:sz="0" w:space="0" w:color="auto"/>
                        <w:bottom w:val="none" w:sz="0" w:space="0" w:color="auto"/>
                        <w:right w:val="none" w:sz="0" w:space="0" w:color="auto"/>
                      </w:divBdr>
                      <w:divsChild>
                        <w:div w:id="1199053837">
                          <w:marLeft w:val="0"/>
                          <w:marRight w:val="0"/>
                          <w:marTop w:val="0"/>
                          <w:marBottom w:val="0"/>
                          <w:divBdr>
                            <w:top w:val="none" w:sz="0" w:space="0" w:color="auto"/>
                            <w:left w:val="none" w:sz="0" w:space="0" w:color="auto"/>
                            <w:bottom w:val="none" w:sz="0" w:space="0" w:color="auto"/>
                            <w:right w:val="none" w:sz="0" w:space="0" w:color="auto"/>
                          </w:divBdr>
                          <w:divsChild>
                            <w:div w:id="1545947923">
                              <w:marLeft w:val="180"/>
                              <w:marRight w:val="0"/>
                              <w:marTop w:val="0"/>
                              <w:marBottom w:val="0"/>
                              <w:divBdr>
                                <w:top w:val="none" w:sz="0" w:space="0" w:color="auto"/>
                                <w:left w:val="none" w:sz="0" w:space="0" w:color="auto"/>
                                <w:bottom w:val="none" w:sz="0" w:space="0" w:color="auto"/>
                                <w:right w:val="none" w:sz="0" w:space="0" w:color="auto"/>
                              </w:divBdr>
                              <w:divsChild>
                                <w:div w:id="7693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30877">
                  <w:marLeft w:val="0"/>
                  <w:marRight w:val="0"/>
                  <w:marTop w:val="0"/>
                  <w:marBottom w:val="0"/>
                  <w:divBdr>
                    <w:top w:val="none" w:sz="0" w:space="0" w:color="auto"/>
                    <w:left w:val="none" w:sz="0" w:space="0" w:color="auto"/>
                    <w:bottom w:val="none" w:sz="0" w:space="0" w:color="auto"/>
                    <w:right w:val="none" w:sz="0" w:space="0" w:color="auto"/>
                  </w:divBdr>
                  <w:divsChild>
                    <w:div w:id="587467358">
                      <w:marLeft w:val="0"/>
                      <w:marRight w:val="0"/>
                      <w:marTop w:val="120"/>
                      <w:marBottom w:val="0"/>
                      <w:divBdr>
                        <w:top w:val="none" w:sz="0" w:space="0" w:color="auto"/>
                        <w:left w:val="none" w:sz="0" w:space="0" w:color="auto"/>
                        <w:bottom w:val="none" w:sz="0" w:space="0" w:color="auto"/>
                        <w:right w:val="none" w:sz="0" w:space="0" w:color="auto"/>
                      </w:divBdr>
                      <w:divsChild>
                        <w:div w:id="829366755">
                          <w:marLeft w:val="0"/>
                          <w:marRight w:val="0"/>
                          <w:marTop w:val="0"/>
                          <w:marBottom w:val="0"/>
                          <w:divBdr>
                            <w:top w:val="none" w:sz="0" w:space="0" w:color="auto"/>
                            <w:left w:val="none" w:sz="0" w:space="0" w:color="auto"/>
                            <w:bottom w:val="none" w:sz="0" w:space="0" w:color="auto"/>
                            <w:right w:val="none" w:sz="0" w:space="0" w:color="auto"/>
                          </w:divBdr>
                          <w:divsChild>
                            <w:div w:id="1287080843">
                              <w:marLeft w:val="180"/>
                              <w:marRight w:val="0"/>
                              <w:marTop w:val="0"/>
                              <w:marBottom w:val="0"/>
                              <w:divBdr>
                                <w:top w:val="none" w:sz="0" w:space="0" w:color="auto"/>
                                <w:left w:val="none" w:sz="0" w:space="0" w:color="auto"/>
                                <w:bottom w:val="none" w:sz="0" w:space="0" w:color="auto"/>
                                <w:right w:val="none" w:sz="0" w:space="0" w:color="auto"/>
                              </w:divBdr>
                              <w:divsChild>
                                <w:div w:id="7490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68069">
                  <w:marLeft w:val="0"/>
                  <w:marRight w:val="0"/>
                  <w:marTop w:val="0"/>
                  <w:marBottom w:val="0"/>
                  <w:divBdr>
                    <w:top w:val="none" w:sz="0" w:space="0" w:color="auto"/>
                    <w:left w:val="none" w:sz="0" w:space="0" w:color="auto"/>
                    <w:bottom w:val="none" w:sz="0" w:space="0" w:color="auto"/>
                    <w:right w:val="none" w:sz="0" w:space="0" w:color="auto"/>
                  </w:divBdr>
                  <w:divsChild>
                    <w:div w:id="1048992873">
                      <w:marLeft w:val="0"/>
                      <w:marRight w:val="0"/>
                      <w:marTop w:val="120"/>
                      <w:marBottom w:val="0"/>
                      <w:divBdr>
                        <w:top w:val="none" w:sz="0" w:space="0" w:color="auto"/>
                        <w:left w:val="none" w:sz="0" w:space="0" w:color="auto"/>
                        <w:bottom w:val="none" w:sz="0" w:space="0" w:color="auto"/>
                        <w:right w:val="none" w:sz="0" w:space="0" w:color="auto"/>
                      </w:divBdr>
                      <w:divsChild>
                        <w:div w:id="1542547632">
                          <w:marLeft w:val="0"/>
                          <w:marRight w:val="0"/>
                          <w:marTop w:val="0"/>
                          <w:marBottom w:val="0"/>
                          <w:divBdr>
                            <w:top w:val="none" w:sz="0" w:space="0" w:color="auto"/>
                            <w:left w:val="none" w:sz="0" w:space="0" w:color="auto"/>
                            <w:bottom w:val="none" w:sz="0" w:space="0" w:color="auto"/>
                            <w:right w:val="none" w:sz="0" w:space="0" w:color="auto"/>
                          </w:divBdr>
                          <w:divsChild>
                            <w:div w:id="349767049">
                              <w:marLeft w:val="180"/>
                              <w:marRight w:val="0"/>
                              <w:marTop w:val="0"/>
                              <w:marBottom w:val="0"/>
                              <w:divBdr>
                                <w:top w:val="none" w:sz="0" w:space="0" w:color="auto"/>
                                <w:left w:val="none" w:sz="0" w:space="0" w:color="auto"/>
                                <w:bottom w:val="none" w:sz="0" w:space="0" w:color="auto"/>
                                <w:right w:val="none" w:sz="0" w:space="0" w:color="auto"/>
                              </w:divBdr>
                              <w:divsChild>
                                <w:div w:id="19377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39095">
                  <w:marLeft w:val="0"/>
                  <w:marRight w:val="0"/>
                  <w:marTop w:val="0"/>
                  <w:marBottom w:val="0"/>
                  <w:divBdr>
                    <w:top w:val="none" w:sz="0" w:space="0" w:color="auto"/>
                    <w:left w:val="none" w:sz="0" w:space="0" w:color="auto"/>
                    <w:bottom w:val="none" w:sz="0" w:space="0" w:color="auto"/>
                    <w:right w:val="none" w:sz="0" w:space="0" w:color="auto"/>
                  </w:divBdr>
                  <w:divsChild>
                    <w:div w:id="1417900636">
                      <w:marLeft w:val="0"/>
                      <w:marRight w:val="0"/>
                      <w:marTop w:val="120"/>
                      <w:marBottom w:val="0"/>
                      <w:divBdr>
                        <w:top w:val="none" w:sz="0" w:space="0" w:color="auto"/>
                        <w:left w:val="none" w:sz="0" w:space="0" w:color="auto"/>
                        <w:bottom w:val="none" w:sz="0" w:space="0" w:color="auto"/>
                        <w:right w:val="none" w:sz="0" w:space="0" w:color="auto"/>
                      </w:divBdr>
                      <w:divsChild>
                        <w:div w:id="668406841">
                          <w:marLeft w:val="0"/>
                          <w:marRight w:val="0"/>
                          <w:marTop w:val="0"/>
                          <w:marBottom w:val="0"/>
                          <w:divBdr>
                            <w:top w:val="none" w:sz="0" w:space="0" w:color="auto"/>
                            <w:left w:val="none" w:sz="0" w:space="0" w:color="auto"/>
                            <w:bottom w:val="none" w:sz="0" w:space="0" w:color="auto"/>
                            <w:right w:val="none" w:sz="0" w:space="0" w:color="auto"/>
                          </w:divBdr>
                          <w:divsChild>
                            <w:div w:id="517475730">
                              <w:marLeft w:val="180"/>
                              <w:marRight w:val="0"/>
                              <w:marTop w:val="0"/>
                              <w:marBottom w:val="0"/>
                              <w:divBdr>
                                <w:top w:val="none" w:sz="0" w:space="0" w:color="auto"/>
                                <w:left w:val="none" w:sz="0" w:space="0" w:color="auto"/>
                                <w:bottom w:val="none" w:sz="0" w:space="0" w:color="auto"/>
                                <w:right w:val="none" w:sz="0" w:space="0" w:color="auto"/>
                              </w:divBdr>
                              <w:divsChild>
                                <w:div w:id="20101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265581">
                  <w:marLeft w:val="0"/>
                  <w:marRight w:val="0"/>
                  <w:marTop w:val="0"/>
                  <w:marBottom w:val="0"/>
                  <w:divBdr>
                    <w:top w:val="none" w:sz="0" w:space="0" w:color="auto"/>
                    <w:left w:val="none" w:sz="0" w:space="0" w:color="auto"/>
                    <w:bottom w:val="none" w:sz="0" w:space="0" w:color="auto"/>
                    <w:right w:val="none" w:sz="0" w:space="0" w:color="auto"/>
                  </w:divBdr>
                  <w:divsChild>
                    <w:div w:id="1437171053">
                      <w:marLeft w:val="0"/>
                      <w:marRight w:val="0"/>
                      <w:marTop w:val="120"/>
                      <w:marBottom w:val="0"/>
                      <w:divBdr>
                        <w:top w:val="none" w:sz="0" w:space="0" w:color="auto"/>
                        <w:left w:val="none" w:sz="0" w:space="0" w:color="auto"/>
                        <w:bottom w:val="none" w:sz="0" w:space="0" w:color="auto"/>
                        <w:right w:val="none" w:sz="0" w:space="0" w:color="auto"/>
                      </w:divBdr>
                      <w:divsChild>
                        <w:div w:id="872618438">
                          <w:marLeft w:val="0"/>
                          <w:marRight w:val="0"/>
                          <w:marTop w:val="0"/>
                          <w:marBottom w:val="0"/>
                          <w:divBdr>
                            <w:top w:val="none" w:sz="0" w:space="0" w:color="auto"/>
                            <w:left w:val="none" w:sz="0" w:space="0" w:color="auto"/>
                            <w:bottom w:val="none" w:sz="0" w:space="0" w:color="auto"/>
                            <w:right w:val="none" w:sz="0" w:space="0" w:color="auto"/>
                          </w:divBdr>
                          <w:divsChild>
                            <w:div w:id="1390229142">
                              <w:marLeft w:val="180"/>
                              <w:marRight w:val="0"/>
                              <w:marTop w:val="0"/>
                              <w:marBottom w:val="0"/>
                              <w:divBdr>
                                <w:top w:val="none" w:sz="0" w:space="0" w:color="auto"/>
                                <w:left w:val="none" w:sz="0" w:space="0" w:color="auto"/>
                                <w:bottom w:val="none" w:sz="0" w:space="0" w:color="auto"/>
                                <w:right w:val="none" w:sz="0" w:space="0" w:color="auto"/>
                              </w:divBdr>
                              <w:divsChild>
                                <w:div w:id="8800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282911">
      <w:bodyDiv w:val="1"/>
      <w:marLeft w:val="0"/>
      <w:marRight w:val="0"/>
      <w:marTop w:val="0"/>
      <w:marBottom w:val="0"/>
      <w:divBdr>
        <w:top w:val="none" w:sz="0" w:space="0" w:color="auto"/>
        <w:left w:val="none" w:sz="0" w:space="0" w:color="auto"/>
        <w:bottom w:val="none" w:sz="0" w:space="0" w:color="auto"/>
        <w:right w:val="none" w:sz="0" w:space="0" w:color="auto"/>
      </w:divBdr>
      <w:divsChild>
        <w:div w:id="243729218">
          <w:marLeft w:val="-255"/>
          <w:marRight w:val="-255"/>
          <w:marTop w:val="0"/>
          <w:marBottom w:val="0"/>
          <w:divBdr>
            <w:top w:val="none" w:sz="0" w:space="0" w:color="auto"/>
            <w:left w:val="none" w:sz="0" w:space="0" w:color="auto"/>
            <w:bottom w:val="none" w:sz="0" w:space="0" w:color="auto"/>
            <w:right w:val="none" w:sz="0" w:space="0" w:color="auto"/>
          </w:divBdr>
          <w:divsChild>
            <w:div w:id="637802708">
              <w:marLeft w:val="0"/>
              <w:marRight w:val="0"/>
              <w:marTop w:val="0"/>
              <w:marBottom w:val="0"/>
              <w:divBdr>
                <w:top w:val="none" w:sz="0" w:space="0" w:color="auto"/>
                <w:left w:val="none" w:sz="0" w:space="0" w:color="auto"/>
                <w:bottom w:val="none" w:sz="0" w:space="0" w:color="auto"/>
                <w:right w:val="none" w:sz="0" w:space="0" w:color="auto"/>
              </w:divBdr>
              <w:divsChild>
                <w:div w:id="13018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9959">
          <w:marLeft w:val="0"/>
          <w:marRight w:val="0"/>
          <w:marTop w:val="195"/>
          <w:marBottom w:val="0"/>
          <w:divBdr>
            <w:top w:val="none" w:sz="0" w:space="0" w:color="auto"/>
            <w:left w:val="none" w:sz="0" w:space="0" w:color="auto"/>
            <w:bottom w:val="none" w:sz="0" w:space="0" w:color="auto"/>
            <w:right w:val="none" w:sz="0" w:space="0" w:color="auto"/>
          </w:divBdr>
        </w:div>
        <w:div w:id="1148547589">
          <w:marLeft w:val="0"/>
          <w:marRight w:val="0"/>
          <w:marTop w:val="30"/>
          <w:marBottom w:val="0"/>
          <w:divBdr>
            <w:top w:val="none" w:sz="0" w:space="0" w:color="auto"/>
            <w:left w:val="none" w:sz="0" w:space="0" w:color="auto"/>
            <w:bottom w:val="none" w:sz="0" w:space="0" w:color="auto"/>
            <w:right w:val="none" w:sz="0" w:space="0" w:color="auto"/>
          </w:divBdr>
          <w:divsChild>
            <w:div w:id="563032893">
              <w:marLeft w:val="-510"/>
              <w:marRight w:val="0"/>
              <w:marTop w:val="0"/>
              <w:marBottom w:val="0"/>
              <w:divBdr>
                <w:top w:val="none" w:sz="0" w:space="0" w:color="auto"/>
                <w:left w:val="none" w:sz="0" w:space="0" w:color="auto"/>
                <w:bottom w:val="none" w:sz="0" w:space="0" w:color="auto"/>
                <w:right w:val="none" w:sz="0" w:space="0" w:color="auto"/>
              </w:divBdr>
              <w:divsChild>
                <w:div w:id="201984558">
                  <w:marLeft w:val="0"/>
                  <w:marRight w:val="0"/>
                  <w:marTop w:val="0"/>
                  <w:marBottom w:val="0"/>
                  <w:divBdr>
                    <w:top w:val="none" w:sz="0" w:space="0" w:color="auto"/>
                    <w:left w:val="none" w:sz="0" w:space="0" w:color="auto"/>
                    <w:bottom w:val="none" w:sz="0" w:space="0" w:color="auto"/>
                    <w:right w:val="none" w:sz="0" w:space="0" w:color="auto"/>
                  </w:divBdr>
                  <w:divsChild>
                    <w:div w:id="16667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896019">
      <w:bodyDiv w:val="1"/>
      <w:marLeft w:val="0"/>
      <w:marRight w:val="0"/>
      <w:marTop w:val="0"/>
      <w:marBottom w:val="0"/>
      <w:divBdr>
        <w:top w:val="none" w:sz="0" w:space="0" w:color="auto"/>
        <w:left w:val="none" w:sz="0" w:space="0" w:color="auto"/>
        <w:bottom w:val="none" w:sz="0" w:space="0" w:color="auto"/>
        <w:right w:val="none" w:sz="0" w:space="0" w:color="auto"/>
      </w:divBdr>
      <w:divsChild>
        <w:div w:id="646518451">
          <w:marLeft w:val="0"/>
          <w:marRight w:val="0"/>
          <w:marTop w:val="0"/>
          <w:marBottom w:val="0"/>
          <w:divBdr>
            <w:top w:val="none" w:sz="0" w:space="0" w:color="auto"/>
            <w:left w:val="none" w:sz="0" w:space="0" w:color="auto"/>
            <w:bottom w:val="none" w:sz="0" w:space="0" w:color="auto"/>
            <w:right w:val="none" w:sz="0" w:space="0" w:color="auto"/>
          </w:divBdr>
        </w:div>
        <w:div w:id="1694531342">
          <w:marLeft w:val="0"/>
          <w:marRight w:val="0"/>
          <w:marTop w:val="0"/>
          <w:marBottom w:val="0"/>
          <w:divBdr>
            <w:top w:val="none" w:sz="0" w:space="0" w:color="auto"/>
            <w:left w:val="none" w:sz="0" w:space="0" w:color="auto"/>
            <w:bottom w:val="none" w:sz="0" w:space="0" w:color="auto"/>
            <w:right w:val="none" w:sz="0" w:space="0" w:color="auto"/>
          </w:divBdr>
        </w:div>
      </w:divsChild>
    </w:div>
    <w:div w:id="1685783764">
      <w:bodyDiv w:val="1"/>
      <w:marLeft w:val="0"/>
      <w:marRight w:val="0"/>
      <w:marTop w:val="0"/>
      <w:marBottom w:val="0"/>
      <w:divBdr>
        <w:top w:val="none" w:sz="0" w:space="0" w:color="auto"/>
        <w:left w:val="none" w:sz="0" w:space="0" w:color="auto"/>
        <w:bottom w:val="none" w:sz="0" w:space="0" w:color="auto"/>
        <w:right w:val="none" w:sz="0" w:space="0" w:color="auto"/>
      </w:divBdr>
      <w:divsChild>
        <w:div w:id="1620182199">
          <w:marLeft w:val="-255"/>
          <w:marRight w:val="-255"/>
          <w:marTop w:val="0"/>
          <w:marBottom w:val="0"/>
          <w:divBdr>
            <w:top w:val="none" w:sz="0" w:space="0" w:color="auto"/>
            <w:left w:val="none" w:sz="0" w:space="0" w:color="auto"/>
            <w:bottom w:val="none" w:sz="0" w:space="0" w:color="auto"/>
            <w:right w:val="none" w:sz="0" w:space="0" w:color="auto"/>
          </w:divBdr>
          <w:divsChild>
            <w:div w:id="449668706">
              <w:marLeft w:val="0"/>
              <w:marRight w:val="0"/>
              <w:marTop w:val="0"/>
              <w:marBottom w:val="0"/>
              <w:divBdr>
                <w:top w:val="none" w:sz="0" w:space="0" w:color="auto"/>
                <w:left w:val="none" w:sz="0" w:space="0" w:color="auto"/>
                <w:bottom w:val="none" w:sz="0" w:space="0" w:color="auto"/>
                <w:right w:val="none" w:sz="0" w:space="0" w:color="auto"/>
              </w:divBdr>
              <w:divsChild>
                <w:div w:id="16554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5274">
          <w:marLeft w:val="0"/>
          <w:marRight w:val="0"/>
          <w:marTop w:val="195"/>
          <w:marBottom w:val="0"/>
          <w:divBdr>
            <w:top w:val="none" w:sz="0" w:space="0" w:color="auto"/>
            <w:left w:val="none" w:sz="0" w:space="0" w:color="auto"/>
            <w:bottom w:val="none" w:sz="0" w:space="0" w:color="auto"/>
            <w:right w:val="none" w:sz="0" w:space="0" w:color="auto"/>
          </w:divBdr>
        </w:div>
        <w:div w:id="2089034607">
          <w:marLeft w:val="0"/>
          <w:marRight w:val="0"/>
          <w:marTop w:val="30"/>
          <w:marBottom w:val="0"/>
          <w:divBdr>
            <w:top w:val="none" w:sz="0" w:space="0" w:color="auto"/>
            <w:left w:val="none" w:sz="0" w:space="0" w:color="auto"/>
            <w:bottom w:val="none" w:sz="0" w:space="0" w:color="auto"/>
            <w:right w:val="none" w:sz="0" w:space="0" w:color="auto"/>
          </w:divBdr>
          <w:divsChild>
            <w:div w:id="322316307">
              <w:marLeft w:val="0"/>
              <w:marRight w:val="0"/>
              <w:marTop w:val="0"/>
              <w:marBottom w:val="0"/>
              <w:divBdr>
                <w:top w:val="none" w:sz="0" w:space="0" w:color="auto"/>
                <w:left w:val="none" w:sz="0" w:space="0" w:color="auto"/>
                <w:bottom w:val="none" w:sz="0" w:space="0" w:color="auto"/>
                <w:right w:val="none" w:sz="0" w:space="0" w:color="auto"/>
              </w:divBdr>
              <w:divsChild>
                <w:div w:id="839153086">
                  <w:marLeft w:val="0"/>
                  <w:marRight w:val="0"/>
                  <w:marTop w:val="0"/>
                  <w:marBottom w:val="0"/>
                  <w:divBdr>
                    <w:top w:val="none" w:sz="0" w:space="0" w:color="auto"/>
                    <w:left w:val="none" w:sz="0" w:space="0" w:color="auto"/>
                    <w:bottom w:val="none" w:sz="0" w:space="0" w:color="auto"/>
                    <w:right w:val="none" w:sz="0" w:space="0" w:color="auto"/>
                  </w:divBdr>
                  <w:divsChild>
                    <w:div w:id="1040591963">
                      <w:marLeft w:val="0"/>
                      <w:marRight w:val="0"/>
                      <w:marTop w:val="0"/>
                      <w:marBottom w:val="0"/>
                      <w:divBdr>
                        <w:top w:val="none" w:sz="0" w:space="0" w:color="auto"/>
                        <w:left w:val="none" w:sz="0" w:space="0" w:color="auto"/>
                        <w:bottom w:val="none" w:sz="0" w:space="0" w:color="auto"/>
                        <w:right w:val="none" w:sz="0" w:space="0" w:color="auto"/>
                      </w:divBdr>
                    </w:div>
                    <w:div w:id="9522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37960">
      <w:bodyDiv w:val="1"/>
      <w:marLeft w:val="0"/>
      <w:marRight w:val="0"/>
      <w:marTop w:val="0"/>
      <w:marBottom w:val="0"/>
      <w:divBdr>
        <w:top w:val="none" w:sz="0" w:space="0" w:color="auto"/>
        <w:left w:val="none" w:sz="0" w:space="0" w:color="auto"/>
        <w:bottom w:val="none" w:sz="0" w:space="0" w:color="auto"/>
        <w:right w:val="none" w:sz="0" w:space="0" w:color="auto"/>
      </w:divBdr>
    </w:div>
    <w:div w:id="1724284685">
      <w:bodyDiv w:val="1"/>
      <w:marLeft w:val="0"/>
      <w:marRight w:val="0"/>
      <w:marTop w:val="0"/>
      <w:marBottom w:val="0"/>
      <w:divBdr>
        <w:top w:val="none" w:sz="0" w:space="0" w:color="auto"/>
        <w:left w:val="none" w:sz="0" w:space="0" w:color="auto"/>
        <w:bottom w:val="none" w:sz="0" w:space="0" w:color="auto"/>
        <w:right w:val="none" w:sz="0" w:space="0" w:color="auto"/>
      </w:divBdr>
      <w:divsChild>
        <w:div w:id="735281006">
          <w:marLeft w:val="0"/>
          <w:marRight w:val="0"/>
          <w:marTop w:val="0"/>
          <w:marBottom w:val="0"/>
          <w:divBdr>
            <w:top w:val="none" w:sz="0" w:space="0" w:color="auto"/>
            <w:left w:val="none" w:sz="0" w:space="0" w:color="auto"/>
            <w:bottom w:val="none" w:sz="0" w:space="0" w:color="auto"/>
            <w:right w:val="none" w:sz="0" w:space="0" w:color="auto"/>
          </w:divBdr>
        </w:div>
        <w:div w:id="1078164231">
          <w:marLeft w:val="0"/>
          <w:marRight w:val="0"/>
          <w:marTop w:val="0"/>
          <w:marBottom w:val="0"/>
          <w:divBdr>
            <w:top w:val="none" w:sz="0" w:space="0" w:color="auto"/>
            <w:left w:val="none" w:sz="0" w:space="0" w:color="auto"/>
            <w:bottom w:val="none" w:sz="0" w:space="0" w:color="auto"/>
            <w:right w:val="none" w:sz="0" w:space="0" w:color="auto"/>
          </w:divBdr>
        </w:div>
      </w:divsChild>
    </w:div>
    <w:div w:id="1727797565">
      <w:bodyDiv w:val="1"/>
      <w:marLeft w:val="0"/>
      <w:marRight w:val="0"/>
      <w:marTop w:val="0"/>
      <w:marBottom w:val="0"/>
      <w:divBdr>
        <w:top w:val="none" w:sz="0" w:space="0" w:color="auto"/>
        <w:left w:val="none" w:sz="0" w:space="0" w:color="auto"/>
        <w:bottom w:val="none" w:sz="0" w:space="0" w:color="auto"/>
        <w:right w:val="none" w:sz="0" w:space="0" w:color="auto"/>
      </w:divBdr>
      <w:divsChild>
        <w:div w:id="1471820335">
          <w:marLeft w:val="0"/>
          <w:marRight w:val="0"/>
          <w:marTop w:val="30"/>
          <w:marBottom w:val="0"/>
          <w:divBdr>
            <w:top w:val="none" w:sz="0" w:space="0" w:color="auto"/>
            <w:left w:val="none" w:sz="0" w:space="0" w:color="auto"/>
            <w:bottom w:val="none" w:sz="0" w:space="0" w:color="auto"/>
            <w:right w:val="none" w:sz="0" w:space="0" w:color="auto"/>
          </w:divBdr>
          <w:divsChild>
            <w:div w:id="1890460520">
              <w:marLeft w:val="-510"/>
              <w:marRight w:val="0"/>
              <w:marTop w:val="0"/>
              <w:marBottom w:val="0"/>
              <w:divBdr>
                <w:top w:val="none" w:sz="0" w:space="0" w:color="auto"/>
                <w:left w:val="none" w:sz="0" w:space="0" w:color="auto"/>
                <w:bottom w:val="none" w:sz="0" w:space="0" w:color="auto"/>
                <w:right w:val="none" w:sz="0" w:space="0" w:color="auto"/>
              </w:divBdr>
              <w:divsChild>
                <w:div w:id="1585409672">
                  <w:marLeft w:val="0"/>
                  <w:marRight w:val="0"/>
                  <w:marTop w:val="0"/>
                  <w:marBottom w:val="0"/>
                  <w:divBdr>
                    <w:top w:val="none" w:sz="0" w:space="0" w:color="auto"/>
                    <w:left w:val="none" w:sz="0" w:space="0" w:color="auto"/>
                    <w:bottom w:val="none" w:sz="0" w:space="0" w:color="auto"/>
                    <w:right w:val="none" w:sz="0" w:space="0" w:color="auto"/>
                  </w:divBdr>
                  <w:divsChild>
                    <w:div w:id="19942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49134">
          <w:marLeft w:val="0"/>
          <w:marRight w:val="0"/>
          <w:marTop w:val="30"/>
          <w:marBottom w:val="0"/>
          <w:divBdr>
            <w:top w:val="none" w:sz="0" w:space="0" w:color="auto"/>
            <w:left w:val="none" w:sz="0" w:space="0" w:color="auto"/>
            <w:bottom w:val="none" w:sz="0" w:space="0" w:color="auto"/>
            <w:right w:val="none" w:sz="0" w:space="0" w:color="auto"/>
          </w:divBdr>
          <w:divsChild>
            <w:div w:id="1286280134">
              <w:marLeft w:val="0"/>
              <w:marRight w:val="0"/>
              <w:marTop w:val="0"/>
              <w:marBottom w:val="0"/>
              <w:divBdr>
                <w:top w:val="none" w:sz="0" w:space="0" w:color="auto"/>
                <w:left w:val="none" w:sz="0" w:space="0" w:color="auto"/>
                <w:bottom w:val="none" w:sz="0" w:space="0" w:color="auto"/>
                <w:right w:val="none" w:sz="0" w:space="0" w:color="auto"/>
              </w:divBdr>
              <w:divsChild>
                <w:div w:id="355431351">
                  <w:marLeft w:val="0"/>
                  <w:marRight w:val="0"/>
                  <w:marTop w:val="0"/>
                  <w:marBottom w:val="0"/>
                  <w:divBdr>
                    <w:top w:val="none" w:sz="0" w:space="0" w:color="auto"/>
                    <w:left w:val="none" w:sz="0" w:space="0" w:color="auto"/>
                    <w:bottom w:val="none" w:sz="0" w:space="0" w:color="auto"/>
                    <w:right w:val="none" w:sz="0" w:space="0" w:color="auto"/>
                  </w:divBdr>
                  <w:divsChild>
                    <w:div w:id="1981157007">
                      <w:marLeft w:val="0"/>
                      <w:marRight w:val="0"/>
                      <w:marTop w:val="120"/>
                      <w:marBottom w:val="0"/>
                      <w:divBdr>
                        <w:top w:val="none" w:sz="0" w:space="0" w:color="auto"/>
                        <w:left w:val="none" w:sz="0" w:space="0" w:color="auto"/>
                        <w:bottom w:val="none" w:sz="0" w:space="0" w:color="auto"/>
                        <w:right w:val="none" w:sz="0" w:space="0" w:color="auto"/>
                      </w:divBdr>
                      <w:divsChild>
                        <w:div w:id="421462746">
                          <w:marLeft w:val="0"/>
                          <w:marRight w:val="0"/>
                          <w:marTop w:val="0"/>
                          <w:marBottom w:val="0"/>
                          <w:divBdr>
                            <w:top w:val="none" w:sz="0" w:space="0" w:color="auto"/>
                            <w:left w:val="none" w:sz="0" w:space="0" w:color="auto"/>
                            <w:bottom w:val="none" w:sz="0" w:space="0" w:color="auto"/>
                            <w:right w:val="none" w:sz="0" w:space="0" w:color="auto"/>
                          </w:divBdr>
                          <w:divsChild>
                            <w:div w:id="618951689">
                              <w:marLeft w:val="180"/>
                              <w:marRight w:val="0"/>
                              <w:marTop w:val="0"/>
                              <w:marBottom w:val="0"/>
                              <w:divBdr>
                                <w:top w:val="none" w:sz="0" w:space="0" w:color="auto"/>
                                <w:left w:val="none" w:sz="0" w:space="0" w:color="auto"/>
                                <w:bottom w:val="none" w:sz="0" w:space="0" w:color="auto"/>
                                <w:right w:val="none" w:sz="0" w:space="0" w:color="auto"/>
                              </w:divBdr>
                              <w:divsChild>
                                <w:div w:id="157365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69863">
                  <w:marLeft w:val="0"/>
                  <w:marRight w:val="0"/>
                  <w:marTop w:val="0"/>
                  <w:marBottom w:val="0"/>
                  <w:divBdr>
                    <w:top w:val="none" w:sz="0" w:space="0" w:color="auto"/>
                    <w:left w:val="none" w:sz="0" w:space="0" w:color="auto"/>
                    <w:bottom w:val="none" w:sz="0" w:space="0" w:color="auto"/>
                    <w:right w:val="none" w:sz="0" w:space="0" w:color="auto"/>
                  </w:divBdr>
                  <w:divsChild>
                    <w:div w:id="2115053861">
                      <w:marLeft w:val="0"/>
                      <w:marRight w:val="0"/>
                      <w:marTop w:val="120"/>
                      <w:marBottom w:val="0"/>
                      <w:divBdr>
                        <w:top w:val="none" w:sz="0" w:space="0" w:color="auto"/>
                        <w:left w:val="none" w:sz="0" w:space="0" w:color="auto"/>
                        <w:bottom w:val="none" w:sz="0" w:space="0" w:color="auto"/>
                        <w:right w:val="none" w:sz="0" w:space="0" w:color="auto"/>
                      </w:divBdr>
                      <w:divsChild>
                        <w:div w:id="569774288">
                          <w:marLeft w:val="0"/>
                          <w:marRight w:val="0"/>
                          <w:marTop w:val="0"/>
                          <w:marBottom w:val="0"/>
                          <w:divBdr>
                            <w:top w:val="none" w:sz="0" w:space="0" w:color="auto"/>
                            <w:left w:val="none" w:sz="0" w:space="0" w:color="auto"/>
                            <w:bottom w:val="none" w:sz="0" w:space="0" w:color="auto"/>
                            <w:right w:val="none" w:sz="0" w:space="0" w:color="auto"/>
                          </w:divBdr>
                          <w:divsChild>
                            <w:div w:id="1473401552">
                              <w:marLeft w:val="180"/>
                              <w:marRight w:val="0"/>
                              <w:marTop w:val="0"/>
                              <w:marBottom w:val="0"/>
                              <w:divBdr>
                                <w:top w:val="none" w:sz="0" w:space="0" w:color="auto"/>
                                <w:left w:val="none" w:sz="0" w:space="0" w:color="auto"/>
                                <w:bottom w:val="none" w:sz="0" w:space="0" w:color="auto"/>
                                <w:right w:val="none" w:sz="0" w:space="0" w:color="auto"/>
                              </w:divBdr>
                              <w:divsChild>
                                <w:div w:id="166042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8642">
                  <w:marLeft w:val="0"/>
                  <w:marRight w:val="0"/>
                  <w:marTop w:val="0"/>
                  <w:marBottom w:val="0"/>
                  <w:divBdr>
                    <w:top w:val="none" w:sz="0" w:space="0" w:color="auto"/>
                    <w:left w:val="none" w:sz="0" w:space="0" w:color="auto"/>
                    <w:bottom w:val="none" w:sz="0" w:space="0" w:color="auto"/>
                    <w:right w:val="none" w:sz="0" w:space="0" w:color="auto"/>
                  </w:divBdr>
                  <w:divsChild>
                    <w:div w:id="1824620274">
                      <w:marLeft w:val="0"/>
                      <w:marRight w:val="0"/>
                      <w:marTop w:val="120"/>
                      <w:marBottom w:val="0"/>
                      <w:divBdr>
                        <w:top w:val="none" w:sz="0" w:space="0" w:color="auto"/>
                        <w:left w:val="none" w:sz="0" w:space="0" w:color="auto"/>
                        <w:bottom w:val="none" w:sz="0" w:space="0" w:color="auto"/>
                        <w:right w:val="none" w:sz="0" w:space="0" w:color="auto"/>
                      </w:divBdr>
                      <w:divsChild>
                        <w:div w:id="627585017">
                          <w:marLeft w:val="0"/>
                          <w:marRight w:val="0"/>
                          <w:marTop w:val="0"/>
                          <w:marBottom w:val="0"/>
                          <w:divBdr>
                            <w:top w:val="none" w:sz="0" w:space="0" w:color="auto"/>
                            <w:left w:val="none" w:sz="0" w:space="0" w:color="auto"/>
                            <w:bottom w:val="none" w:sz="0" w:space="0" w:color="auto"/>
                            <w:right w:val="none" w:sz="0" w:space="0" w:color="auto"/>
                          </w:divBdr>
                          <w:divsChild>
                            <w:div w:id="1447967355">
                              <w:marLeft w:val="180"/>
                              <w:marRight w:val="0"/>
                              <w:marTop w:val="0"/>
                              <w:marBottom w:val="0"/>
                              <w:divBdr>
                                <w:top w:val="none" w:sz="0" w:space="0" w:color="auto"/>
                                <w:left w:val="none" w:sz="0" w:space="0" w:color="auto"/>
                                <w:bottom w:val="none" w:sz="0" w:space="0" w:color="auto"/>
                                <w:right w:val="none" w:sz="0" w:space="0" w:color="auto"/>
                              </w:divBdr>
                              <w:divsChild>
                                <w:div w:id="9322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95391">
                  <w:marLeft w:val="0"/>
                  <w:marRight w:val="0"/>
                  <w:marTop w:val="0"/>
                  <w:marBottom w:val="0"/>
                  <w:divBdr>
                    <w:top w:val="none" w:sz="0" w:space="0" w:color="auto"/>
                    <w:left w:val="none" w:sz="0" w:space="0" w:color="auto"/>
                    <w:bottom w:val="none" w:sz="0" w:space="0" w:color="auto"/>
                    <w:right w:val="none" w:sz="0" w:space="0" w:color="auto"/>
                  </w:divBdr>
                  <w:divsChild>
                    <w:div w:id="401484770">
                      <w:marLeft w:val="0"/>
                      <w:marRight w:val="0"/>
                      <w:marTop w:val="120"/>
                      <w:marBottom w:val="0"/>
                      <w:divBdr>
                        <w:top w:val="none" w:sz="0" w:space="0" w:color="auto"/>
                        <w:left w:val="none" w:sz="0" w:space="0" w:color="auto"/>
                        <w:bottom w:val="none" w:sz="0" w:space="0" w:color="auto"/>
                        <w:right w:val="none" w:sz="0" w:space="0" w:color="auto"/>
                      </w:divBdr>
                      <w:divsChild>
                        <w:div w:id="259997801">
                          <w:marLeft w:val="0"/>
                          <w:marRight w:val="0"/>
                          <w:marTop w:val="0"/>
                          <w:marBottom w:val="0"/>
                          <w:divBdr>
                            <w:top w:val="none" w:sz="0" w:space="0" w:color="auto"/>
                            <w:left w:val="none" w:sz="0" w:space="0" w:color="auto"/>
                            <w:bottom w:val="none" w:sz="0" w:space="0" w:color="auto"/>
                            <w:right w:val="none" w:sz="0" w:space="0" w:color="auto"/>
                          </w:divBdr>
                          <w:divsChild>
                            <w:div w:id="1004167102">
                              <w:marLeft w:val="180"/>
                              <w:marRight w:val="0"/>
                              <w:marTop w:val="0"/>
                              <w:marBottom w:val="0"/>
                              <w:divBdr>
                                <w:top w:val="none" w:sz="0" w:space="0" w:color="auto"/>
                                <w:left w:val="none" w:sz="0" w:space="0" w:color="auto"/>
                                <w:bottom w:val="none" w:sz="0" w:space="0" w:color="auto"/>
                                <w:right w:val="none" w:sz="0" w:space="0" w:color="auto"/>
                              </w:divBdr>
                              <w:divsChild>
                                <w:div w:id="14053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16384">
                  <w:marLeft w:val="0"/>
                  <w:marRight w:val="0"/>
                  <w:marTop w:val="0"/>
                  <w:marBottom w:val="0"/>
                  <w:divBdr>
                    <w:top w:val="none" w:sz="0" w:space="0" w:color="auto"/>
                    <w:left w:val="none" w:sz="0" w:space="0" w:color="auto"/>
                    <w:bottom w:val="none" w:sz="0" w:space="0" w:color="auto"/>
                    <w:right w:val="none" w:sz="0" w:space="0" w:color="auto"/>
                  </w:divBdr>
                  <w:divsChild>
                    <w:div w:id="596140532">
                      <w:marLeft w:val="0"/>
                      <w:marRight w:val="0"/>
                      <w:marTop w:val="120"/>
                      <w:marBottom w:val="0"/>
                      <w:divBdr>
                        <w:top w:val="none" w:sz="0" w:space="0" w:color="auto"/>
                        <w:left w:val="none" w:sz="0" w:space="0" w:color="auto"/>
                        <w:bottom w:val="none" w:sz="0" w:space="0" w:color="auto"/>
                        <w:right w:val="none" w:sz="0" w:space="0" w:color="auto"/>
                      </w:divBdr>
                      <w:divsChild>
                        <w:div w:id="1201437869">
                          <w:marLeft w:val="0"/>
                          <w:marRight w:val="0"/>
                          <w:marTop w:val="0"/>
                          <w:marBottom w:val="0"/>
                          <w:divBdr>
                            <w:top w:val="none" w:sz="0" w:space="0" w:color="auto"/>
                            <w:left w:val="none" w:sz="0" w:space="0" w:color="auto"/>
                            <w:bottom w:val="none" w:sz="0" w:space="0" w:color="auto"/>
                            <w:right w:val="none" w:sz="0" w:space="0" w:color="auto"/>
                          </w:divBdr>
                          <w:divsChild>
                            <w:div w:id="1046830789">
                              <w:marLeft w:val="180"/>
                              <w:marRight w:val="0"/>
                              <w:marTop w:val="0"/>
                              <w:marBottom w:val="0"/>
                              <w:divBdr>
                                <w:top w:val="none" w:sz="0" w:space="0" w:color="auto"/>
                                <w:left w:val="none" w:sz="0" w:space="0" w:color="auto"/>
                                <w:bottom w:val="none" w:sz="0" w:space="0" w:color="auto"/>
                                <w:right w:val="none" w:sz="0" w:space="0" w:color="auto"/>
                              </w:divBdr>
                              <w:divsChild>
                                <w:div w:id="6167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50491">
                  <w:marLeft w:val="0"/>
                  <w:marRight w:val="0"/>
                  <w:marTop w:val="0"/>
                  <w:marBottom w:val="0"/>
                  <w:divBdr>
                    <w:top w:val="none" w:sz="0" w:space="0" w:color="auto"/>
                    <w:left w:val="none" w:sz="0" w:space="0" w:color="auto"/>
                    <w:bottom w:val="none" w:sz="0" w:space="0" w:color="auto"/>
                    <w:right w:val="none" w:sz="0" w:space="0" w:color="auto"/>
                  </w:divBdr>
                  <w:divsChild>
                    <w:div w:id="174808815">
                      <w:marLeft w:val="0"/>
                      <w:marRight w:val="0"/>
                      <w:marTop w:val="120"/>
                      <w:marBottom w:val="0"/>
                      <w:divBdr>
                        <w:top w:val="none" w:sz="0" w:space="0" w:color="auto"/>
                        <w:left w:val="none" w:sz="0" w:space="0" w:color="auto"/>
                        <w:bottom w:val="none" w:sz="0" w:space="0" w:color="auto"/>
                        <w:right w:val="none" w:sz="0" w:space="0" w:color="auto"/>
                      </w:divBdr>
                      <w:divsChild>
                        <w:div w:id="1599363439">
                          <w:marLeft w:val="0"/>
                          <w:marRight w:val="0"/>
                          <w:marTop w:val="0"/>
                          <w:marBottom w:val="0"/>
                          <w:divBdr>
                            <w:top w:val="none" w:sz="0" w:space="0" w:color="auto"/>
                            <w:left w:val="none" w:sz="0" w:space="0" w:color="auto"/>
                            <w:bottom w:val="none" w:sz="0" w:space="0" w:color="auto"/>
                            <w:right w:val="none" w:sz="0" w:space="0" w:color="auto"/>
                          </w:divBdr>
                          <w:divsChild>
                            <w:div w:id="1831485393">
                              <w:marLeft w:val="180"/>
                              <w:marRight w:val="0"/>
                              <w:marTop w:val="0"/>
                              <w:marBottom w:val="0"/>
                              <w:divBdr>
                                <w:top w:val="none" w:sz="0" w:space="0" w:color="auto"/>
                                <w:left w:val="none" w:sz="0" w:space="0" w:color="auto"/>
                                <w:bottom w:val="none" w:sz="0" w:space="0" w:color="auto"/>
                                <w:right w:val="none" w:sz="0" w:space="0" w:color="auto"/>
                              </w:divBdr>
                              <w:divsChild>
                                <w:div w:id="1901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517501">
      <w:bodyDiv w:val="1"/>
      <w:marLeft w:val="0"/>
      <w:marRight w:val="0"/>
      <w:marTop w:val="0"/>
      <w:marBottom w:val="0"/>
      <w:divBdr>
        <w:top w:val="none" w:sz="0" w:space="0" w:color="auto"/>
        <w:left w:val="none" w:sz="0" w:space="0" w:color="auto"/>
        <w:bottom w:val="none" w:sz="0" w:space="0" w:color="auto"/>
        <w:right w:val="none" w:sz="0" w:space="0" w:color="auto"/>
      </w:divBdr>
      <w:divsChild>
        <w:div w:id="2021613989">
          <w:marLeft w:val="0"/>
          <w:marRight w:val="0"/>
          <w:marTop w:val="0"/>
          <w:marBottom w:val="0"/>
          <w:divBdr>
            <w:top w:val="none" w:sz="0" w:space="0" w:color="auto"/>
            <w:left w:val="none" w:sz="0" w:space="0" w:color="auto"/>
            <w:bottom w:val="none" w:sz="0" w:space="0" w:color="auto"/>
            <w:right w:val="none" w:sz="0" w:space="0" w:color="auto"/>
          </w:divBdr>
        </w:div>
        <w:div w:id="638850259">
          <w:marLeft w:val="0"/>
          <w:marRight w:val="0"/>
          <w:marTop w:val="0"/>
          <w:marBottom w:val="0"/>
          <w:divBdr>
            <w:top w:val="none" w:sz="0" w:space="0" w:color="auto"/>
            <w:left w:val="none" w:sz="0" w:space="0" w:color="auto"/>
            <w:bottom w:val="none" w:sz="0" w:space="0" w:color="auto"/>
            <w:right w:val="none" w:sz="0" w:space="0" w:color="auto"/>
          </w:divBdr>
        </w:div>
      </w:divsChild>
    </w:div>
    <w:div w:id="1866360994">
      <w:bodyDiv w:val="1"/>
      <w:marLeft w:val="0"/>
      <w:marRight w:val="0"/>
      <w:marTop w:val="0"/>
      <w:marBottom w:val="0"/>
      <w:divBdr>
        <w:top w:val="none" w:sz="0" w:space="0" w:color="auto"/>
        <w:left w:val="none" w:sz="0" w:space="0" w:color="auto"/>
        <w:bottom w:val="none" w:sz="0" w:space="0" w:color="auto"/>
        <w:right w:val="none" w:sz="0" w:space="0" w:color="auto"/>
      </w:divBdr>
      <w:divsChild>
        <w:div w:id="462424699">
          <w:marLeft w:val="0"/>
          <w:marRight w:val="0"/>
          <w:marTop w:val="30"/>
          <w:marBottom w:val="0"/>
          <w:divBdr>
            <w:top w:val="none" w:sz="0" w:space="0" w:color="auto"/>
            <w:left w:val="none" w:sz="0" w:space="0" w:color="auto"/>
            <w:bottom w:val="none" w:sz="0" w:space="0" w:color="auto"/>
            <w:right w:val="none" w:sz="0" w:space="0" w:color="auto"/>
          </w:divBdr>
          <w:divsChild>
            <w:div w:id="706370532">
              <w:marLeft w:val="0"/>
              <w:marRight w:val="0"/>
              <w:marTop w:val="0"/>
              <w:marBottom w:val="0"/>
              <w:divBdr>
                <w:top w:val="none" w:sz="0" w:space="0" w:color="auto"/>
                <w:left w:val="none" w:sz="0" w:space="0" w:color="auto"/>
                <w:bottom w:val="none" w:sz="0" w:space="0" w:color="auto"/>
                <w:right w:val="none" w:sz="0" w:space="0" w:color="auto"/>
              </w:divBdr>
              <w:divsChild>
                <w:div w:id="774444371">
                  <w:marLeft w:val="0"/>
                  <w:marRight w:val="0"/>
                  <w:marTop w:val="0"/>
                  <w:marBottom w:val="0"/>
                  <w:divBdr>
                    <w:top w:val="none" w:sz="0" w:space="0" w:color="auto"/>
                    <w:left w:val="none" w:sz="0" w:space="0" w:color="auto"/>
                    <w:bottom w:val="none" w:sz="0" w:space="0" w:color="auto"/>
                    <w:right w:val="none" w:sz="0" w:space="0" w:color="auto"/>
                  </w:divBdr>
                  <w:divsChild>
                    <w:div w:id="100987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68603">
              <w:marLeft w:val="0"/>
              <w:marRight w:val="0"/>
              <w:marTop w:val="0"/>
              <w:marBottom w:val="0"/>
              <w:divBdr>
                <w:top w:val="none" w:sz="0" w:space="0" w:color="auto"/>
                <w:left w:val="none" w:sz="0" w:space="0" w:color="auto"/>
                <w:bottom w:val="none" w:sz="0" w:space="0" w:color="auto"/>
                <w:right w:val="none" w:sz="0" w:space="0" w:color="auto"/>
              </w:divBdr>
              <w:divsChild>
                <w:div w:id="1572353412">
                  <w:marLeft w:val="0"/>
                  <w:marRight w:val="0"/>
                  <w:marTop w:val="0"/>
                  <w:marBottom w:val="0"/>
                  <w:divBdr>
                    <w:top w:val="none" w:sz="0" w:space="0" w:color="auto"/>
                    <w:left w:val="none" w:sz="0" w:space="0" w:color="auto"/>
                    <w:bottom w:val="none" w:sz="0" w:space="0" w:color="auto"/>
                    <w:right w:val="none" w:sz="0" w:space="0" w:color="auto"/>
                  </w:divBdr>
                  <w:divsChild>
                    <w:div w:id="1459881722">
                      <w:marLeft w:val="0"/>
                      <w:marRight w:val="0"/>
                      <w:marTop w:val="0"/>
                      <w:marBottom w:val="0"/>
                      <w:divBdr>
                        <w:top w:val="none" w:sz="0" w:space="0" w:color="auto"/>
                        <w:left w:val="none" w:sz="0" w:space="0" w:color="auto"/>
                        <w:bottom w:val="none" w:sz="0" w:space="0" w:color="auto"/>
                        <w:right w:val="none" w:sz="0" w:space="0" w:color="auto"/>
                      </w:divBdr>
                    </w:div>
                    <w:div w:id="9091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460029">
      <w:bodyDiv w:val="1"/>
      <w:marLeft w:val="0"/>
      <w:marRight w:val="0"/>
      <w:marTop w:val="0"/>
      <w:marBottom w:val="0"/>
      <w:divBdr>
        <w:top w:val="none" w:sz="0" w:space="0" w:color="auto"/>
        <w:left w:val="none" w:sz="0" w:space="0" w:color="auto"/>
        <w:bottom w:val="none" w:sz="0" w:space="0" w:color="auto"/>
        <w:right w:val="none" w:sz="0" w:space="0" w:color="auto"/>
      </w:divBdr>
      <w:divsChild>
        <w:div w:id="1093551583">
          <w:marLeft w:val="0"/>
          <w:marRight w:val="0"/>
          <w:marTop w:val="0"/>
          <w:marBottom w:val="0"/>
          <w:divBdr>
            <w:top w:val="none" w:sz="0" w:space="0" w:color="auto"/>
            <w:left w:val="none" w:sz="0" w:space="0" w:color="auto"/>
            <w:bottom w:val="none" w:sz="0" w:space="0" w:color="auto"/>
            <w:right w:val="none" w:sz="0" w:space="0" w:color="auto"/>
          </w:divBdr>
        </w:div>
        <w:div w:id="466703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ohchr.org/documents/dpage_e.aspx?si=A/HRC/RES/26/22" TargetMode="External"/><Relationship Id="rId13" Type="http://schemas.openxmlformats.org/officeDocument/2006/relationships/hyperlink" Target="http://ap.ohchr.org/documents/dpage_e.aspx?si=A/HRC/32/19" TargetMode="External"/><Relationship Id="rId18" Type="http://schemas.openxmlformats.org/officeDocument/2006/relationships/hyperlink" Target="mailto:business-access2remedy@ohchr.org" TargetMode="External"/><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yperlink" Target="http://ap.ohchr.org/documents/dpage_e.aspx?si=A/HRC/RES/38/13" TargetMode="External"/><Relationship Id="rId34" Type="http://schemas.openxmlformats.org/officeDocument/2006/relationships/header" Target="header2.xm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ohchr.org/EN/Issues/Business/Pages/ARP_I.aspx" TargetMode="External"/><Relationship Id="rId17" Type="http://schemas.openxmlformats.org/officeDocument/2006/relationships/hyperlink" Target="http://ap.ohchr.org/documents/dpage_e.aspx?si=A/HRC/RES/38/13" TargetMode="External"/><Relationship Id="rId25" Type="http://schemas.openxmlformats.org/officeDocument/2006/relationships/chart" Target="charts/chart2.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ohchr.org/EN/Issues/Business/Pages/ARP_III.aspx" TargetMode="External"/><Relationship Id="rId20" Type="http://schemas.openxmlformats.org/officeDocument/2006/relationships/hyperlink" Target="http://ap.ohchr.org/documents/dpage_e.aspx?si=A/HRC/RES/32/10" TargetMode="External"/><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EN/Issues/Business/Pages/OHCHRaccountabilityandremedyproject.aspx" TargetMode="External"/><Relationship Id="rId24" Type="http://schemas.openxmlformats.org/officeDocument/2006/relationships/chart" Target="charts/chart1.xml"/><Relationship Id="rId32" Type="http://schemas.openxmlformats.org/officeDocument/2006/relationships/hyperlink" Target="https://ap.ohchr.org/documents/dpage_e.aspx?si=A/HRC/38/20" TargetMode="External"/><Relationship Id="rId5" Type="http://schemas.openxmlformats.org/officeDocument/2006/relationships/webSettings" Target="webSettings.xml"/><Relationship Id="rId15" Type="http://schemas.openxmlformats.org/officeDocument/2006/relationships/hyperlink" Target="http://ap.ohchr.org/documents/dpage_e.aspx?si=A/HRC/38/20/Add.2" TargetMode="External"/><Relationship Id="rId23" Type="http://schemas.openxmlformats.org/officeDocument/2006/relationships/hyperlink" Target="https://www.business-humanrights.org" TargetMode="External"/><Relationship Id="rId28" Type="http://schemas.openxmlformats.org/officeDocument/2006/relationships/chart" Target="charts/chart5.xml"/><Relationship Id="rId36" Type="http://schemas.openxmlformats.org/officeDocument/2006/relationships/theme" Target="theme/theme1.xml"/><Relationship Id="rId10" Type="http://schemas.openxmlformats.org/officeDocument/2006/relationships/hyperlink" Target="http://ap.ohchr.org/documents/dpage_e.aspx?si=A/HRC/RES/38/13" TargetMode="External"/><Relationship Id="rId19" Type="http://schemas.openxmlformats.org/officeDocument/2006/relationships/hyperlink" Target="http://ap.ohchr.org/documents/dpage_e.aspx?si=A/HRC/RES/26/22" TargetMode="External"/><Relationship Id="rId31" Type="http://schemas.openxmlformats.org/officeDocument/2006/relationships/hyperlink" Target="https://ap.ohchr.org/documents/dpage_e.aspx?si=A/HRC/32/19" TargetMode="External"/><Relationship Id="rId4" Type="http://schemas.openxmlformats.org/officeDocument/2006/relationships/settings" Target="settings.xml"/><Relationship Id="rId9" Type="http://schemas.openxmlformats.org/officeDocument/2006/relationships/hyperlink" Target="http://ap.ohchr.org/documents/dpage_e.aspx?si=A/HRC/RES/32/10" TargetMode="External"/><Relationship Id="rId14" Type="http://schemas.openxmlformats.org/officeDocument/2006/relationships/hyperlink" Target="https://www.ohchr.org/EN/Issues/Business/Pages/ARP_II.aspx" TargetMode="External"/><Relationship Id="rId22" Type="http://schemas.openxmlformats.org/officeDocument/2006/relationships/hyperlink" Target="https://www.ohchr.org/Documents/Issues/Business/ARP/ARPIII-PoW.pdf" TargetMode="External"/><Relationship Id="rId27" Type="http://schemas.openxmlformats.org/officeDocument/2006/relationships/chart" Target="charts/chart4.xml"/><Relationship Id="rId30" Type="http://schemas.openxmlformats.org/officeDocument/2006/relationships/hyperlink" Target="mailto:business-access2remedy@ohchr.org"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Issues/Business/Pages/ARP_III.aspx" TargetMode="External"/><Relationship Id="rId3" Type="http://schemas.openxmlformats.org/officeDocument/2006/relationships/hyperlink" Target="https://ap.ohchr.org/documents/dpage_e.aspx?si=A/HRC/38/20" TargetMode="External"/><Relationship Id="rId7" Type="http://schemas.openxmlformats.org/officeDocument/2006/relationships/hyperlink" Target="https://www.ohchr.org/Documents/Issues/Business/ARP/ARPIII_PoW.pdf" TargetMode="External"/><Relationship Id="rId12" Type="http://schemas.openxmlformats.org/officeDocument/2006/relationships/hyperlink" Target="https://ap.ohchr.org/documents/dpage_e.aspx?si=A/HRC/41/43" TargetMode="External"/><Relationship Id="rId2" Type="http://schemas.openxmlformats.org/officeDocument/2006/relationships/hyperlink" Target="https://ap.ohchr.org/documents/dpage_e.aspx?si=A/HRC/32/19/Add.1" TargetMode="External"/><Relationship Id="rId1" Type="http://schemas.openxmlformats.org/officeDocument/2006/relationships/hyperlink" Target="https://ap.ohchr.org/documents/dpage_e.aspx?si=A/HRC/32/19" TargetMode="External"/><Relationship Id="rId6" Type="http://schemas.openxmlformats.org/officeDocument/2006/relationships/hyperlink" Target="https://www.ohchr.org/EN/Issues/Business/Pages/ARP_III.aspx" TargetMode="External"/><Relationship Id="rId11" Type="http://schemas.openxmlformats.org/officeDocument/2006/relationships/hyperlink" Target="https://www.ohchr.org/Documents/Issues/Business/LetterPorgera.pdf" TargetMode="External"/><Relationship Id="rId5" Type="http://schemas.openxmlformats.org/officeDocument/2006/relationships/hyperlink" Target="https://www.ohchr.org/Documents/Issues/Business/ARP/ManchesterStudy.pdf" TargetMode="External"/><Relationship Id="rId10" Type="http://schemas.openxmlformats.org/officeDocument/2006/relationships/hyperlink" Target="https://ap.ohchr.org/documents/dpage_e.aspx?si=A/72/162" TargetMode="External"/><Relationship Id="rId4" Type="http://schemas.openxmlformats.org/officeDocument/2006/relationships/hyperlink" Target="https://ap.ohchr.org/documents/dpage_e.aspx?si=A/HRC/38/20/Add.1" TargetMode="External"/><Relationship Id="rId9" Type="http://schemas.openxmlformats.org/officeDocument/2006/relationships/hyperlink" Target="https://www.un.org/depts/DGACM/RegionalGroups.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bshea@ohchr.org" TargetMode="External"/><Relationship Id="rId2" Type="http://schemas.openxmlformats.org/officeDocument/2006/relationships/hyperlink" Target="mailto:business-access2remedy@ohchr.org" TargetMode="External"/><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fshq.ad.ohchr.org\RRDB\DESIB%20BHR\Thematic\Accountability%20and%20Remedy%20Project\ARP%20III%20-%20NSB%20GMs\Surveys\Analysis%20of%20Data\2019_11_06_ARPIII%20-%20Questionnaire%20Response%20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shq.ad.ohchr.org\RRDB\DESIB%20BHR\Thematic\Accountability%20and%20Remedy%20Project\ARP%20III%20-%20NSB%20GMs\Surveys\Analysis%20of%20Data\2019_11_06_ARPIII%20-%20Questionnaire%20Response%20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shq.ad.ohchr.org\RRDB\DESIB%20BHR\Thematic\Accountability%20and%20Remedy%20Project\ARP%20III%20-%20NSB%20GMs\Surveys\Analysis%20of%20Data\2019_11_06_ARPIII%20-%20Questionnaire%20Response%20Analys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shq.ad.ohchr.org\RRDB\DESIB%20BHR\Thematic\Accountability%20and%20Remedy%20Project\ARP%20III%20-%20NSB%20GMs\Surveys\Analysis%20of%20Data\2019_11_06_ARPIII%20-%20Questionnaire%20Response%20Analysis%20v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shq.ad.ohchr.org\RRDB\DESIB%20BHR\Thematic\Accountability%20and%20Remedy%20Project\ARP%20III%20-%20NSB%20GMs\Surveys\Analysis%20of%20Data\2019_11_06_ARPIII%20-%20Questionnaire%20Response%20Analysis%20v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shq.ad.ohchr.org\RRDB\DESIB%20BHR\Thematic\Accountability%20and%20Remedy%20Project\ARP%20III%20-%20NSB%20GMs\Surveys\Analysis%20of%20Data\2019_11_06_ARPIII%20-%20Questionnaire%20Response%20Analysis%20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FFC000"/>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EECC-4C1B-89E1-BA2EB2A88719}"/>
              </c:ext>
            </c:extLst>
          </c:dPt>
          <c:dPt>
            <c:idx val="1"/>
            <c:bubble3D val="0"/>
            <c:spPr>
              <a:solidFill>
                <a:srgbClr val="92D050"/>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EECC-4C1B-89E1-BA2EB2A88719}"/>
              </c:ext>
            </c:extLst>
          </c:dPt>
          <c:dPt>
            <c:idx val="2"/>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EECC-4C1B-89E1-BA2EB2A88719}"/>
              </c:ext>
            </c:extLst>
          </c:dPt>
          <c:dPt>
            <c:idx val="3"/>
            <c:bubble3D val="0"/>
            <c:spPr>
              <a:solidFill>
                <a:srgbClr val="00B0F0"/>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EECC-4C1B-89E1-BA2EB2A88719}"/>
              </c:ext>
            </c:extLst>
          </c:dPt>
          <c:dPt>
            <c:idx val="4"/>
            <c:bubble3D val="0"/>
            <c:spPr>
              <a:solidFill>
                <a:srgbClr val="7030A0"/>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9-EECC-4C1B-89E1-BA2EB2A8871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GRAPHS!$A$67:$A$71</c:f>
              <c:strCache>
                <c:ptCount val="5"/>
                <c:pt idx="0">
                  <c:v>WEOG</c:v>
                </c:pt>
                <c:pt idx="1">
                  <c:v>GRULAC</c:v>
                </c:pt>
                <c:pt idx="2">
                  <c:v>Asia-Pacific</c:v>
                </c:pt>
                <c:pt idx="3">
                  <c:v>Africa</c:v>
                </c:pt>
                <c:pt idx="4">
                  <c:v>Eastern European </c:v>
                </c:pt>
              </c:strCache>
            </c:strRef>
          </c:cat>
          <c:val>
            <c:numRef>
              <c:f>GRAPHS!$B$67:$B$71</c:f>
              <c:numCache>
                <c:formatCode>General</c:formatCode>
                <c:ptCount val="5"/>
                <c:pt idx="0">
                  <c:v>62</c:v>
                </c:pt>
                <c:pt idx="1">
                  <c:v>7</c:v>
                </c:pt>
                <c:pt idx="2">
                  <c:v>11</c:v>
                </c:pt>
                <c:pt idx="3">
                  <c:v>7</c:v>
                </c:pt>
                <c:pt idx="4">
                  <c:v>3</c:v>
                </c:pt>
              </c:numCache>
            </c:numRef>
          </c:val>
          <c:extLst xmlns:c16r2="http://schemas.microsoft.com/office/drawing/2015/06/chart">
            <c:ext xmlns:c16="http://schemas.microsoft.com/office/drawing/2014/chart" uri="{C3380CC4-5D6E-409C-BE32-E72D297353CC}">
              <c16:uniqueId val="{0000000A-EECC-4C1B-89E1-BA2EB2A88719}"/>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099514747348335"/>
          <c:y val="0.15977478379649546"/>
          <c:w val="0.57566775467432929"/>
          <c:h val="0.69971847974561918"/>
        </c:manualLayout>
      </c:layout>
      <c:pieChart>
        <c:varyColors val="1"/>
        <c:ser>
          <c:idx val="0"/>
          <c:order val="0"/>
          <c:dPt>
            <c:idx val="0"/>
            <c:bubble3D val="0"/>
            <c:spPr>
              <a:solidFill>
                <a:srgbClr val="FFC000"/>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1F53-4334-B0FD-76A8D1563440}"/>
              </c:ext>
            </c:extLst>
          </c:dPt>
          <c:dPt>
            <c:idx val="1"/>
            <c:bubble3D val="0"/>
            <c:spPr>
              <a:solidFill>
                <a:srgbClr val="92D050"/>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1F53-4334-B0FD-76A8D1563440}"/>
              </c:ext>
            </c:extLst>
          </c:dPt>
          <c:dPt>
            <c:idx val="2"/>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1F53-4334-B0FD-76A8D1563440}"/>
              </c:ext>
            </c:extLst>
          </c:dPt>
          <c:dPt>
            <c:idx val="3"/>
            <c:bubble3D val="0"/>
            <c:spPr>
              <a:solidFill>
                <a:srgbClr val="00B0F0"/>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1F53-4334-B0FD-76A8D1563440}"/>
              </c:ext>
            </c:extLst>
          </c:dPt>
          <c:dPt>
            <c:idx val="4"/>
            <c:bubble3D val="0"/>
            <c:spPr>
              <a:solidFill>
                <a:srgbClr val="7030A0"/>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9-1F53-4334-B0FD-76A8D156344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GRAPHS!$A$157:$A$161</c:f>
              <c:strCache>
                <c:ptCount val="5"/>
                <c:pt idx="0">
                  <c:v>WEOG</c:v>
                </c:pt>
                <c:pt idx="1">
                  <c:v>GRULAC</c:v>
                </c:pt>
                <c:pt idx="2">
                  <c:v>Asia-Pacific</c:v>
                </c:pt>
                <c:pt idx="3">
                  <c:v>Africa</c:v>
                </c:pt>
                <c:pt idx="4">
                  <c:v>Eastern European </c:v>
                </c:pt>
              </c:strCache>
            </c:strRef>
          </c:cat>
          <c:val>
            <c:numRef>
              <c:f>GRAPHS!$B$157:$B$161</c:f>
              <c:numCache>
                <c:formatCode>General</c:formatCode>
                <c:ptCount val="5"/>
                <c:pt idx="0">
                  <c:v>53</c:v>
                </c:pt>
                <c:pt idx="1">
                  <c:v>8</c:v>
                </c:pt>
                <c:pt idx="2">
                  <c:v>23</c:v>
                </c:pt>
                <c:pt idx="3">
                  <c:v>18</c:v>
                </c:pt>
                <c:pt idx="4">
                  <c:v>5</c:v>
                </c:pt>
              </c:numCache>
            </c:numRef>
          </c:val>
          <c:extLst xmlns:c16r2="http://schemas.microsoft.com/office/drawing/2015/06/chart">
            <c:ext xmlns:c16="http://schemas.microsoft.com/office/drawing/2014/chart" uri="{C3380CC4-5D6E-409C-BE32-E72D297353CC}">
              <c16:uniqueId val="{0000000A-1F53-4334-B0FD-76A8D1563440}"/>
            </c:ext>
          </c:extLst>
        </c:ser>
        <c:dLbls>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4.3298409711701173E-2"/>
          <c:y val="0.18587830225610094"/>
          <c:w val="0.26295966342225535"/>
          <c:h val="0.695649515445377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FFC000"/>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7DF7-4D7E-9EDA-B1179EF51C0C}"/>
              </c:ext>
            </c:extLst>
          </c:dPt>
          <c:dPt>
            <c:idx val="1"/>
            <c:bubble3D val="0"/>
            <c:spPr>
              <a:solidFill>
                <a:srgbClr val="92D050"/>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7DF7-4D7E-9EDA-B1179EF51C0C}"/>
              </c:ext>
            </c:extLst>
          </c:dPt>
          <c:dPt>
            <c:idx val="2"/>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7DF7-4D7E-9EDA-B1179EF51C0C}"/>
              </c:ext>
            </c:extLst>
          </c:dPt>
          <c:dPt>
            <c:idx val="3"/>
            <c:bubble3D val="0"/>
            <c:spPr>
              <a:solidFill>
                <a:srgbClr val="00B0F0"/>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7DF7-4D7E-9EDA-B1179EF51C0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GRAPHS!$A$238:$A$241</c:f>
              <c:strCache>
                <c:ptCount val="4"/>
                <c:pt idx="0">
                  <c:v>WEOG</c:v>
                </c:pt>
                <c:pt idx="1">
                  <c:v>GRULAC</c:v>
                </c:pt>
                <c:pt idx="2">
                  <c:v>Asia Pacific</c:v>
                </c:pt>
                <c:pt idx="3">
                  <c:v>Africa</c:v>
                </c:pt>
              </c:strCache>
            </c:strRef>
          </c:cat>
          <c:val>
            <c:numRef>
              <c:f>GRAPHS!$B$238:$B$241</c:f>
              <c:numCache>
                <c:formatCode>General</c:formatCode>
                <c:ptCount val="4"/>
                <c:pt idx="0">
                  <c:v>7</c:v>
                </c:pt>
                <c:pt idx="1">
                  <c:v>12</c:v>
                </c:pt>
                <c:pt idx="2">
                  <c:v>30</c:v>
                </c:pt>
                <c:pt idx="3">
                  <c:v>17</c:v>
                </c:pt>
              </c:numCache>
            </c:numRef>
          </c:val>
          <c:extLst xmlns:c16r2="http://schemas.microsoft.com/office/drawing/2015/06/chart">
            <c:ext xmlns:c16="http://schemas.microsoft.com/office/drawing/2014/chart" uri="{C3380CC4-5D6E-409C-BE32-E72D297353CC}">
              <c16:uniqueId val="{00000008-7DF7-4D7E-9EDA-B1179EF51C0C}"/>
            </c:ext>
          </c:extLst>
        </c:ser>
        <c:dLbls>
          <c:showLegendKey val="0"/>
          <c:showVal val="0"/>
          <c:showCatName val="0"/>
          <c:showSerName val="0"/>
          <c:showPercent val="1"/>
          <c:showBubbleSize val="0"/>
          <c:showLeaderLines val="1"/>
        </c:dLbls>
        <c:firstSliceAng val="0"/>
      </c:pieChart>
      <c:spPr>
        <a:noFill/>
        <a:ln>
          <a:noFill/>
        </a:ln>
        <a:effectLst/>
      </c:spPr>
    </c:plotArea>
    <c:legend>
      <c:legendPos val="l"/>
      <c:layout>
        <c:manualLayout>
          <c:xMode val="edge"/>
          <c:yMode val="edge"/>
          <c:x val="2.8901734104046239E-2"/>
          <c:y val="0.12989268024834988"/>
          <c:w val="0.27202221109644542"/>
          <c:h val="0.5744525432463265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olidFill>
              <a:schemeClr val="accent2"/>
            </a:solidFill>
          </c:spPr>
          <c:dPt>
            <c:idx val="0"/>
            <c:bubble3D val="0"/>
            <c:spPr>
              <a:solidFill>
                <a:srgbClr val="00B0F0"/>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5FF3-4D17-89B9-7B37307F88DB}"/>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5FF3-4D17-89B9-7B37307F88DB}"/>
              </c:ext>
            </c:extLst>
          </c:dPt>
          <c:dPt>
            <c:idx val="2"/>
            <c:bubble3D val="0"/>
            <c:spPr>
              <a:solidFill>
                <a:srgbClr val="92D050"/>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5FF3-4D17-89B9-7B37307F88DB}"/>
              </c:ext>
            </c:extLst>
          </c:dPt>
          <c:dPt>
            <c:idx val="3"/>
            <c:bubble3D val="0"/>
            <c:spPr>
              <a:solidFill>
                <a:schemeClr val="accent5">
                  <a:lumMod val="75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5FF3-4D17-89B9-7B37307F88DB}"/>
              </c:ext>
            </c:extLst>
          </c:dPt>
          <c:dPt>
            <c:idx val="4"/>
            <c:bubble3D val="0"/>
            <c:spPr>
              <a:solidFill>
                <a:srgbClr val="7030A0"/>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9-5FF3-4D17-89B9-7B37307F88DB}"/>
              </c:ext>
            </c:extLst>
          </c:dPt>
          <c:dPt>
            <c:idx val="5"/>
            <c:bubble3D val="0"/>
            <c:spPr>
              <a:solidFill>
                <a:srgbClr val="FFC000"/>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B-5FF3-4D17-89B9-7B37307F88D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GRAPHS!$A$255:$A$260</c:f>
              <c:strCache>
                <c:ptCount val="6"/>
                <c:pt idx="0">
                  <c:v>Companies</c:v>
                </c:pt>
                <c:pt idx="1">
                  <c:v>Government</c:v>
                </c:pt>
                <c:pt idx="2">
                  <c:v>Users and user representatives</c:v>
                </c:pt>
                <c:pt idx="3">
                  <c:v>IAMs</c:v>
                </c:pt>
                <c:pt idx="4">
                  <c:v>MSIs</c:v>
                </c:pt>
                <c:pt idx="5">
                  <c:v>Other (researchers, mediators, etc.)</c:v>
                </c:pt>
              </c:strCache>
            </c:strRef>
          </c:cat>
          <c:val>
            <c:numRef>
              <c:f>GRAPHS!$B$255:$B$260</c:f>
              <c:numCache>
                <c:formatCode>General</c:formatCode>
                <c:ptCount val="6"/>
                <c:pt idx="0">
                  <c:v>18</c:v>
                </c:pt>
                <c:pt idx="1">
                  <c:v>14</c:v>
                </c:pt>
                <c:pt idx="2">
                  <c:v>21</c:v>
                </c:pt>
                <c:pt idx="3">
                  <c:v>20</c:v>
                </c:pt>
                <c:pt idx="4">
                  <c:v>12</c:v>
                </c:pt>
                <c:pt idx="5">
                  <c:v>8</c:v>
                </c:pt>
              </c:numCache>
            </c:numRef>
          </c:val>
          <c:extLst xmlns:c16r2="http://schemas.microsoft.com/office/drawing/2015/06/chart">
            <c:ext xmlns:c16="http://schemas.microsoft.com/office/drawing/2014/chart" uri="{C3380CC4-5D6E-409C-BE32-E72D297353CC}">
              <c16:uniqueId val="{0000000C-5FF3-4D17-89B9-7B37307F88DB}"/>
            </c:ext>
          </c:extLst>
        </c:ser>
        <c:dLbls>
          <c:showLegendKey val="0"/>
          <c:showVal val="0"/>
          <c:showCatName val="0"/>
          <c:showSerName val="0"/>
          <c:showPercent val="1"/>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090B-4A13-9A5A-062F2FF3A082}"/>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090B-4A13-9A5A-062F2FF3A082}"/>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090B-4A13-9A5A-062F2FF3A082}"/>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090B-4A13-9A5A-062F2FF3A08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GRAPHS!$A$275:$A$278</c:f>
              <c:strCache>
                <c:ptCount val="4"/>
                <c:pt idx="0">
                  <c:v>Company-based GM</c:v>
                </c:pt>
                <c:pt idx="1">
                  <c:v>GM of industry, multi-stakeholder, or other collaborative initiative</c:v>
                </c:pt>
                <c:pt idx="2">
                  <c:v>Independent Accountability Mechanism</c:v>
                </c:pt>
                <c:pt idx="3">
                  <c:v>Other</c:v>
                </c:pt>
              </c:strCache>
            </c:strRef>
          </c:cat>
          <c:val>
            <c:numRef>
              <c:f>GRAPHS!$B$275:$B$278</c:f>
              <c:numCache>
                <c:formatCode>General</c:formatCode>
                <c:ptCount val="4"/>
                <c:pt idx="0">
                  <c:v>29</c:v>
                </c:pt>
                <c:pt idx="1">
                  <c:v>22</c:v>
                </c:pt>
                <c:pt idx="2">
                  <c:v>31</c:v>
                </c:pt>
                <c:pt idx="3">
                  <c:v>6</c:v>
                </c:pt>
              </c:numCache>
            </c:numRef>
          </c:val>
          <c:extLst xmlns:c16r2="http://schemas.microsoft.com/office/drawing/2015/06/chart">
            <c:ext xmlns:c16="http://schemas.microsoft.com/office/drawing/2014/chart" uri="{C3380CC4-5D6E-409C-BE32-E72D297353CC}">
              <c16:uniqueId val="{00000008-090B-4A13-9A5A-062F2FF3A082}"/>
            </c:ext>
          </c:extLst>
        </c:ser>
        <c:dLbls>
          <c:showLegendKey val="0"/>
          <c:showVal val="0"/>
          <c:showCatName val="0"/>
          <c:showSerName val="0"/>
          <c:showPercent val="1"/>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92D050"/>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78D5-44E3-9541-39D3C76BE843}"/>
              </c:ext>
            </c:extLst>
          </c:dPt>
          <c:dPt>
            <c:idx val="1"/>
            <c:bubble3D val="0"/>
            <c:spPr>
              <a:solidFill>
                <a:srgbClr val="00B0F0"/>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78D5-44E3-9541-39D3C76BE843}"/>
              </c:ext>
            </c:extLst>
          </c:dPt>
          <c:dPt>
            <c:idx val="2"/>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78D5-44E3-9541-39D3C76BE843}"/>
              </c:ext>
            </c:extLst>
          </c:dPt>
          <c:dPt>
            <c:idx val="3"/>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78D5-44E3-9541-39D3C76BE843}"/>
              </c:ext>
            </c:extLst>
          </c:dPt>
          <c:dPt>
            <c:idx val="4"/>
            <c:bubble3D val="0"/>
            <c:spPr>
              <a:solidFill>
                <a:srgbClr val="7030A0"/>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9-78D5-44E3-9541-39D3C76BE843}"/>
              </c:ext>
            </c:extLst>
          </c:dPt>
          <c:dPt>
            <c:idx val="5"/>
            <c:bubble3D val="0"/>
            <c:spPr>
              <a:solidFill>
                <a:srgbClr val="FF00FF"/>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B-78D5-44E3-9541-39D3C76BE843}"/>
              </c:ext>
            </c:extLst>
          </c:dPt>
          <c:dPt>
            <c:idx val="6"/>
            <c:bubble3D val="0"/>
            <c:spPr>
              <a:solidFill>
                <a:srgbClr val="FF0000"/>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D-78D5-44E3-9541-39D3C76BE843}"/>
              </c:ext>
            </c:extLst>
          </c:dPt>
          <c:dPt>
            <c:idx val="7"/>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F-78D5-44E3-9541-39D3C76BE84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GRAPHS!$A$294:$A$301</c:f>
              <c:strCache>
                <c:ptCount val="8"/>
                <c:pt idx="0">
                  <c:v>Finance</c:v>
                </c:pt>
                <c:pt idx="1">
                  <c:v>Agriculture/food/beverage/tobacco/fishing</c:v>
                </c:pt>
                <c:pt idx="2">
                  <c:v>Construction &amp; building materials</c:v>
                </c:pt>
                <c:pt idx="3">
                  <c:v>Natural resources</c:v>
                </c:pt>
                <c:pt idx="4">
                  <c:v>Apparel &amp; textile</c:v>
                </c:pt>
                <c:pt idx="5">
                  <c:v>Military/Weapons/Security </c:v>
                </c:pt>
                <c:pt idx="6">
                  <c:v>Technology</c:v>
                </c:pt>
                <c:pt idx="7">
                  <c:v>Other</c:v>
                </c:pt>
              </c:strCache>
            </c:strRef>
          </c:cat>
          <c:val>
            <c:numRef>
              <c:f>GRAPHS!$B$294:$B$301</c:f>
              <c:numCache>
                <c:formatCode>General</c:formatCode>
                <c:ptCount val="8"/>
                <c:pt idx="0">
                  <c:v>6</c:v>
                </c:pt>
                <c:pt idx="1">
                  <c:v>7</c:v>
                </c:pt>
                <c:pt idx="2">
                  <c:v>7</c:v>
                </c:pt>
                <c:pt idx="3">
                  <c:v>14</c:v>
                </c:pt>
                <c:pt idx="4">
                  <c:v>8</c:v>
                </c:pt>
                <c:pt idx="5">
                  <c:v>2</c:v>
                </c:pt>
                <c:pt idx="6">
                  <c:v>3</c:v>
                </c:pt>
                <c:pt idx="7">
                  <c:v>3</c:v>
                </c:pt>
              </c:numCache>
            </c:numRef>
          </c:val>
          <c:extLst xmlns:c16r2="http://schemas.microsoft.com/office/drawing/2015/06/chart">
            <c:ext xmlns:c16="http://schemas.microsoft.com/office/drawing/2014/chart" uri="{C3380CC4-5D6E-409C-BE32-E72D297353CC}">
              <c16:uniqueId val="{00000010-78D5-44E3-9541-39D3C76BE843}"/>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B7475-F5A5-42FC-8070-AE4F1B39F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11625</Words>
  <Characters>66266</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SHEA Benjamin</dc:creator>
  <cp:lastModifiedBy>Elodie Aba</cp:lastModifiedBy>
  <cp:revision>3</cp:revision>
  <cp:lastPrinted>2019-11-19T16:36:00Z</cp:lastPrinted>
  <dcterms:created xsi:type="dcterms:W3CDTF">2019-11-21T14:25:00Z</dcterms:created>
  <dcterms:modified xsi:type="dcterms:W3CDTF">2019-11-21T14:25:00Z</dcterms:modified>
</cp:coreProperties>
</file>