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B4" w:rsidRDefault="002D74B9" w:rsidP="00505FB4">
      <w:pPr>
        <w:autoSpaceDE w:val="0"/>
        <w:autoSpaceDN w:val="0"/>
        <w:adjustRightInd w:val="0"/>
        <w:spacing w:after="0" w:line="240" w:lineRule="auto"/>
        <w:ind w:right="270"/>
        <w:jc w:val="both"/>
        <w:rPr>
          <w:rFonts w:ascii="Arial" w:hAnsi="Arial" w:cs="Arial"/>
          <w:color w:val="000000"/>
          <w:sz w:val="24"/>
          <w:szCs w:val="24"/>
        </w:rPr>
      </w:pPr>
      <w:r>
        <w:rPr>
          <w:rFonts w:ascii="Arial" w:hAnsi="Arial" w:cs="Arial"/>
          <w:color w:val="000000"/>
          <w:sz w:val="24"/>
          <w:szCs w:val="24"/>
        </w:rPr>
        <w:t>3</w:t>
      </w:r>
      <w:r w:rsidR="00505FB4">
        <w:rPr>
          <w:rFonts w:ascii="Arial" w:hAnsi="Arial" w:cs="Arial"/>
          <w:color w:val="000000"/>
          <w:sz w:val="24"/>
          <w:szCs w:val="24"/>
        </w:rPr>
        <w:t xml:space="preserve"> May 2019</w:t>
      </w:r>
    </w:p>
    <w:p w:rsidR="009D6D83" w:rsidRDefault="009D6D83" w:rsidP="00505FB4">
      <w:pPr>
        <w:autoSpaceDE w:val="0"/>
        <w:autoSpaceDN w:val="0"/>
        <w:adjustRightInd w:val="0"/>
        <w:spacing w:after="0" w:line="240" w:lineRule="auto"/>
        <w:ind w:right="270"/>
        <w:jc w:val="both"/>
        <w:rPr>
          <w:rFonts w:ascii="Arial" w:hAnsi="Arial" w:cs="Arial"/>
          <w:color w:val="000000"/>
          <w:sz w:val="24"/>
          <w:szCs w:val="24"/>
        </w:rPr>
      </w:pPr>
    </w:p>
    <w:p w:rsidR="009D6D83" w:rsidRDefault="009D6D83" w:rsidP="00505FB4">
      <w:pPr>
        <w:autoSpaceDE w:val="0"/>
        <w:autoSpaceDN w:val="0"/>
        <w:adjustRightInd w:val="0"/>
        <w:spacing w:after="0" w:line="240" w:lineRule="auto"/>
        <w:ind w:right="270"/>
        <w:jc w:val="both"/>
        <w:rPr>
          <w:rFonts w:ascii="Arial" w:hAnsi="Arial" w:cs="Arial"/>
          <w:color w:val="000000"/>
          <w:sz w:val="24"/>
          <w:szCs w:val="24"/>
        </w:rPr>
      </w:pPr>
      <w:r>
        <w:rPr>
          <w:rFonts w:ascii="Arial" w:hAnsi="Arial" w:cs="Arial"/>
          <w:color w:val="000000"/>
          <w:sz w:val="24"/>
          <w:szCs w:val="24"/>
        </w:rPr>
        <w:t>Dear Ella</w:t>
      </w:r>
      <w:r w:rsidR="00FF41D8">
        <w:rPr>
          <w:rFonts w:ascii="Arial" w:hAnsi="Arial" w:cs="Arial"/>
          <w:color w:val="000000"/>
          <w:sz w:val="24"/>
          <w:szCs w:val="24"/>
        </w:rPr>
        <w:t>,</w:t>
      </w:r>
    </w:p>
    <w:p w:rsidR="00123ADC" w:rsidRPr="002F795C" w:rsidRDefault="00123ADC" w:rsidP="00123ADC">
      <w:pPr>
        <w:shd w:val="clear" w:color="auto" w:fill="FFFFFF"/>
        <w:spacing w:before="100" w:beforeAutospacing="1"/>
        <w:ind w:right="270"/>
        <w:jc w:val="both"/>
        <w:rPr>
          <w:rFonts w:ascii="Arial" w:hAnsi="Arial" w:cs="Arial"/>
          <w:color w:val="000000"/>
          <w:sz w:val="24"/>
          <w:szCs w:val="24"/>
        </w:rPr>
      </w:pPr>
      <w:r>
        <w:rPr>
          <w:rFonts w:ascii="Arial" w:hAnsi="Arial" w:cs="Arial"/>
          <w:sz w:val="24"/>
          <w:szCs w:val="24"/>
        </w:rPr>
        <w:t>T</w:t>
      </w:r>
      <w:r w:rsidRPr="002F795C">
        <w:rPr>
          <w:rFonts w:ascii="Arial" w:hAnsi="Arial" w:cs="Arial"/>
          <w:sz w:val="24"/>
          <w:szCs w:val="24"/>
        </w:rPr>
        <w:t xml:space="preserve">hank you for the invitation to provide our response to the points raised in </w:t>
      </w:r>
      <w:r w:rsidRPr="00EA26D9">
        <w:rPr>
          <w:rFonts w:ascii="Arial" w:hAnsi="Arial" w:cs="Arial"/>
          <w:sz w:val="24"/>
          <w:szCs w:val="24"/>
        </w:rPr>
        <w:t>the letter by Crude Accountability</w:t>
      </w:r>
      <w:r>
        <w:rPr>
          <w:rFonts w:ascii="Arial" w:hAnsi="Arial" w:cs="Arial"/>
          <w:sz w:val="24"/>
          <w:szCs w:val="24"/>
        </w:rPr>
        <w:t>, dated 17 April 2019 (the Letter),</w:t>
      </w:r>
      <w:r w:rsidRPr="002F795C">
        <w:rPr>
          <w:rFonts w:ascii="Arial" w:hAnsi="Arial" w:cs="Arial"/>
          <w:sz w:val="24"/>
          <w:szCs w:val="24"/>
        </w:rPr>
        <w:t xml:space="preserve"> with regard to the </w:t>
      </w:r>
      <w:r w:rsidRPr="002F795C">
        <w:rPr>
          <w:rFonts w:ascii="Arial" w:hAnsi="Arial" w:cs="Arial"/>
          <w:color w:val="000000"/>
          <w:sz w:val="24"/>
          <w:szCs w:val="24"/>
        </w:rPr>
        <w:t xml:space="preserve">BP-operated Shah Deniz 2 </w:t>
      </w:r>
      <w:r>
        <w:rPr>
          <w:rFonts w:ascii="Arial" w:hAnsi="Arial" w:cs="Arial"/>
          <w:color w:val="000000"/>
          <w:sz w:val="24"/>
          <w:szCs w:val="24"/>
        </w:rPr>
        <w:t>(SD2) and South Caucasus Pipeline Expansion (</w:t>
      </w:r>
      <w:proofErr w:type="spellStart"/>
      <w:r>
        <w:rPr>
          <w:rFonts w:ascii="Arial" w:hAnsi="Arial" w:cs="Arial"/>
          <w:color w:val="000000"/>
          <w:sz w:val="24"/>
          <w:szCs w:val="24"/>
        </w:rPr>
        <w:t>SCPx</w:t>
      </w:r>
      <w:proofErr w:type="spellEnd"/>
      <w:r>
        <w:rPr>
          <w:rFonts w:ascii="Arial" w:hAnsi="Arial" w:cs="Arial"/>
          <w:color w:val="000000"/>
          <w:sz w:val="24"/>
          <w:szCs w:val="24"/>
        </w:rPr>
        <w:t xml:space="preserve">) </w:t>
      </w:r>
      <w:r w:rsidRPr="002F795C">
        <w:rPr>
          <w:rFonts w:ascii="Arial" w:hAnsi="Arial" w:cs="Arial"/>
          <w:color w:val="000000"/>
          <w:sz w:val="24"/>
          <w:szCs w:val="24"/>
        </w:rPr>
        <w:t>project</w:t>
      </w:r>
      <w:r>
        <w:rPr>
          <w:rFonts w:ascii="Arial" w:hAnsi="Arial" w:cs="Arial"/>
          <w:color w:val="000000"/>
          <w:sz w:val="24"/>
          <w:szCs w:val="24"/>
        </w:rPr>
        <w:t>s</w:t>
      </w:r>
      <w:r w:rsidRPr="002F795C">
        <w:rPr>
          <w:rFonts w:ascii="Arial" w:hAnsi="Arial" w:cs="Arial"/>
          <w:color w:val="000000"/>
          <w:sz w:val="24"/>
          <w:szCs w:val="24"/>
        </w:rPr>
        <w:t>.</w:t>
      </w:r>
    </w:p>
    <w:p w:rsidR="00123ADC" w:rsidRPr="002F795C" w:rsidRDefault="00123ADC" w:rsidP="00123ADC">
      <w:pPr>
        <w:shd w:val="clear" w:color="auto" w:fill="FFFFFF"/>
        <w:spacing w:before="100" w:beforeAutospacing="1"/>
        <w:ind w:right="270"/>
        <w:jc w:val="both"/>
        <w:rPr>
          <w:rFonts w:ascii="Arial" w:hAnsi="Arial" w:cs="Arial"/>
          <w:color w:val="000000"/>
          <w:sz w:val="24"/>
          <w:szCs w:val="24"/>
        </w:rPr>
      </w:pPr>
      <w:r>
        <w:rPr>
          <w:rFonts w:ascii="Arial" w:hAnsi="Arial" w:cs="Arial"/>
          <w:color w:val="000000"/>
          <w:sz w:val="24"/>
          <w:szCs w:val="24"/>
        </w:rPr>
        <w:t>We</w:t>
      </w:r>
      <w:r w:rsidRPr="002F795C">
        <w:rPr>
          <w:rFonts w:ascii="Arial" w:hAnsi="Arial" w:cs="Arial"/>
          <w:color w:val="000000"/>
          <w:sz w:val="24"/>
          <w:szCs w:val="24"/>
        </w:rPr>
        <w:t xml:space="preserve"> also thank you for commending BP in Azerbaijan for adopting key social and environmental international good practice standards and for </w:t>
      </w:r>
      <w:r>
        <w:rPr>
          <w:rFonts w:ascii="Arial" w:hAnsi="Arial" w:cs="Arial"/>
          <w:color w:val="000000"/>
          <w:sz w:val="24"/>
          <w:szCs w:val="24"/>
        </w:rPr>
        <w:t>BP’s Group business and human r</w:t>
      </w:r>
      <w:r w:rsidRPr="002F795C">
        <w:rPr>
          <w:rFonts w:ascii="Arial" w:hAnsi="Arial" w:cs="Arial"/>
          <w:color w:val="000000"/>
          <w:sz w:val="24"/>
          <w:szCs w:val="24"/>
        </w:rPr>
        <w:t xml:space="preserve">ights </w:t>
      </w:r>
      <w:r>
        <w:rPr>
          <w:rFonts w:ascii="Arial" w:hAnsi="Arial" w:cs="Arial"/>
          <w:color w:val="000000"/>
          <w:sz w:val="24"/>
          <w:szCs w:val="24"/>
        </w:rPr>
        <w:t>p</w:t>
      </w:r>
      <w:r w:rsidRPr="002F795C">
        <w:rPr>
          <w:rFonts w:ascii="Arial" w:hAnsi="Arial" w:cs="Arial"/>
          <w:color w:val="000000"/>
          <w:sz w:val="24"/>
          <w:szCs w:val="24"/>
        </w:rPr>
        <w:t>olicy, which is based on the International Bill of Human Rights and the UN Guiding Principles on Human Rights.</w:t>
      </w:r>
    </w:p>
    <w:p w:rsidR="00123ADC" w:rsidRPr="00C7554C" w:rsidRDefault="00123ADC" w:rsidP="00123ADC">
      <w:pPr>
        <w:autoSpaceDE w:val="0"/>
        <w:autoSpaceDN w:val="0"/>
        <w:adjustRightInd w:val="0"/>
        <w:spacing w:after="0" w:line="240" w:lineRule="auto"/>
        <w:ind w:right="270"/>
        <w:jc w:val="both"/>
        <w:rPr>
          <w:rFonts w:ascii="Arial" w:hAnsi="Arial" w:cs="Arial"/>
          <w:color w:val="000000"/>
          <w:sz w:val="24"/>
          <w:szCs w:val="24"/>
        </w:rPr>
      </w:pPr>
      <w:r w:rsidRPr="00C7554C">
        <w:rPr>
          <w:rFonts w:ascii="Arial" w:hAnsi="Arial" w:cs="Arial"/>
          <w:color w:val="000000"/>
          <w:sz w:val="24"/>
          <w:szCs w:val="24"/>
        </w:rPr>
        <w:t xml:space="preserve">As </w:t>
      </w:r>
      <w:r>
        <w:rPr>
          <w:rFonts w:ascii="Arial" w:hAnsi="Arial" w:cs="Arial"/>
          <w:color w:val="000000"/>
          <w:sz w:val="24"/>
          <w:szCs w:val="24"/>
        </w:rPr>
        <w:t>the L</w:t>
      </w:r>
      <w:r w:rsidRPr="00C7554C">
        <w:rPr>
          <w:rFonts w:ascii="Arial" w:hAnsi="Arial" w:cs="Arial"/>
          <w:color w:val="000000"/>
          <w:sz w:val="24"/>
          <w:szCs w:val="24"/>
        </w:rPr>
        <w:t xml:space="preserve">etter notes, Sustainability Pty Ltd, as </w:t>
      </w:r>
      <w:r>
        <w:rPr>
          <w:rFonts w:ascii="Arial" w:hAnsi="Arial" w:cs="Arial"/>
          <w:color w:val="000000"/>
          <w:sz w:val="24"/>
          <w:szCs w:val="24"/>
        </w:rPr>
        <w:t>a c</w:t>
      </w:r>
      <w:r w:rsidRPr="00C7554C">
        <w:rPr>
          <w:rFonts w:ascii="Arial" w:hAnsi="Arial" w:cs="Arial"/>
          <w:color w:val="000000"/>
          <w:sz w:val="24"/>
          <w:szCs w:val="24"/>
        </w:rPr>
        <w:t>onsultant</w:t>
      </w:r>
      <w:r>
        <w:rPr>
          <w:rFonts w:ascii="Arial" w:hAnsi="Arial" w:cs="Arial"/>
          <w:color w:val="000000"/>
          <w:sz w:val="24"/>
          <w:szCs w:val="24"/>
        </w:rPr>
        <w:t xml:space="preserve"> to the project l</w:t>
      </w:r>
      <w:r w:rsidRPr="00C7554C">
        <w:rPr>
          <w:rFonts w:ascii="Arial" w:hAnsi="Arial" w:cs="Arial"/>
          <w:color w:val="000000"/>
          <w:sz w:val="24"/>
          <w:szCs w:val="24"/>
        </w:rPr>
        <w:t xml:space="preserve">enders, conducted due diligence on the SD2 project in 2015, followed by bi-annual reporting and annual site visits.  Sustainability Pty Ltd evaluated the project against international standards including the Equator Principles III, EBRD Performance Requirements, Relevant EU Directives, IFC Sustainability Framework, National Legislation and SD2’s own Environmental and Social Management Plans.  </w:t>
      </w:r>
    </w:p>
    <w:p w:rsidR="00123ADC" w:rsidRPr="00C7554C" w:rsidRDefault="00123ADC" w:rsidP="00123ADC">
      <w:pPr>
        <w:autoSpaceDE w:val="0"/>
        <w:autoSpaceDN w:val="0"/>
        <w:adjustRightInd w:val="0"/>
        <w:spacing w:after="0" w:line="240" w:lineRule="auto"/>
        <w:ind w:right="270"/>
        <w:jc w:val="both"/>
        <w:rPr>
          <w:rFonts w:ascii="Arial" w:hAnsi="Arial" w:cs="Arial"/>
          <w:color w:val="000000"/>
          <w:sz w:val="24"/>
          <w:szCs w:val="24"/>
        </w:rPr>
      </w:pPr>
    </w:p>
    <w:p w:rsidR="00123ADC" w:rsidRPr="00C7554C" w:rsidRDefault="00123ADC" w:rsidP="00123ADC">
      <w:pPr>
        <w:autoSpaceDE w:val="0"/>
        <w:autoSpaceDN w:val="0"/>
        <w:adjustRightInd w:val="0"/>
        <w:spacing w:after="0" w:line="240" w:lineRule="auto"/>
        <w:ind w:right="270"/>
        <w:jc w:val="both"/>
        <w:rPr>
          <w:rFonts w:ascii="Arial" w:hAnsi="Arial" w:cs="Arial"/>
          <w:color w:val="000000"/>
          <w:sz w:val="24"/>
          <w:szCs w:val="24"/>
        </w:rPr>
      </w:pPr>
      <w:r w:rsidRPr="00C7554C">
        <w:rPr>
          <w:rFonts w:ascii="Arial" w:hAnsi="Arial" w:cs="Arial"/>
          <w:color w:val="000000"/>
          <w:sz w:val="24"/>
          <w:szCs w:val="24"/>
        </w:rPr>
        <w:t>Sustainability Pty Ltd</w:t>
      </w:r>
      <w:r>
        <w:rPr>
          <w:rFonts w:ascii="Arial" w:hAnsi="Arial" w:cs="Arial"/>
          <w:color w:val="000000"/>
          <w:sz w:val="24"/>
          <w:szCs w:val="24"/>
        </w:rPr>
        <w:t xml:space="preserve">’s </w:t>
      </w:r>
      <w:r w:rsidRPr="00C7554C">
        <w:rPr>
          <w:rFonts w:ascii="Arial" w:hAnsi="Arial" w:cs="Arial"/>
          <w:color w:val="000000"/>
          <w:sz w:val="24"/>
          <w:szCs w:val="24"/>
        </w:rPr>
        <w:t xml:space="preserve">2017 report found that “the SD2 Project is continuing to effectively manage its key environmental and social risks during development and there were no high or medium level non-conformances against the applicable lender standards. The Project’s performance in worker safety and environmental protection continues to be of an industry leading standard considering the significant risks associated with the construction phase of the Project.”  </w:t>
      </w:r>
    </w:p>
    <w:p w:rsidR="00123ADC" w:rsidRPr="00C7554C" w:rsidRDefault="00123ADC" w:rsidP="00123ADC">
      <w:pPr>
        <w:autoSpaceDE w:val="0"/>
        <w:autoSpaceDN w:val="0"/>
        <w:adjustRightInd w:val="0"/>
        <w:spacing w:after="0" w:line="240" w:lineRule="auto"/>
        <w:ind w:right="270"/>
        <w:jc w:val="both"/>
        <w:rPr>
          <w:rFonts w:ascii="Arial" w:hAnsi="Arial" w:cs="Arial"/>
          <w:color w:val="000000"/>
          <w:sz w:val="24"/>
          <w:szCs w:val="24"/>
        </w:rPr>
      </w:pPr>
    </w:p>
    <w:p w:rsidR="00123ADC" w:rsidRPr="004B35D9" w:rsidRDefault="00123ADC" w:rsidP="00123ADC">
      <w:pPr>
        <w:autoSpaceDE w:val="0"/>
        <w:autoSpaceDN w:val="0"/>
        <w:adjustRightInd w:val="0"/>
        <w:spacing w:after="0" w:line="240" w:lineRule="auto"/>
        <w:ind w:right="270"/>
        <w:jc w:val="both"/>
        <w:rPr>
          <w:rFonts w:ascii="Arial" w:hAnsi="Arial" w:cs="Arial"/>
          <w:color w:val="000000"/>
          <w:sz w:val="24"/>
          <w:szCs w:val="24"/>
        </w:rPr>
      </w:pPr>
      <w:r w:rsidRPr="00C7554C">
        <w:rPr>
          <w:rFonts w:ascii="Arial" w:hAnsi="Arial" w:cs="Arial"/>
          <w:color w:val="000000"/>
          <w:sz w:val="24"/>
          <w:szCs w:val="24"/>
        </w:rPr>
        <w:t xml:space="preserve">Their 2018 report also found that “monitoring confirmed the ongoing implementation of the SD2 environment, health and safety management system in line with BP’s corporate Health, Safety, Security and Environment (HSSE) commitment statement Project policies” and a “rigorous framework for ensuring the protection of worker safety, compliance with HSSE requirements, social responsibility, and protection of the environment.” </w:t>
      </w:r>
    </w:p>
    <w:p w:rsidR="00123ADC" w:rsidRPr="002F795C" w:rsidRDefault="00123ADC" w:rsidP="00123ADC">
      <w:pPr>
        <w:shd w:val="clear" w:color="auto" w:fill="FFFFFF"/>
        <w:spacing w:before="100" w:beforeAutospacing="1"/>
        <w:ind w:right="270"/>
        <w:jc w:val="both"/>
        <w:rPr>
          <w:rFonts w:ascii="Arial" w:hAnsi="Arial" w:cs="Arial"/>
          <w:color w:val="000000" w:themeColor="text1"/>
          <w:sz w:val="24"/>
          <w:szCs w:val="24"/>
        </w:rPr>
      </w:pPr>
      <w:r>
        <w:rPr>
          <w:rFonts w:ascii="Arial" w:hAnsi="Arial" w:cs="Arial"/>
          <w:color w:val="000000" w:themeColor="text1"/>
          <w:sz w:val="24"/>
          <w:szCs w:val="24"/>
        </w:rPr>
        <w:t>W</w:t>
      </w:r>
      <w:r w:rsidRPr="002F795C">
        <w:rPr>
          <w:rFonts w:ascii="Arial" w:hAnsi="Arial" w:cs="Arial"/>
          <w:color w:val="000000" w:themeColor="text1"/>
          <w:sz w:val="24"/>
          <w:szCs w:val="24"/>
        </w:rPr>
        <w:t>ith</w:t>
      </w:r>
      <w:r>
        <w:rPr>
          <w:rFonts w:ascii="Arial" w:hAnsi="Arial" w:cs="Arial"/>
          <w:color w:val="000000" w:themeColor="text1"/>
          <w:sz w:val="24"/>
          <w:szCs w:val="24"/>
        </w:rPr>
        <w:t xml:space="preserve"> </w:t>
      </w:r>
      <w:r w:rsidRPr="002F795C">
        <w:rPr>
          <w:rFonts w:ascii="Arial" w:hAnsi="Arial" w:cs="Arial"/>
          <w:color w:val="000000" w:themeColor="text1"/>
          <w:sz w:val="24"/>
          <w:szCs w:val="24"/>
        </w:rPr>
        <w:t xml:space="preserve">regard to the three </w:t>
      </w:r>
      <w:r>
        <w:rPr>
          <w:rFonts w:ascii="Arial" w:hAnsi="Arial" w:cs="Arial"/>
          <w:color w:val="000000" w:themeColor="text1"/>
          <w:sz w:val="24"/>
          <w:szCs w:val="24"/>
        </w:rPr>
        <w:t xml:space="preserve">specific </w:t>
      </w:r>
      <w:r w:rsidRPr="002F795C">
        <w:rPr>
          <w:rFonts w:ascii="Arial" w:hAnsi="Arial" w:cs="Arial"/>
          <w:color w:val="000000" w:themeColor="text1"/>
          <w:sz w:val="24"/>
          <w:szCs w:val="24"/>
        </w:rPr>
        <w:t xml:space="preserve">points raised in the </w:t>
      </w:r>
      <w:r>
        <w:rPr>
          <w:rFonts w:ascii="Arial" w:hAnsi="Arial" w:cs="Arial"/>
          <w:color w:val="000000" w:themeColor="text1"/>
          <w:sz w:val="24"/>
          <w:szCs w:val="24"/>
        </w:rPr>
        <w:t>L</w:t>
      </w:r>
      <w:r w:rsidRPr="002F795C">
        <w:rPr>
          <w:rFonts w:ascii="Arial" w:hAnsi="Arial" w:cs="Arial"/>
          <w:color w:val="000000" w:themeColor="text1"/>
          <w:sz w:val="24"/>
          <w:szCs w:val="24"/>
        </w:rPr>
        <w:t>etter</w:t>
      </w:r>
      <w:r>
        <w:rPr>
          <w:rFonts w:ascii="Arial" w:hAnsi="Arial" w:cs="Arial"/>
          <w:color w:val="000000" w:themeColor="text1"/>
          <w:sz w:val="24"/>
          <w:szCs w:val="24"/>
        </w:rPr>
        <w:t>, we set out below further information to clarify BP’s approach</w:t>
      </w:r>
      <w:r w:rsidRPr="002F795C">
        <w:rPr>
          <w:rFonts w:ascii="Arial" w:hAnsi="Arial" w:cs="Arial"/>
          <w:color w:val="000000" w:themeColor="text1"/>
          <w:sz w:val="24"/>
          <w:szCs w:val="24"/>
        </w:rPr>
        <w:t>:</w:t>
      </w:r>
    </w:p>
    <w:p w:rsidR="00123ADC" w:rsidRPr="00515863" w:rsidRDefault="00123ADC" w:rsidP="00123ADC">
      <w:pPr>
        <w:pStyle w:val="a6"/>
        <w:numPr>
          <w:ilvl w:val="0"/>
          <w:numId w:val="1"/>
        </w:numPr>
        <w:shd w:val="clear" w:color="auto" w:fill="FFFFFF"/>
        <w:spacing w:before="100" w:beforeAutospacing="1"/>
        <w:ind w:right="270"/>
        <w:jc w:val="both"/>
        <w:rPr>
          <w:rFonts w:ascii="Arial" w:hAnsi="Arial" w:cs="Arial"/>
          <w:b/>
          <w:color w:val="000000" w:themeColor="text1"/>
          <w:sz w:val="24"/>
          <w:szCs w:val="24"/>
        </w:rPr>
      </w:pPr>
      <w:r w:rsidRPr="00515863">
        <w:rPr>
          <w:rFonts w:ascii="Arial" w:hAnsi="Arial" w:cs="Arial"/>
          <w:b/>
          <w:color w:val="000000" w:themeColor="text1"/>
          <w:sz w:val="24"/>
          <w:szCs w:val="24"/>
        </w:rPr>
        <w:t xml:space="preserve">Access to Environmental Information  </w:t>
      </w:r>
    </w:p>
    <w:p w:rsidR="00123ADC" w:rsidRDefault="00123ADC" w:rsidP="00123ADC">
      <w:pPr>
        <w:ind w:right="270"/>
        <w:jc w:val="both"/>
        <w:rPr>
          <w:rFonts w:ascii="Arial" w:eastAsia="Times New Roman" w:hAnsi="Arial" w:cs="Arial"/>
          <w:sz w:val="24"/>
          <w:szCs w:val="24"/>
        </w:rPr>
      </w:pPr>
      <w:r w:rsidRPr="002F795C">
        <w:rPr>
          <w:rFonts w:ascii="Arial" w:hAnsi="Arial" w:cs="Arial"/>
          <w:color w:val="000000" w:themeColor="text1"/>
          <w:sz w:val="24"/>
          <w:szCs w:val="24"/>
        </w:rPr>
        <w:t xml:space="preserve">As part of BP’s Environmental Monitoring </w:t>
      </w:r>
      <w:proofErr w:type="spellStart"/>
      <w:r w:rsidRPr="002F795C">
        <w:rPr>
          <w:rFonts w:ascii="Arial" w:hAnsi="Arial" w:cs="Arial"/>
          <w:color w:val="000000" w:themeColor="text1"/>
          <w:sz w:val="24"/>
          <w:szCs w:val="24"/>
        </w:rPr>
        <w:t>Programme</w:t>
      </w:r>
      <w:proofErr w:type="spellEnd"/>
      <w:r w:rsidRPr="002F795C">
        <w:rPr>
          <w:rFonts w:ascii="Arial" w:hAnsi="Arial" w:cs="Arial"/>
          <w:color w:val="000000" w:themeColor="text1"/>
          <w:sz w:val="24"/>
          <w:szCs w:val="24"/>
        </w:rPr>
        <w:t xml:space="preserve"> </w:t>
      </w:r>
      <w:r w:rsidRPr="0020225F">
        <w:rPr>
          <w:rFonts w:ascii="Arial" w:hAnsi="Arial" w:cs="Arial"/>
          <w:color w:val="000000" w:themeColor="text1"/>
          <w:sz w:val="24"/>
          <w:szCs w:val="24"/>
        </w:rPr>
        <w:t xml:space="preserve">in Azerbaijan </w:t>
      </w:r>
      <w:r w:rsidRPr="002F795C">
        <w:rPr>
          <w:rFonts w:ascii="Arial" w:hAnsi="Arial" w:cs="Arial"/>
          <w:color w:val="000000" w:themeColor="text1"/>
          <w:sz w:val="24"/>
          <w:szCs w:val="24"/>
        </w:rPr>
        <w:t xml:space="preserve">we conduct routine monitoring around the </w:t>
      </w:r>
      <w:r>
        <w:rPr>
          <w:rFonts w:ascii="Arial" w:hAnsi="Arial" w:cs="Arial"/>
          <w:color w:val="000000" w:themeColor="text1"/>
          <w:sz w:val="24"/>
          <w:szCs w:val="24"/>
        </w:rPr>
        <w:t xml:space="preserve">Sangachal </w:t>
      </w:r>
      <w:r w:rsidRPr="002F795C">
        <w:rPr>
          <w:rFonts w:ascii="Arial" w:hAnsi="Arial" w:cs="Arial"/>
          <w:color w:val="000000" w:themeColor="text1"/>
          <w:sz w:val="24"/>
          <w:szCs w:val="24"/>
        </w:rPr>
        <w:t xml:space="preserve">Terminal </w:t>
      </w:r>
      <w:r>
        <w:rPr>
          <w:rFonts w:ascii="Arial" w:hAnsi="Arial" w:cs="Arial"/>
          <w:color w:val="000000" w:themeColor="text1"/>
          <w:sz w:val="24"/>
          <w:szCs w:val="24"/>
        </w:rPr>
        <w:t xml:space="preserve">(ST) </w:t>
      </w:r>
      <w:r w:rsidRPr="002F795C">
        <w:rPr>
          <w:rFonts w:ascii="Arial" w:hAnsi="Arial" w:cs="Arial"/>
          <w:color w:val="000000" w:themeColor="text1"/>
          <w:sz w:val="24"/>
          <w:szCs w:val="24"/>
        </w:rPr>
        <w:t xml:space="preserve">including monitoring of air quality, surface and groundwater and soil monitoring. The results are reported to the national regulator, Ministry of Ecology and Natural Resources, on an annual basis. We also present the results of our monitoring </w:t>
      </w:r>
      <w:proofErr w:type="spellStart"/>
      <w:r w:rsidRPr="002F795C">
        <w:rPr>
          <w:rFonts w:ascii="Arial" w:hAnsi="Arial" w:cs="Arial"/>
          <w:color w:val="000000" w:themeColor="text1"/>
          <w:sz w:val="24"/>
          <w:szCs w:val="24"/>
        </w:rPr>
        <w:t>programmes</w:t>
      </w:r>
      <w:proofErr w:type="spellEnd"/>
      <w:r w:rsidRPr="002F795C">
        <w:rPr>
          <w:rFonts w:ascii="Arial" w:hAnsi="Arial" w:cs="Arial"/>
          <w:color w:val="000000" w:themeColor="text1"/>
          <w:sz w:val="24"/>
          <w:szCs w:val="24"/>
        </w:rPr>
        <w:t xml:space="preserve"> to the communities</w:t>
      </w:r>
      <w:r>
        <w:rPr>
          <w:rFonts w:ascii="Arial" w:hAnsi="Arial" w:cs="Arial"/>
          <w:color w:val="000000" w:themeColor="text1"/>
          <w:sz w:val="24"/>
          <w:szCs w:val="24"/>
        </w:rPr>
        <w:t xml:space="preserve"> around the ST</w:t>
      </w:r>
      <w:r w:rsidRPr="002F795C">
        <w:rPr>
          <w:rFonts w:ascii="Arial" w:hAnsi="Arial" w:cs="Arial"/>
          <w:color w:val="000000" w:themeColor="text1"/>
          <w:sz w:val="24"/>
          <w:szCs w:val="24"/>
        </w:rPr>
        <w:t xml:space="preserve"> during regular community updates and make them publicly available through </w:t>
      </w:r>
      <w:r w:rsidRPr="002F795C">
        <w:rPr>
          <w:rFonts w:ascii="Arial" w:hAnsi="Arial" w:cs="Arial"/>
          <w:color w:val="000000" w:themeColor="text1"/>
          <w:sz w:val="24"/>
          <w:szCs w:val="24"/>
        </w:rPr>
        <w:lastRenderedPageBreak/>
        <w:t xml:space="preserve">presentation sessions and monitoring overview booklets. </w:t>
      </w:r>
      <w:r>
        <w:rPr>
          <w:rFonts w:ascii="Arial" w:hAnsi="Arial" w:cs="Arial"/>
          <w:color w:val="000000" w:themeColor="text1"/>
          <w:sz w:val="24"/>
          <w:szCs w:val="24"/>
        </w:rPr>
        <w:t>A b</w:t>
      </w:r>
      <w:r w:rsidRPr="002F795C">
        <w:rPr>
          <w:rFonts w:ascii="Arial" w:eastAsia="Times New Roman" w:hAnsi="Arial" w:cs="Arial"/>
          <w:sz w:val="24"/>
          <w:szCs w:val="24"/>
        </w:rPr>
        <w:t>rief summary of monitoring results</w:t>
      </w:r>
      <w:r>
        <w:rPr>
          <w:rFonts w:ascii="Arial" w:eastAsia="Times New Roman" w:hAnsi="Arial" w:cs="Arial"/>
          <w:sz w:val="24"/>
          <w:szCs w:val="24"/>
        </w:rPr>
        <w:t>,</w:t>
      </w:r>
      <w:r w:rsidRPr="002F795C">
        <w:rPr>
          <w:rFonts w:ascii="Arial" w:eastAsia="Times New Roman" w:hAnsi="Arial" w:cs="Arial"/>
          <w:sz w:val="24"/>
          <w:szCs w:val="24"/>
        </w:rPr>
        <w:t xml:space="preserve"> including the </w:t>
      </w:r>
      <w:r>
        <w:rPr>
          <w:rFonts w:ascii="Arial" w:eastAsia="Times New Roman" w:hAnsi="Arial" w:cs="Arial"/>
          <w:sz w:val="24"/>
          <w:szCs w:val="24"/>
        </w:rPr>
        <w:t>ST</w:t>
      </w:r>
      <w:r w:rsidRPr="002F795C">
        <w:rPr>
          <w:rFonts w:ascii="Arial" w:eastAsia="Times New Roman" w:hAnsi="Arial" w:cs="Arial"/>
          <w:sz w:val="24"/>
          <w:szCs w:val="24"/>
        </w:rPr>
        <w:t xml:space="preserve"> surveys</w:t>
      </w:r>
      <w:r>
        <w:rPr>
          <w:rFonts w:ascii="Arial" w:eastAsia="Times New Roman" w:hAnsi="Arial" w:cs="Arial"/>
          <w:sz w:val="24"/>
          <w:szCs w:val="24"/>
        </w:rPr>
        <w:t>,</w:t>
      </w:r>
      <w:r w:rsidRPr="002F795C">
        <w:rPr>
          <w:rFonts w:ascii="Arial" w:eastAsia="Times New Roman" w:hAnsi="Arial" w:cs="Arial"/>
          <w:sz w:val="24"/>
          <w:szCs w:val="24"/>
        </w:rPr>
        <w:t xml:space="preserve"> can be found in our annual Sustainability Reports. </w:t>
      </w:r>
    </w:p>
    <w:p w:rsidR="00123ADC" w:rsidRPr="002F795C" w:rsidRDefault="0057483C" w:rsidP="00123ADC">
      <w:pPr>
        <w:ind w:right="270"/>
        <w:jc w:val="both"/>
        <w:rPr>
          <w:rFonts w:ascii="Arial" w:hAnsi="Arial" w:cs="Arial"/>
          <w:color w:val="000000" w:themeColor="text1"/>
          <w:sz w:val="24"/>
          <w:szCs w:val="24"/>
        </w:rPr>
      </w:pPr>
      <w:hyperlink r:id="rId7" w:history="1">
        <w:r w:rsidR="00123ADC" w:rsidRPr="002F795C">
          <w:rPr>
            <w:rStyle w:val="a3"/>
            <w:rFonts w:ascii="Arial" w:hAnsi="Arial" w:cs="Arial"/>
            <w:sz w:val="24"/>
            <w:szCs w:val="24"/>
          </w:rPr>
          <w:t>https://www.bp.com/en_az/caspian/sustainability/environment.html</w:t>
        </w:r>
      </w:hyperlink>
    </w:p>
    <w:p w:rsidR="00123ADC" w:rsidRDefault="00123ADC" w:rsidP="00123ADC">
      <w:pPr>
        <w:ind w:right="270"/>
        <w:jc w:val="both"/>
        <w:rPr>
          <w:rFonts w:ascii="Arial" w:eastAsia="Times New Roman" w:hAnsi="Arial" w:cs="Arial"/>
          <w:color w:val="FF0000"/>
          <w:sz w:val="24"/>
          <w:szCs w:val="24"/>
        </w:rPr>
      </w:pPr>
      <w:bookmarkStart w:id="0" w:name="_Hlk7181262"/>
    </w:p>
    <w:p w:rsidR="00123ADC" w:rsidRPr="002F795C" w:rsidRDefault="00123ADC" w:rsidP="00123ADC">
      <w:pPr>
        <w:ind w:right="270"/>
        <w:jc w:val="both"/>
        <w:rPr>
          <w:rFonts w:ascii="Arial" w:eastAsia="Times New Roman" w:hAnsi="Arial" w:cs="Arial"/>
          <w:sz w:val="24"/>
          <w:szCs w:val="24"/>
        </w:rPr>
      </w:pPr>
      <w:r w:rsidRPr="004E2362">
        <w:rPr>
          <w:rFonts w:ascii="Arial" w:eastAsia="Times New Roman" w:hAnsi="Arial" w:cs="Arial"/>
          <w:color w:val="000000" w:themeColor="text1"/>
          <w:sz w:val="24"/>
          <w:szCs w:val="24"/>
        </w:rPr>
        <w:t xml:space="preserve">In 2016-2017 </w:t>
      </w:r>
      <w:r w:rsidRPr="004E2362">
        <w:rPr>
          <w:rFonts w:ascii="Arial" w:eastAsia="Times New Roman" w:hAnsi="Arial" w:cs="Arial"/>
          <w:sz w:val="24"/>
          <w:szCs w:val="24"/>
        </w:rPr>
        <w:t xml:space="preserve">(which were the peak years of SD2 and </w:t>
      </w:r>
      <w:proofErr w:type="spellStart"/>
      <w:r w:rsidRPr="004E2362">
        <w:rPr>
          <w:rFonts w:ascii="Arial" w:eastAsia="Times New Roman" w:hAnsi="Arial" w:cs="Arial"/>
          <w:sz w:val="24"/>
          <w:szCs w:val="24"/>
        </w:rPr>
        <w:t>SCPx</w:t>
      </w:r>
      <w:proofErr w:type="spellEnd"/>
      <w:r w:rsidRPr="004E2362">
        <w:rPr>
          <w:rFonts w:ascii="Arial" w:eastAsia="Times New Roman" w:hAnsi="Arial" w:cs="Arial"/>
          <w:sz w:val="24"/>
          <w:szCs w:val="24"/>
        </w:rPr>
        <w:t xml:space="preserve"> construction activities) 213 health, safety and environmental sessions and meetings were held with the affected communities with 4373 people in attendance, to provide updates on the projects, our environmental performance, raise safety awareness and listen to their concerns.</w:t>
      </w:r>
      <w:r>
        <w:rPr>
          <w:rFonts w:ascii="Arial" w:eastAsia="Times New Roman" w:hAnsi="Arial" w:cs="Arial"/>
          <w:sz w:val="24"/>
          <w:szCs w:val="24"/>
        </w:rPr>
        <w:t xml:space="preserve">  </w:t>
      </w:r>
    </w:p>
    <w:p w:rsidR="00123ADC" w:rsidRPr="003C417D" w:rsidRDefault="00123ADC" w:rsidP="00123ADC">
      <w:pPr>
        <w:pStyle w:val="a4"/>
        <w:ind w:right="270"/>
        <w:jc w:val="both"/>
        <w:rPr>
          <w:rFonts w:ascii="Arial" w:hAnsi="Arial" w:cs="Arial"/>
          <w:sz w:val="24"/>
          <w:szCs w:val="24"/>
        </w:rPr>
      </w:pPr>
      <w:r w:rsidRPr="002F795C">
        <w:rPr>
          <w:rFonts w:ascii="Arial" w:hAnsi="Arial" w:cs="Arial"/>
          <w:color w:val="000000" w:themeColor="text1"/>
          <w:sz w:val="24"/>
          <w:szCs w:val="24"/>
        </w:rPr>
        <w:t xml:space="preserve">In addition, we are working on the publication of the results of BP’s 22-year monitoring surveys in Azerbaijan which </w:t>
      </w:r>
      <w:r>
        <w:rPr>
          <w:rFonts w:ascii="Arial" w:hAnsi="Arial" w:cs="Arial"/>
          <w:color w:val="000000" w:themeColor="text1"/>
          <w:sz w:val="24"/>
          <w:szCs w:val="24"/>
        </w:rPr>
        <w:t xml:space="preserve">we </w:t>
      </w:r>
      <w:r w:rsidRPr="002F795C">
        <w:rPr>
          <w:rFonts w:ascii="Arial" w:hAnsi="Arial" w:cs="Arial"/>
          <w:color w:val="000000" w:themeColor="text1"/>
          <w:sz w:val="24"/>
          <w:szCs w:val="24"/>
        </w:rPr>
        <w:t>plan</w:t>
      </w:r>
      <w:r>
        <w:rPr>
          <w:rFonts w:ascii="Arial" w:hAnsi="Arial" w:cs="Arial"/>
          <w:color w:val="000000" w:themeColor="text1"/>
          <w:sz w:val="24"/>
          <w:szCs w:val="24"/>
        </w:rPr>
        <w:t xml:space="preserve"> </w:t>
      </w:r>
      <w:r w:rsidRPr="002F795C">
        <w:rPr>
          <w:rFonts w:ascii="Arial" w:hAnsi="Arial" w:cs="Arial"/>
          <w:color w:val="000000" w:themeColor="text1"/>
          <w:sz w:val="24"/>
          <w:szCs w:val="24"/>
        </w:rPr>
        <w:t>to publish and present to the public this year</w:t>
      </w:r>
      <w:r w:rsidRPr="004D5D79">
        <w:rPr>
          <w:rFonts w:ascii="Arial" w:hAnsi="Arial" w:cs="Arial"/>
          <w:color w:val="000000" w:themeColor="text1"/>
          <w:sz w:val="24"/>
          <w:szCs w:val="24"/>
        </w:rPr>
        <w:t xml:space="preserve">. We plan </w:t>
      </w:r>
      <w:r w:rsidRPr="003C417D">
        <w:rPr>
          <w:rFonts w:ascii="Arial" w:hAnsi="Arial" w:cs="Arial"/>
          <w:sz w:val="24"/>
          <w:szCs w:val="24"/>
        </w:rPr>
        <w:t xml:space="preserve">to hold public sessions at the annual Caspian International Ecological Exhibition in </w:t>
      </w:r>
      <w:r>
        <w:rPr>
          <w:rFonts w:ascii="Arial" w:hAnsi="Arial" w:cs="Arial"/>
          <w:sz w:val="24"/>
          <w:szCs w:val="24"/>
        </w:rPr>
        <w:t>2019</w:t>
      </w:r>
      <w:r w:rsidRPr="003C417D">
        <w:rPr>
          <w:rFonts w:ascii="Arial" w:hAnsi="Arial" w:cs="Arial"/>
          <w:sz w:val="24"/>
          <w:szCs w:val="24"/>
        </w:rPr>
        <w:t xml:space="preserve"> </w:t>
      </w:r>
      <w:r>
        <w:rPr>
          <w:rFonts w:ascii="Arial" w:hAnsi="Arial" w:cs="Arial"/>
          <w:sz w:val="24"/>
          <w:szCs w:val="24"/>
        </w:rPr>
        <w:t>where</w:t>
      </w:r>
      <w:r w:rsidRPr="003C417D">
        <w:rPr>
          <w:rFonts w:ascii="Arial" w:hAnsi="Arial" w:cs="Arial"/>
          <w:sz w:val="24"/>
          <w:szCs w:val="24"/>
        </w:rPr>
        <w:t xml:space="preserve"> this information will be presented and discussed, raising public awareness and providing an opportunity for members of the public </w:t>
      </w:r>
      <w:r>
        <w:rPr>
          <w:rFonts w:ascii="Arial" w:hAnsi="Arial" w:cs="Arial"/>
          <w:sz w:val="24"/>
          <w:szCs w:val="24"/>
        </w:rPr>
        <w:t xml:space="preserve">to </w:t>
      </w:r>
      <w:r w:rsidRPr="003C417D">
        <w:rPr>
          <w:rFonts w:ascii="Arial" w:hAnsi="Arial" w:cs="Arial"/>
          <w:sz w:val="24"/>
          <w:szCs w:val="24"/>
        </w:rPr>
        <w:t xml:space="preserve">raise </w:t>
      </w:r>
      <w:r>
        <w:rPr>
          <w:rFonts w:ascii="Arial" w:hAnsi="Arial" w:cs="Arial"/>
          <w:sz w:val="24"/>
          <w:szCs w:val="24"/>
        </w:rPr>
        <w:t xml:space="preserve">their </w:t>
      </w:r>
      <w:r w:rsidRPr="003C417D">
        <w:rPr>
          <w:rFonts w:ascii="Arial" w:hAnsi="Arial" w:cs="Arial"/>
          <w:sz w:val="24"/>
          <w:szCs w:val="24"/>
        </w:rPr>
        <w:t>concerns.</w:t>
      </w:r>
    </w:p>
    <w:p w:rsidR="00123ADC" w:rsidRPr="00B824BE" w:rsidRDefault="00123ADC" w:rsidP="00123ADC">
      <w:pPr>
        <w:ind w:right="270"/>
        <w:jc w:val="both"/>
        <w:rPr>
          <w:rFonts w:ascii="Arial" w:hAnsi="Arial" w:cs="Arial"/>
          <w:color w:val="000000" w:themeColor="text1"/>
          <w:sz w:val="24"/>
          <w:szCs w:val="24"/>
          <w:lang w:val="en-GB"/>
        </w:rPr>
      </w:pPr>
    </w:p>
    <w:bookmarkEnd w:id="0"/>
    <w:p w:rsidR="00123ADC" w:rsidRPr="003041E0" w:rsidRDefault="00123ADC" w:rsidP="00123ADC">
      <w:pPr>
        <w:ind w:right="270"/>
        <w:jc w:val="both"/>
        <w:rPr>
          <w:rFonts w:ascii="Arial" w:hAnsi="Arial" w:cs="Arial"/>
          <w:sz w:val="24"/>
          <w:szCs w:val="24"/>
        </w:rPr>
      </w:pPr>
      <w:r w:rsidRPr="003041E0">
        <w:rPr>
          <w:rFonts w:ascii="Arial" w:hAnsi="Arial" w:cs="Arial"/>
          <w:sz w:val="24"/>
          <w:szCs w:val="24"/>
        </w:rPr>
        <w:t xml:space="preserve">We remain committed to ensuring that the communities have access to relevant information on our environmental performance; a large amount of such information is currently publicly available, and much of it is published on our website </w:t>
      </w:r>
      <w:r>
        <w:rPr>
          <w:rFonts w:ascii="Arial" w:hAnsi="Arial" w:cs="Arial"/>
          <w:sz w:val="24"/>
          <w:szCs w:val="24"/>
        </w:rPr>
        <w:t xml:space="preserve">in </w:t>
      </w:r>
      <w:r w:rsidRPr="003041E0">
        <w:rPr>
          <w:rFonts w:ascii="Arial" w:hAnsi="Arial" w:cs="Arial"/>
          <w:sz w:val="24"/>
          <w:szCs w:val="24"/>
        </w:rPr>
        <w:t>both Azerbaijani and English.</w:t>
      </w:r>
    </w:p>
    <w:p w:rsidR="00123ADC" w:rsidRPr="003041E0" w:rsidRDefault="00123ADC" w:rsidP="00123ADC">
      <w:pPr>
        <w:pStyle w:val="a6"/>
        <w:numPr>
          <w:ilvl w:val="0"/>
          <w:numId w:val="1"/>
        </w:numPr>
        <w:shd w:val="clear" w:color="auto" w:fill="FFFFFF"/>
        <w:spacing w:before="100" w:beforeAutospacing="1"/>
        <w:ind w:right="270"/>
        <w:jc w:val="both"/>
        <w:rPr>
          <w:rFonts w:ascii="Arial" w:hAnsi="Arial" w:cs="Arial"/>
          <w:b/>
          <w:color w:val="000000" w:themeColor="text1"/>
          <w:sz w:val="24"/>
          <w:szCs w:val="24"/>
        </w:rPr>
      </w:pPr>
      <w:r w:rsidRPr="003041E0">
        <w:rPr>
          <w:rFonts w:ascii="Arial" w:hAnsi="Arial" w:cs="Arial"/>
          <w:b/>
          <w:color w:val="000000"/>
          <w:sz w:val="24"/>
          <w:szCs w:val="24"/>
        </w:rPr>
        <w:t xml:space="preserve">Community participation  </w:t>
      </w:r>
    </w:p>
    <w:p w:rsidR="00123ADC" w:rsidRPr="002F795C" w:rsidRDefault="00123ADC" w:rsidP="00123ADC">
      <w:pPr>
        <w:autoSpaceDE w:val="0"/>
        <w:autoSpaceDN w:val="0"/>
        <w:ind w:right="270"/>
        <w:jc w:val="both"/>
        <w:rPr>
          <w:rFonts w:ascii="Arial" w:hAnsi="Arial" w:cs="Arial"/>
          <w:color w:val="000000" w:themeColor="text1"/>
          <w:sz w:val="24"/>
          <w:szCs w:val="24"/>
        </w:rPr>
      </w:pPr>
      <w:r w:rsidRPr="002F795C">
        <w:rPr>
          <w:rFonts w:ascii="Arial" w:hAnsi="Arial" w:cs="Arial"/>
          <w:sz w:val="24"/>
          <w:szCs w:val="24"/>
        </w:rPr>
        <w:t xml:space="preserve">We recognize that stakeholder engagement is a continuous process and plays a critical role in </w:t>
      </w:r>
      <w:r>
        <w:rPr>
          <w:rFonts w:ascii="Arial" w:hAnsi="Arial" w:cs="Arial"/>
          <w:sz w:val="24"/>
          <w:szCs w:val="24"/>
        </w:rPr>
        <w:t>effectively managing our projects and operations. It</w:t>
      </w:r>
      <w:r w:rsidRPr="002F795C">
        <w:rPr>
          <w:rFonts w:ascii="Arial" w:hAnsi="Arial" w:cs="Arial"/>
          <w:sz w:val="24"/>
          <w:szCs w:val="24"/>
        </w:rPr>
        <w:t xml:space="preserve"> is an important part of the way we conduct our business</w:t>
      </w:r>
      <w:r>
        <w:rPr>
          <w:rFonts w:ascii="Arial" w:hAnsi="Arial" w:cs="Arial"/>
          <w:sz w:val="24"/>
          <w:szCs w:val="24"/>
        </w:rPr>
        <w:t xml:space="preserve"> and is</w:t>
      </w:r>
      <w:r w:rsidRPr="002F795C">
        <w:rPr>
          <w:rFonts w:ascii="Arial" w:hAnsi="Arial" w:cs="Arial"/>
          <w:color w:val="000000" w:themeColor="text1"/>
          <w:sz w:val="24"/>
          <w:szCs w:val="24"/>
        </w:rPr>
        <w:t xml:space="preserve"> part of our commitment to the people and countries where we operate. </w:t>
      </w:r>
    </w:p>
    <w:p w:rsidR="00123ADC" w:rsidRPr="002F795C" w:rsidRDefault="00123ADC" w:rsidP="00123ADC">
      <w:pPr>
        <w:autoSpaceDE w:val="0"/>
        <w:autoSpaceDN w:val="0"/>
        <w:ind w:right="270"/>
        <w:jc w:val="both"/>
        <w:rPr>
          <w:rFonts w:ascii="Arial" w:hAnsi="Arial" w:cs="Arial"/>
          <w:color w:val="000000" w:themeColor="text1"/>
          <w:sz w:val="24"/>
          <w:szCs w:val="24"/>
        </w:rPr>
      </w:pPr>
      <w:r w:rsidRPr="002F795C">
        <w:rPr>
          <w:rFonts w:ascii="Arial" w:hAnsi="Arial" w:cs="Arial"/>
          <w:color w:val="000000" w:themeColor="text1"/>
          <w:sz w:val="24"/>
          <w:szCs w:val="24"/>
        </w:rPr>
        <w:t xml:space="preserve">In Azerbaijan, we work together with the government and all </w:t>
      </w:r>
      <w:proofErr w:type="spellStart"/>
      <w:r w:rsidRPr="002F795C">
        <w:rPr>
          <w:rFonts w:ascii="Arial" w:hAnsi="Arial" w:cs="Arial"/>
          <w:color w:val="000000" w:themeColor="text1"/>
          <w:sz w:val="24"/>
          <w:szCs w:val="24"/>
        </w:rPr>
        <w:t>neighbouring</w:t>
      </w:r>
      <w:proofErr w:type="spellEnd"/>
      <w:r w:rsidRPr="002F795C">
        <w:rPr>
          <w:rFonts w:ascii="Arial" w:hAnsi="Arial" w:cs="Arial"/>
          <w:color w:val="000000" w:themeColor="text1"/>
          <w:sz w:val="24"/>
          <w:szCs w:val="24"/>
        </w:rPr>
        <w:t xml:space="preserve"> communities to contribute to sustainable growth, create jobs</w:t>
      </w:r>
      <w:r>
        <w:rPr>
          <w:rFonts w:ascii="Arial" w:hAnsi="Arial" w:cs="Arial"/>
          <w:color w:val="000000" w:themeColor="text1"/>
          <w:sz w:val="24"/>
          <w:szCs w:val="24"/>
        </w:rPr>
        <w:t xml:space="preserve">, </w:t>
      </w:r>
      <w:r w:rsidRPr="00322818">
        <w:rPr>
          <w:rFonts w:ascii="Arial" w:hAnsi="Arial" w:cs="Arial"/>
          <w:color w:val="000000" w:themeColor="text1"/>
          <w:sz w:val="24"/>
          <w:szCs w:val="24"/>
        </w:rPr>
        <w:t>listen to the concerns of the people affected by our operations and projects,</w:t>
      </w:r>
      <w:r>
        <w:rPr>
          <w:rFonts w:ascii="Arial" w:hAnsi="Arial" w:cs="Arial"/>
          <w:color w:val="000000" w:themeColor="text1"/>
          <w:sz w:val="24"/>
          <w:szCs w:val="24"/>
        </w:rPr>
        <w:t xml:space="preserve"> </w:t>
      </w:r>
      <w:r w:rsidRPr="002F795C">
        <w:rPr>
          <w:rFonts w:ascii="Arial" w:hAnsi="Arial" w:cs="Arial"/>
          <w:color w:val="000000" w:themeColor="text1"/>
          <w:sz w:val="24"/>
          <w:szCs w:val="24"/>
        </w:rPr>
        <w:t xml:space="preserve">and invest in </w:t>
      </w:r>
      <w:r>
        <w:rPr>
          <w:rFonts w:ascii="Arial" w:hAnsi="Arial" w:cs="Arial"/>
          <w:color w:val="000000" w:themeColor="text1"/>
          <w:sz w:val="24"/>
          <w:szCs w:val="24"/>
        </w:rPr>
        <w:t>their development</w:t>
      </w:r>
      <w:r w:rsidRPr="002F795C">
        <w:rPr>
          <w:rFonts w:ascii="Arial" w:hAnsi="Arial" w:cs="Arial"/>
          <w:color w:val="000000" w:themeColor="text1"/>
          <w:sz w:val="24"/>
          <w:szCs w:val="24"/>
        </w:rPr>
        <w:t xml:space="preserve">. </w:t>
      </w:r>
    </w:p>
    <w:p w:rsidR="00123ADC" w:rsidRPr="002F795C" w:rsidRDefault="00123ADC" w:rsidP="00123ADC">
      <w:pPr>
        <w:autoSpaceDE w:val="0"/>
        <w:autoSpaceDN w:val="0"/>
        <w:ind w:right="270"/>
        <w:jc w:val="both"/>
        <w:rPr>
          <w:rFonts w:ascii="Arial" w:hAnsi="Arial" w:cs="Arial"/>
          <w:bCs/>
          <w:sz w:val="24"/>
          <w:szCs w:val="24"/>
        </w:rPr>
      </w:pPr>
      <w:r w:rsidRPr="002F795C">
        <w:rPr>
          <w:rFonts w:ascii="Arial" w:hAnsi="Arial" w:cs="Arial"/>
          <w:bCs/>
          <w:sz w:val="24"/>
          <w:szCs w:val="24"/>
        </w:rPr>
        <w:t xml:space="preserve">We have processes and </w:t>
      </w:r>
      <w:proofErr w:type="spellStart"/>
      <w:r w:rsidRPr="002F795C">
        <w:rPr>
          <w:rFonts w:ascii="Arial" w:hAnsi="Arial" w:cs="Arial"/>
          <w:bCs/>
          <w:sz w:val="24"/>
          <w:szCs w:val="24"/>
        </w:rPr>
        <w:t>programmes</w:t>
      </w:r>
      <w:proofErr w:type="spellEnd"/>
      <w:r w:rsidRPr="002F795C">
        <w:rPr>
          <w:rFonts w:ascii="Arial" w:hAnsi="Arial" w:cs="Arial"/>
          <w:bCs/>
          <w:sz w:val="24"/>
          <w:szCs w:val="24"/>
        </w:rPr>
        <w:t xml:space="preserve"> in place to maintain effective and constructive engagement with our </w:t>
      </w:r>
      <w:proofErr w:type="spellStart"/>
      <w:r w:rsidRPr="002F795C">
        <w:rPr>
          <w:rFonts w:ascii="Arial" w:hAnsi="Arial" w:cs="Arial"/>
          <w:bCs/>
          <w:sz w:val="24"/>
          <w:szCs w:val="24"/>
        </w:rPr>
        <w:t>neighbouring</w:t>
      </w:r>
      <w:proofErr w:type="spellEnd"/>
      <w:r w:rsidRPr="002F795C">
        <w:rPr>
          <w:rFonts w:ascii="Arial" w:hAnsi="Arial" w:cs="Arial"/>
          <w:bCs/>
          <w:sz w:val="24"/>
          <w:szCs w:val="24"/>
        </w:rPr>
        <w:t xml:space="preserve"> communities. These include:</w:t>
      </w:r>
    </w:p>
    <w:p w:rsidR="00123ADC" w:rsidRPr="002F795C" w:rsidRDefault="00123ADC" w:rsidP="00123ADC">
      <w:pPr>
        <w:numPr>
          <w:ilvl w:val="0"/>
          <w:numId w:val="6"/>
        </w:numPr>
        <w:autoSpaceDE w:val="0"/>
        <w:autoSpaceDN w:val="0"/>
        <w:spacing w:after="0" w:line="240" w:lineRule="auto"/>
        <w:ind w:right="270"/>
        <w:jc w:val="both"/>
        <w:rPr>
          <w:rFonts w:ascii="Arial" w:eastAsia="Times New Roman" w:hAnsi="Arial" w:cs="Arial"/>
          <w:sz w:val="24"/>
          <w:szCs w:val="24"/>
        </w:rPr>
      </w:pPr>
      <w:r w:rsidRPr="002F795C">
        <w:rPr>
          <w:rFonts w:ascii="Arial" w:eastAsia="Times New Roman" w:hAnsi="Arial" w:cs="Arial"/>
          <w:sz w:val="24"/>
          <w:szCs w:val="24"/>
        </w:rPr>
        <w:t xml:space="preserve">Public </w:t>
      </w:r>
      <w:r>
        <w:rPr>
          <w:rFonts w:ascii="Arial" w:eastAsia="Times New Roman" w:hAnsi="Arial" w:cs="Arial"/>
          <w:sz w:val="24"/>
          <w:szCs w:val="24"/>
        </w:rPr>
        <w:t>I</w:t>
      </w:r>
      <w:r w:rsidRPr="002F795C">
        <w:rPr>
          <w:rFonts w:ascii="Arial" w:eastAsia="Times New Roman" w:hAnsi="Arial" w:cs="Arial"/>
          <w:sz w:val="24"/>
          <w:szCs w:val="24"/>
        </w:rPr>
        <w:t xml:space="preserve">nformation </w:t>
      </w:r>
      <w:proofErr w:type="spellStart"/>
      <w:r>
        <w:rPr>
          <w:rFonts w:ascii="Arial" w:eastAsia="Times New Roman" w:hAnsi="Arial" w:cs="Arial"/>
          <w:sz w:val="24"/>
          <w:szCs w:val="24"/>
        </w:rPr>
        <w:t>C</w:t>
      </w:r>
      <w:r w:rsidRPr="002F795C">
        <w:rPr>
          <w:rFonts w:ascii="Arial" w:eastAsia="Times New Roman" w:hAnsi="Arial" w:cs="Arial"/>
          <w:sz w:val="24"/>
          <w:szCs w:val="24"/>
        </w:rPr>
        <w:t>entres</w:t>
      </w:r>
      <w:proofErr w:type="spellEnd"/>
      <w:r w:rsidRPr="002F795C">
        <w:rPr>
          <w:rFonts w:ascii="Arial" w:eastAsia="Times New Roman" w:hAnsi="Arial" w:cs="Arial"/>
          <w:sz w:val="24"/>
          <w:szCs w:val="24"/>
        </w:rPr>
        <w:t xml:space="preserve"> located in community settlements; </w:t>
      </w:r>
    </w:p>
    <w:p w:rsidR="00123ADC" w:rsidRPr="002F795C" w:rsidRDefault="00123ADC" w:rsidP="00123ADC">
      <w:pPr>
        <w:numPr>
          <w:ilvl w:val="0"/>
          <w:numId w:val="6"/>
        </w:numPr>
        <w:autoSpaceDE w:val="0"/>
        <w:autoSpaceDN w:val="0"/>
        <w:spacing w:after="0" w:line="240" w:lineRule="auto"/>
        <w:ind w:right="270"/>
        <w:jc w:val="both"/>
        <w:rPr>
          <w:rFonts w:ascii="Arial" w:eastAsia="Times New Roman" w:hAnsi="Arial" w:cs="Arial"/>
          <w:sz w:val="24"/>
          <w:szCs w:val="24"/>
        </w:rPr>
      </w:pPr>
      <w:r w:rsidRPr="002F795C">
        <w:rPr>
          <w:rFonts w:ascii="Arial" w:eastAsia="Times New Roman" w:hAnsi="Arial" w:cs="Arial"/>
          <w:sz w:val="24"/>
          <w:szCs w:val="24"/>
        </w:rPr>
        <w:t xml:space="preserve">Recruitment </w:t>
      </w:r>
      <w:proofErr w:type="spellStart"/>
      <w:r w:rsidRPr="002F795C">
        <w:rPr>
          <w:rFonts w:ascii="Arial" w:eastAsia="Times New Roman" w:hAnsi="Arial" w:cs="Arial"/>
          <w:sz w:val="24"/>
          <w:szCs w:val="24"/>
        </w:rPr>
        <w:t>programmes</w:t>
      </w:r>
      <w:proofErr w:type="spellEnd"/>
      <w:r w:rsidRPr="002F795C">
        <w:rPr>
          <w:rFonts w:ascii="Arial" w:eastAsia="Times New Roman" w:hAnsi="Arial" w:cs="Arial"/>
          <w:sz w:val="24"/>
          <w:szCs w:val="24"/>
        </w:rPr>
        <w:t xml:space="preserve">; </w:t>
      </w:r>
    </w:p>
    <w:p w:rsidR="00123ADC" w:rsidRPr="002F795C" w:rsidRDefault="00123ADC" w:rsidP="00123ADC">
      <w:pPr>
        <w:numPr>
          <w:ilvl w:val="0"/>
          <w:numId w:val="6"/>
        </w:numPr>
        <w:autoSpaceDE w:val="0"/>
        <w:autoSpaceDN w:val="0"/>
        <w:spacing w:after="0" w:line="240" w:lineRule="auto"/>
        <w:ind w:right="270"/>
        <w:jc w:val="both"/>
        <w:rPr>
          <w:rFonts w:ascii="Arial" w:eastAsia="Times New Roman" w:hAnsi="Arial" w:cs="Arial"/>
          <w:sz w:val="24"/>
          <w:szCs w:val="24"/>
        </w:rPr>
      </w:pPr>
      <w:r w:rsidRPr="002F795C">
        <w:rPr>
          <w:rFonts w:ascii="Arial" w:eastAsia="Times New Roman" w:hAnsi="Arial" w:cs="Arial"/>
          <w:sz w:val="24"/>
          <w:szCs w:val="24"/>
        </w:rPr>
        <w:t xml:space="preserve">Community development initiatives and social investment </w:t>
      </w:r>
      <w:proofErr w:type="spellStart"/>
      <w:r w:rsidRPr="002F795C">
        <w:rPr>
          <w:rFonts w:ascii="Arial" w:eastAsia="Times New Roman" w:hAnsi="Arial" w:cs="Arial"/>
          <w:sz w:val="24"/>
          <w:szCs w:val="24"/>
        </w:rPr>
        <w:t>programmes</w:t>
      </w:r>
      <w:proofErr w:type="spellEnd"/>
      <w:r w:rsidRPr="002F795C">
        <w:rPr>
          <w:rFonts w:ascii="Arial" w:eastAsia="Times New Roman" w:hAnsi="Arial" w:cs="Arial"/>
          <w:sz w:val="24"/>
          <w:szCs w:val="24"/>
        </w:rPr>
        <w:t>;</w:t>
      </w:r>
    </w:p>
    <w:p w:rsidR="00123ADC" w:rsidRPr="002F795C" w:rsidRDefault="00123ADC" w:rsidP="00123ADC">
      <w:pPr>
        <w:numPr>
          <w:ilvl w:val="0"/>
          <w:numId w:val="6"/>
        </w:numPr>
        <w:autoSpaceDE w:val="0"/>
        <w:autoSpaceDN w:val="0"/>
        <w:spacing w:after="0" w:line="240" w:lineRule="auto"/>
        <w:ind w:right="270"/>
        <w:jc w:val="both"/>
        <w:rPr>
          <w:rFonts w:ascii="Arial" w:eastAsia="Times New Roman" w:hAnsi="Arial" w:cs="Arial"/>
          <w:sz w:val="24"/>
          <w:szCs w:val="24"/>
        </w:rPr>
      </w:pPr>
      <w:r w:rsidRPr="002F795C">
        <w:rPr>
          <w:rFonts w:ascii="Arial" w:eastAsia="Times New Roman" w:hAnsi="Arial" w:cs="Arial"/>
          <w:sz w:val="24"/>
          <w:szCs w:val="24"/>
        </w:rPr>
        <w:t>Community complaints management mechanism;</w:t>
      </w:r>
    </w:p>
    <w:p w:rsidR="00123ADC" w:rsidRPr="002F795C" w:rsidRDefault="00123ADC" w:rsidP="00123ADC">
      <w:pPr>
        <w:numPr>
          <w:ilvl w:val="0"/>
          <w:numId w:val="6"/>
        </w:numPr>
        <w:autoSpaceDE w:val="0"/>
        <w:autoSpaceDN w:val="0"/>
        <w:spacing w:after="0" w:line="240" w:lineRule="auto"/>
        <w:ind w:right="270"/>
        <w:jc w:val="both"/>
        <w:rPr>
          <w:rFonts w:ascii="Arial" w:eastAsia="Times New Roman" w:hAnsi="Arial" w:cs="Arial"/>
          <w:sz w:val="24"/>
          <w:szCs w:val="24"/>
        </w:rPr>
      </w:pPr>
      <w:r w:rsidRPr="002F795C">
        <w:rPr>
          <w:rFonts w:ascii="Arial" w:eastAsia="Times New Roman" w:hAnsi="Arial" w:cs="Arial"/>
          <w:sz w:val="24"/>
          <w:szCs w:val="24"/>
        </w:rPr>
        <w:t>Public consultation and awareness sessions</w:t>
      </w:r>
      <w:r>
        <w:rPr>
          <w:rFonts w:ascii="Arial" w:eastAsia="Times New Roman" w:hAnsi="Arial" w:cs="Arial"/>
          <w:sz w:val="24"/>
          <w:szCs w:val="24"/>
        </w:rPr>
        <w:t xml:space="preserve"> and meetings</w:t>
      </w:r>
      <w:r w:rsidRPr="002F795C">
        <w:rPr>
          <w:rFonts w:ascii="Arial" w:eastAsia="Times New Roman" w:hAnsi="Arial" w:cs="Arial"/>
          <w:sz w:val="24"/>
          <w:szCs w:val="24"/>
        </w:rPr>
        <w:t>;</w:t>
      </w:r>
    </w:p>
    <w:p w:rsidR="00123ADC" w:rsidRPr="002F795C" w:rsidRDefault="00123ADC" w:rsidP="00123ADC">
      <w:pPr>
        <w:numPr>
          <w:ilvl w:val="0"/>
          <w:numId w:val="6"/>
        </w:numPr>
        <w:autoSpaceDE w:val="0"/>
        <w:autoSpaceDN w:val="0"/>
        <w:spacing w:after="0" w:line="240" w:lineRule="auto"/>
        <w:ind w:right="270"/>
        <w:jc w:val="both"/>
        <w:rPr>
          <w:rFonts w:ascii="Arial" w:eastAsia="Times New Roman" w:hAnsi="Arial" w:cs="Arial"/>
          <w:sz w:val="24"/>
          <w:szCs w:val="24"/>
        </w:rPr>
      </w:pPr>
      <w:r w:rsidRPr="002F795C">
        <w:rPr>
          <w:rFonts w:ascii="Arial" w:eastAsia="Times New Roman" w:hAnsi="Arial" w:cs="Arial"/>
          <w:sz w:val="24"/>
          <w:szCs w:val="24"/>
        </w:rPr>
        <w:t>Day to day engagement through our community liaison officers.</w:t>
      </w:r>
    </w:p>
    <w:p w:rsidR="00123ADC" w:rsidRPr="002F795C" w:rsidRDefault="00123ADC" w:rsidP="00123ADC">
      <w:pPr>
        <w:ind w:right="270"/>
        <w:jc w:val="both"/>
        <w:rPr>
          <w:rFonts w:ascii="Arial" w:hAnsi="Arial" w:cs="Arial"/>
          <w:b/>
          <w:bCs/>
          <w:sz w:val="24"/>
          <w:szCs w:val="24"/>
        </w:rPr>
      </w:pPr>
    </w:p>
    <w:p w:rsidR="00123ADC" w:rsidRPr="002F795C" w:rsidRDefault="00123ADC" w:rsidP="00123ADC">
      <w:pPr>
        <w:ind w:right="270"/>
        <w:jc w:val="both"/>
        <w:rPr>
          <w:rFonts w:ascii="Arial" w:eastAsia="Times New Roman" w:hAnsi="Arial" w:cs="Arial"/>
          <w:color w:val="000000" w:themeColor="text1"/>
          <w:sz w:val="24"/>
          <w:szCs w:val="24"/>
        </w:rPr>
      </w:pPr>
      <w:r w:rsidRPr="002F795C">
        <w:rPr>
          <w:rFonts w:ascii="Arial" w:hAnsi="Arial" w:cs="Arial"/>
          <w:color w:val="000000" w:themeColor="text1"/>
          <w:sz w:val="24"/>
          <w:szCs w:val="24"/>
        </w:rPr>
        <w:lastRenderedPageBreak/>
        <w:t xml:space="preserve">In addition, in line with the internationally recognized practice, before we start any major project we engage with stakeholders and conduct detailed environmental and social impact assessments (ESIAs) in affected areas and communities in order to be able to take all necessary action to avoid, eliminate where possible or minimize the impacts from our business.  This has </w:t>
      </w:r>
      <w:r>
        <w:rPr>
          <w:rFonts w:ascii="Arial" w:hAnsi="Arial" w:cs="Arial"/>
          <w:color w:val="000000" w:themeColor="text1"/>
          <w:sz w:val="24"/>
          <w:szCs w:val="24"/>
        </w:rPr>
        <w:t xml:space="preserve">also </w:t>
      </w:r>
      <w:r w:rsidRPr="002F795C">
        <w:rPr>
          <w:rFonts w:ascii="Arial" w:hAnsi="Arial" w:cs="Arial"/>
          <w:color w:val="000000" w:themeColor="text1"/>
          <w:sz w:val="24"/>
          <w:szCs w:val="24"/>
        </w:rPr>
        <w:t>been the case with the S</w:t>
      </w:r>
      <w:r>
        <w:rPr>
          <w:rFonts w:ascii="Arial" w:hAnsi="Arial" w:cs="Arial"/>
          <w:color w:val="000000" w:themeColor="text1"/>
          <w:sz w:val="24"/>
          <w:szCs w:val="24"/>
        </w:rPr>
        <w:t>D</w:t>
      </w:r>
      <w:r w:rsidRPr="002F795C">
        <w:rPr>
          <w:rFonts w:ascii="Arial" w:hAnsi="Arial" w:cs="Arial"/>
          <w:color w:val="000000" w:themeColor="text1"/>
          <w:sz w:val="24"/>
          <w:szCs w:val="24"/>
        </w:rPr>
        <w:t xml:space="preserve">2 and </w:t>
      </w:r>
      <w:proofErr w:type="spellStart"/>
      <w:r w:rsidRPr="002F795C">
        <w:rPr>
          <w:rFonts w:ascii="Arial" w:hAnsi="Arial" w:cs="Arial"/>
          <w:color w:val="000000" w:themeColor="text1"/>
          <w:sz w:val="24"/>
          <w:szCs w:val="24"/>
        </w:rPr>
        <w:t>S</w:t>
      </w:r>
      <w:r>
        <w:rPr>
          <w:rFonts w:ascii="Arial" w:hAnsi="Arial" w:cs="Arial"/>
          <w:color w:val="000000" w:themeColor="text1"/>
          <w:sz w:val="24"/>
          <w:szCs w:val="24"/>
        </w:rPr>
        <w:t>CPx</w:t>
      </w:r>
      <w:proofErr w:type="spellEnd"/>
      <w:r w:rsidRPr="002F795C">
        <w:rPr>
          <w:rFonts w:ascii="Arial" w:hAnsi="Arial" w:cs="Arial"/>
          <w:color w:val="000000" w:themeColor="text1"/>
          <w:sz w:val="24"/>
          <w:szCs w:val="24"/>
        </w:rPr>
        <w:t xml:space="preserve"> projects, where we started engagement and consultations with the communities well before the project</w:t>
      </w:r>
      <w:r>
        <w:rPr>
          <w:rFonts w:ascii="Arial" w:hAnsi="Arial" w:cs="Arial"/>
          <w:color w:val="000000" w:themeColor="text1"/>
          <w:sz w:val="24"/>
          <w:szCs w:val="24"/>
        </w:rPr>
        <w:t>s’</w:t>
      </w:r>
      <w:r w:rsidRPr="002F795C">
        <w:rPr>
          <w:rFonts w:ascii="Arial" w:hAnsi="Arial" w:cs="Arial"/>
          <w:color w:val="000000" w:themeColor="text1"/>
          <w:sz w:val="24"/>
          <w:szCs w:val="24"/>
        </w:rPr>
        <w:t xml:space="preserve"> early works commenced. </w:t>
      </w:r>
      <w:r>
        <w:rPr>
          <w:rFonts w:ascii="Arial" w:hAnsi="Arial" w:cs="Arial"/>
          <w:color w:val="000000" w:themeColor="text1"/>
          <w:sz w:val="24"/>
          <w:szCs w:val="24"/>
        </w:rPr>
        <w:t>Both</w:t>
      </w:r>
      <w:r w:rsidRPr="002F795C">
        <w:rPr>
          <w:rFonts w:ascii="Arial" w:hAnsi="Arial" w:cs="Arial"/>
          <w:color w:val="000000" w:themeColor="text1"/>
          <w:sz w:val="24"/>
          <w:szCs w:val="24"/>
        </w:rPr>
        <w:t xml:space="preserve"> project</w:t>
      </w:r>
      <w:r>
        <w:rPr>
          <w:rFonts w:ascii="Arial" w:hAnsi="Arial" w:cs="Arial"/>
          <w:color w:val="000000" w:themeColor="text1"/>
          <w:sz w:val="24"/>
          <w:szCs w:val="24"/>
        </w:rPr>
        <w:t>s</w:t>
      </w:r>
      <w:r w:rsidRPr="002F795C">
        <w:rPr>
          <w:rFonts w:ascii="Arial" w:hAnsi="Arial" w:cs="Arial"/>
          <w:color w:val="000000" w:themeColor="text1"/>
          <w:sz w:val="24"/>
          <w:szCs w:val="24"/>
        </w:rPr>
        <w:t xml:space="preserve"> conducted </w:t>
      </w:r>
      <w:r>
        <w:rPr>
          <w:rFonts w:ascii="Arial" w:hAnsi="Arial" w:cs="Arial"/>
          <w:color w:val="000000" w:themeColor="text1"/>
          <w:sz w:val="24"/>
          <w:szCs w:val="24"/>
        </w:rPr>
        <w:t>s</w:t>
      </w:r>
      <w:r w:rsidRPr="002F795C">
        <w:rPr>
          <w:rFonts w:ascii="Arial" w:hAnsi="Arial" w:cs="Arial"/>
          <w:color w:val="000000" w:themeColor="text1"/>
          <w:sz w:val="24"/>
          <w:szCs w:val="24"/>
        </w:rPr>
        <w:t xml:space="preserve">takeholder and </w:t>
      </w:r>
      <w:r>
        <w:rPr>
          <w:rFonts w:ascii="Arial" w:hAnsi="Arial" w:cs="Arial"/>
          <w:color w:val="000000" w:themeColor="text1"/>
          <w:sz w:val="24"/>
          <w:szCs w:val="24"/>
        </w:rPr>
        <w:t>s</w:t>
      </w:r>
      <w:r w:rsidRPr="002F795C">
        <w:rPr>
          <w:rFonts w:ascii="Arial" w:hAnsi="Arial" w:cs="Arial"/>
          <w:color w:val="000000" w:themeColor="text1"/>
          <w:sz w:val="24"/>
          <w:szCs w:val="24"/>
        </w:rPr>
        <w:t>ocio-</w:t>
      </w:r>
      <w:r>
        <w:rPr>
          <w:rFonts w:ascii="Arial" w:hAnsi="Arial" w:cs="Arial"/>
          <w:color w:val="000000" w:themeColor="text1"/>
          <w:sz w:val="24"/>
          <w:szCs w:val="24"/>
        </w:rPr>
        <w:t>e</w:t>
      </w:r>
      <w:r w:rsidRPr="002F795C">
        <w:rPr>
          <w:rFonts w:ascii="Arial" w:hAnsi="Arial" w:cs="Arial"/>
          <w:color w:val="000000" w:themeColor="text1"/>
          <w:sz w:val="24"/>
          <w:szCs w:val="24"/>
        </w:rPr>
        <w:t xml:space="preserve">conomic </w:t>
      </w:r>
      <w:r>
        <w:rPr>
          <w:rFonts w:ascii="Arial" w:hAnsi="Arial" w:cs="Arial"/>
          <w:color w:val="000000" w:themeColor="text1"/>
          <w:sz w:val="24"/>
          <w:szCs w:val="24"/>
        </w:rPr>
        <w:t>s</w:t>
      </w:r>
      <w:r w:rsidRPr="002F795C">
        <w:rPr>
          <w:rFonts w:ascii="Arial" w:hAnsi="Arial" w:cs="Arial"/>
          <w:color w:val="000000" w:themeColor="text1"/>
          <w:sz w:val="24"/>
          <w:szCs w:val="24"/>
        </w:rPr>
        <w:t>urvey</w:t>
      </w:r>
      <w:r>
        <w:rPr>
          <w:rFonts w:ascii="Arial" w:hAnsi="Arial" w:cs="Arial"/>
          <w:color w:val="000000" w:themeColor="text1"/>
          <w:sz w:val="24"/>
          <w:szCs w:val="24"/>
        </w:rPr>
        <w:t>s</w:t>
      </w:r>
      <w:r w:rsidRPr="002F795C">
        <w:rPr>
          <w:rFonts w:ascii="Arial" w:hAnsi="Arial" w:cs="Arial"/>
          <w:color w:val="000000" w:themeColor="text1"/>
          <w:sz w:val="24"/>
          <w:szCs w:val="24"/>
        </w:rPr>
        <w:t xml:space="preserve"> which i</w:t>
      </w:r>
      <w:r w:rsidRPr="002F795C">
        <w:rPr>
          <w:rFonts w:ascii="Arial" w:eastAsia="Times New Roman" w:hAnsi="Arial" w:cs="Arial"/>
          <w:color w:val="000000" w:themeColor="text1"/>
          <w:sz w:val="24"/>
          <w:szCs w:val="24"/>
        </w:rPr>
        <w:t>nformed the ESIA</w:t>
      </w:r>
      <w:r>
        <w:rPr>
          <w:rFonts w:ascii="Arial" w:eastAsia="Times New Roman" w:hAnsi="Arial" w:cs="Arial"/>
          <w:color w:val="000000" w:themeColor="text1"/>
          <w:sz w:val="24"/>
          <w:szCs w:val="24"/>
        </w:rPr>
        <w:t>s</w:t>
      </w:r>
      <w:r w:rsidRPr="002F795C">
        <w:rPr>
          <w:rFonts w:ascii="Arial" w:eastAsia="Times New Roman" w:hAnsi="Arial" w:cs="Arial"/>
          <w:color w:val="000000" w:themeColor="text1"/>
          <w:sz w:val="24"/>
          <w:szCs w:val="24"/>
        </w:rPr>
        <w:t xml:space="preserve"> and associated plans and</w:t>
      </w:r>
      <w:r w:rsidRPr="002F795C">
        <w:rPr>
          <w:rFonts w:ascii="Arial" w:hAnsi="Arial" w:cs="Arial"/>
          <w:color w:val="000000" w:themeColor="text1"/>
          <w:sz w:val="24"/>
          <w:szCs w:val="24"/>
        </w:rPr>
        <w:t xml:space="preserve"> involved household surveys, focus groups and </w:t>
      </w:r>
      <w:r w:rsidRPr="002F795C">
        <w:rPr>
          <w:rFonts w:ascii="Arial" w:eastAsia="Times New Roman" w:hAnsi="Arial" w:cs="Arial"/>
          <w:color w:val="000000" w:themeColor="text1"/>
          <w:sz w:val="24"/>
          <w:szCs w:val="24"/>
        </w:rPr>
        <w:t>interviews with key stakeholders.</w:t>
      </w:r>
    </w:p>
    <w:p w:rsidR="00123ADC" w:rsidRPr="002F795C" w:rsidRDefault="00123ADC" w:rsidP="00123ADC">
      <w:pPr>
        <w:ind w:right="270"/>
        <w:jc w:val="both"/>
        <w:rPr>
          <w:rFonts w:ascii="Arial" w:hAnsi="Arial" w:cs="Arial"/>
          <w:color w:val="000000" w:themeColor="text1"/>
          <w:sz w:val="24"/>
          <w:szCs w:val="24"/>
        </w:rPr>
      </w:pPr>
      <w:r w:rsidRPr="002F795C">
        <w:rPr>
          <w:rFonts w:ascii="Arial" w:eastAsia="Times New Roman" w:hAnsi="Arial" w:cs="Arial"/>
          <w:color w:val="000000" w:themeColor="text1"/>
          <w:sz w:val="24"/>
          <w:szCs w:val="24"/>
        </w:rPr>
        <w:t>Following the initial consultation</w:t>
      </w:r>
      <w:r>
        <w:rPr>
          <w:rFonts w:ascii="Arial" w:eastAsia="Times New Roman" w:hAnsi="Arial" w:cs="Arial"/>
          <w:color w:val="000000" w:themeColor="text1"/>
          <w:sz w:val="24"/>
          <w:szCs w:val="24"/>
        </w:rPr>
        <w:t>s</w:t>
      </w:r>
      <w:r w:rsidRPr="002F795C">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both</w:t>
      </w:r>
      <w:r w:rsidRPr="002F795C">
        <w:rPr>
          <w:rFonts w:ascii="Arial" w:eastAsia="Times New Roman" w:hAnsi="Arial" w:cs="Arial"/>
          <w:color w:val="000000" w:themeColor="text1"/>
          <w:sz w:val="24"/>
          <w:szCs w:val="24"/>
        </w:rPr>
        <w:t xml:space="preserve"> project</w:t>
      </w:r>
      <w:r>
        <w:rPr>
          <w:rFonts w:ascii="Arial" w:eastAsia="Times New Roman" w:hAnsi="Arial" w:cs="Arial"/>
          <w:color w:val="000000" w:themeColor="text1"/>
          <w:sz w:val="24"/>
          <w:szCs w:val="24"/>
        </w:rPr>
        <w:t>s</w:t>
      </w:r>
      <w:r w:rsidRPr="002F795C">
        <w:rPr>
          <w:rFonts w:ascii="Arial" w:eastAsia="Times New Roman" w:hAnsi="Arial" w:cs="Arial"/>
          <w:color w:val="000000" w:themeColor="text1"/>
          <w:sz w:val="24"/>
          <w:szCs w:val="24"/>
        </w:rPr>
        <w:t xml:space="preserve"> held ESIA disclosure meetings and regularly met with </w:t>
      </w:r>
      <w:r>
        <w:rPr>
          <w:rFonts w:ascii="Arial" w:eastAsia="Times New Roman" w:hAnsi="Arial" w:cs="Arial"/>
          <w:color w:val="000000" w:themeColor="text1"/>
          <w:sz w:val="24"/>
          <w:szCs w:val="24"/>
        </w:rPr>
        <w:t xml:space="preserve">the </w:t>
      </w:r>
      <w:proofErr w:type="spellStart"/>
      <w:r>
        <w:rPr>
          <w:rFonts w:ascii="Arial" w:eastAsia="Times New Roman" w:hAnsi="Arial" w:cs="Arial"/>
          <w:color w:val="000000" w:themeColor="text1"/>
          <w:sz w:val="24"/>
          <w:szCs w:val="24"/>
        </w:rPr>
        <w:t>neighbouring</w:t>
      </w:r>
      <w:proofErr w:type="spellEnd"/>
      <w:r>
        <w:rPr>
          <w:rFonts w:ascii="Arial" w:eastAsia="Times New Roman" w:hAnsi="Arial" w:cs="Arial"/>
          <w:color w:val="000000" w:themeColor="text1"/>
          <w:sz w:val="24"/>
          <w:szCs w:val="24"/>
        </w:rPr>
        <w:t xml:space="preserve"> </w:t>
      </w:r>
      <w:r w:rsidRPr="002F795C">
        <w:rPr>
          <w:rFonts w:ascii="Arial" w:eastAsia="Times New Roman" w:hAnsi="Arial" w:cs="Arial"/>
          <w:color w:val="000000" w:themeColor="text1"/>
          <w:sz w:val="24"/>
          <w:szCs w:val="24"/>
        </w:rPr>
        <w:t xml:space="preserve">communities to share updates on project activities and respond to questions and </w:t>
      </w:r>
      <w:r>
        <w:rPr>
          <w:rFonts w:ascii="Arial" w:eastAsia="Times New Roman" w:hAnsi="Arial" w:cs="Arial"/>
          <w:color w:val="000000" w:themeColor="text1"/>
          <w:sz w:val="24"/>
          <w:szCs w:val="24"/>
        </w:rPr>
        <w:t>concerns</w:t>
      </w:r>
      <w:r w:rsidRPr="002F795C">
        <w:rPr>
          <w:rFonts w:ascii="Arial" w:eastAsia="Times New Roman" w:hAnsi="Arial" w:cs="Arial"/>
          <w:color w:val="000000" w:themeColor="text1"/>
          <w:sz w:val="24"/>
          <w:szCs w:val="24"/>
        </w:rPr>
        <w:t xml:space="preserve">. </w:t>
      </w:r>
      <w:r w:rsidRPr="002F795C">
        <w:rPr>
          <w:rFonts w:ascii="Arial" w:hAnsi="Arial" w:cs="Arial"/>
          <w:color w:val="000000" w:themeColor="text1"/>
          <w:sz w:val="24"/>
          <w:szCs w:val="24"/>
        </w:rPr>
        <w:t xml:space="preserve">This has been in addition to the above-mentioned Project Information </w:t>
      </w:r>
      <w:proofErr w:type="spellStart"/>
      <w:r w:rsidRPr="002F795C">
        <w:rPr>
          <w:rFonts w:ascii="Arial" w:hAnsi="Arial" w:cs="Arial"/>
          <w:color w:val="000000" w:themeColor="text1"/>
          <w:sz w:val="24"/>
          <w:szCs w:val="24"/>
        </w:rPr>
        <w:t>Centres</w:t>
      </w:r>
      <w:proofErr w:type="spellEnd"/>
      <w:r w:rsidRPr="002F795C">
        <w:rPr>
          <w:rFonts w:ascii="Arial" w:hAnsi="Arial" w:cs="Arial"/>
          <w:color w:val="000000" w:themeColor="text1"/>
          <w:sz w:val="24"/>
          <w:szCs w:val="24"/>
        </w:rPr>
        <w:t xml:space="preserve"> for communities at the settlements near our facilities which have been active throughout the project implementation for liaising with local communities and addressing any concerns originating from work activities and related impacts.</w:t>
      </w:r>
      <w:r w:rsidRPr="002F795C">
        <w:rPr>
          <w:rFonts w:ascii="Arial" w:eastAsia="Times New Roman" w:hAnsi="Arial" w:cs="Arial"/>
          <w:color w:val="000000" w:themeColor="text1"/>
          <w:sz w:val="24"/>
          <w:szCs w:val="24"/>
        </w:rPr>
        <w:t xml:space="preserve"> </w:t>
      </w:r>
    </w:p>
    <w:p w:rsidR="00123ADC" w:rsidRPr="002F795C" w:rsidRDefault="00123ADC" w:rsidP="00123ADC">
      <w:pPr>
        <w:ind w:right="270"/>
        <w:jc w:val="both"/>
        <w:rPr>
          <w:rFonts w:ascii="Arial" w:hAnsi="Arial" w:cs="Arial"/>
          <w:sz w:val="24"/>
          <w:szCs w:val="24"/>
        </w:rPr>
      </w:pPr>
      <w:r w:rsidRPr="002F795C">
        <w:rPr>
          <w:rFonts w:ascii="Arial" w:hAnsi="Arial" w:cs="Arial"/>
          <w:sz w:val="24"/>
          <w:szCs w:val="24"/>
        </w:rPr>
        <w:t xml:space="preserve">The Environmental and Social Management Plans (ESMPs) of the </w:t>
      </w:r>
      <w:r>
        <w:rPr>
          <w:rFonts w:ascii="Arial" w:hAnsi="Arial" w:cs="Arial"/>
          <w:sz w:val="24"/>
          <w:szCs w:val="24"/>
        </w:rPr>
        <w:t>SD</w:t>
      </w:r>
      <w:r w:rsidRPr="002F795C">
        <w:rPr>
          <w:rFonts w:ascii="Arial" w:hAnsi="Arial" w:cs="Arial"/>
          <w:sz w:val="24"/>
          <w:szCs w:val="24"/>
        </w:rPr>
        <w:t xml:space="preserve">2 and </w:t>
      </w:r>
      <w:proofErr w:type="spellStart"/>
      <w:r>
        <w:rPr>
          <w:rFonts w:ascii="Arial" w:hAnsi="Arial" w:cs="Arial"/>
          <w:sz w:val="24"/>
          <w:szCs w:val="24"/>
        </w:rPr>
        <w:t>SCPx</w:t>
      </w:r>
      <w:proofErr w:type="spellEnd"/>
      <w:r w:rsidRPr="002F795C">
        <w:rPr>
          <w:rFonts w:ascii="Arial" w:hAnsi="Arial" w:cs="Arial"/>
          <w:sz w:val="24"/>
          <w:szCs w:val="24"/>
        </w:rPr>
        <w:t xml:space="preserve"> projects are part of the Environmental and Social Impact Assessments and are shared and discussed with the communities through the regular engagement processes.  In line with the international best practices as well as BP’s own policies and requirements</w:t>
      </w:r>
      <w:r>
        <w:rPr>
          <w:rFonts w:ascii="Arial" w:hAnsi="Arial" w:cs="Arial"/>
          <w:sz w:val="24"/>
          <w:szCs w:val="24"/>
        </w:rPr>
        <w:t>,</w:t>
      </w:r>
      <w:r w:rsidRPr="002F795C">
        <w:rPr>
          <w:rFonts w:ascii="Arial" w:hAnsi="Arial" w:cs="Arial"/>
          <w:sz w:val="24"/>
          <w:szCs w:val="24"/>
        </w:rPr>
        <w:t xml:space="preserve"> all these documents and</w:t>
      </w:r>
      <w:r>
        <w:rPr>
          <w:rFonts w:ascii="Arial" w:hAnsi="Arial" w:cs="Arial"/>
          <w:sz w:val="24"/>
          <w:szCs w:val="24"/>
        </w:rPr>
        <w:t xml:space="preserve"> </w:t>
      </w:r>
      <w:r w:rsidRPr="002F795C">
        <w:rPr>
          <w:rFonts w:ascii="Arial" w:hAnsi="Arial" w:cs="Arial"/>
          <w:sz w:val="24"/>
          <w:szCs w:val="24"/>
        </w:rPr>
        <w:t xml:space="preserve">a number of other community engagement and information disclosure plans and documents </w:t>
      </w:r>
      <w:r>
        <w:rPr>
          <w:rFonts w:ascii="Arial" w:hAnsi="Arial" w:cs="Arial"/>
          <w:sz w:val="24"/>
          <w:szCs w:val="24"/>
        </w:rPr>
        <w:t>are published</w:t>
      </w:r>
      <w:r w:rsidRPr="002F795C">
        <w:rPr>
          <w:rFonts w:ascii="Arial" w:hAnsi="Arial" w:cs="Arial"/>
          <w:sz w:val="24"/>
          <w:szCs w:val="24"/>
        </w:rPr>
        <w:t xml:space="preserve"> in both Azerbaijani and English</w:t>
      </w:r>
      <w:r>
        <w:rPr>
          <w:rFonts w:ascii="Arial" w:hAnsi="Arial" w:cs="Arial"/>
          <w:sz w:val="24"/>
          <w:szCs w:val="24"/>
        </w:rPr>
        <w:t xml:space="preserve"> (see links below):</w:t>
      </w:r>
    </w:p>
    <w:p w:rsidR="00123ADC" w:rsidRPr="002F795C" w:rsidRDefault="00123ADC" w:rsidP="00123ADC">
      <w:pPr>
        <w:ind w:right="270"/>
        <w:jc w:val="both"/>
        <w:rPr>
          <w:rFonts w:ascii="Arial" w:hAnsi="Arial" w:cs="Arial"/>
          <w:sz w:val="24"/>
          <w:szCs w:val="24"/>
        </w:rPr>
      </w:pPr>
      <w:r w:rsidRPr="002F795C">
        <w:rPr>
          <w:rFonts w:ascii="Arial" w:hAnsi="Arial" w:cs="Arial"/>
          <w:sz w:val="24"/>
          <w:szCs w:val="24"/>
        </w:rPr>
        <w:t>S</w:t>
      </w:r>
      <w:r>
        <w:rPr>
          <w:rFonts w:ascii="Arial" w:hAnsi="Arial" w:cs="Arial"/>
          <w:sz w:val="24"/>
          <w:szCs w:val="24"/>
        </w:rPr>
        <w:t>D</w:t>
      </w:r>
      <w:r w:rsidRPr="002F795C">
        <w:rPr>
          <w:rFonts w:ascii="Arial" w:hAnsi="Arial" w:cs="Arial"/>
          <w:sz w:val="24"/>
          <w:szCs w:val="24"/>
        </w:rPr>
        <w:t>2 ESIA</w:t>
      </w:r>
    </w:p>
    <w:p w:rsidR="00123ADC" w:rsidRPr="002F795C" w:rsidRDefault="0057483C" w:rsidP="00123ADC">
      <w:pPr>
        <w:ind w:right="270"/>
        <w:jc w:val="both"/>
        <w:rPr>
          <w:rFonts w:ascii="Arial" w:hAnsi="Arial" w:cs="Arial"/>
          <w:sz w:val="24"/>
          <w:szCs w:val="24"/>
        </w:rPr>
      </w:pPr>
      <w:hyperlink r:id="rId8" w:history="1">
        <w:r w:rsidR="00123ADC" w:rsidRPr="002F795C">
          <w:rPr>
            <w:rStyle w:val="a3"/>
            <w:rFonts w:ascii="Arial" w:hAnsi="Arial" w:cs="Arial"/>
            <w:sz w:val="24"/>
            <w:szCs w:val="24"/>
          </w:rPr>
          <w:t>https://www.bp.com/content/dam/bp-country/az_az/PDFs/ESIAs/SD2/SD2_14_Env_and_Soc_Mgt_Final_az.pdf</w:t>
        </w:r>
      </w:hyperlink>
    </w:p>
    <w:p w:rsidR="00123ADC" w:rsidRDefault="0057483C" w:rsidP="00123ADC">
      <w:pPr>
        <w:ind w:right="270"/>
        <w:jc w:val="both"/>
        <w:rPr>
          <w:rStyle w:val="a3"/>
          <w:rFonts w:ascii="Arial" w:hAnsi="Arial" w:cs="Arial"/>
          <w:sz w:val="24"/>
          <w:szCs w:val="24"/>
        </w:rPr>
      </w:pPr>
      <w:hyperlink r:id="rId9" w:history="1">
        <w:r w:rsidR="00123ADC" w:rsidRPr="002F795C">
          <w:rPr>
            <w:rStyle w:val="a3"/>
            <w:rFonts w:ascii="Arial" w:hAnsi="Arial" w:cs="Arial"/>
            <w:sz w:val="24"/>
            <w:szCs w:val="24"/>
          </w:rPr>
          <w:t>https://www.bp.com/content/dam/bp-country/en_az/pdf/ESIAs/SD2_Chapter_14_Env_and_Soc_Mgt.pdf</w:t>
        </w:r>
      </w:hyperlink>
    </w:p>
    <w:p w:rsidR="00123ADC" w:rsidRDefault="00123ADC" w:rsidP="00123ADC">
      <w:pPr>
        <w:ind w:right="270"/>
        <w:jc w:val="both"/>
        <w:rPr>
          <w:rFonts w:ascii="Arial" w:hAnsi="Arial" w:cs="Arial"/>
          <w:sz w:val="24"/>
          <w:szCs w:val="24"/>
        </w:rPr>
      </w:pPr>
      <w:r>
        <w:rPr>
          <w:rFonts w:ascii="Arial" w:hAnsi="Arial" w:cs="Arial"/>
          <w:sz w:val="24"/>
          <w:szCs w:val="24"/>
        </w:rPr>
        <w:t>The summary of SD2 ESMPs can also be found here:</w:t>
      </w:r>
    </w:p>
    <w:p w:rsidR="00123ADC" w:rsidRDefault="0057483C" w:rsidP="00123ADC">
      <w:pPr>
        <w:ind w:right="270"/>
        <w:jc w:val="both"/>
        <w:rPr>
          <w:rFonts w:ascii="Arial" w:hAnsi="Arial" w:cs="Arial"/>
          <w:sz w:val="24"/>
          <w:szCs w:val="24"/>
        </w:rPr>
      </w:pPr>
      <w:hyperlink r:id="rId10" w:history="1">
        <w:r w:rsidR="00123ADC" w:rsidRPr="007303AA">
          <w:rPr>
            <w:rStyle w:val="a3"/>
            <w:rFonts w:ascii="Arial" w:hAnsi="Arial" w:cs="Arial"/>
            <w:sz w:val="24"/>
            <w:szCs w:val="24"/>
          </w:rPr>
          <w:t>https://www.bp.com/content/dam/bp-country/en_az/pdf/ESIAs/SD2-ESIA/SD2_Appendix_9_Eng.pdf</w:t>
        </w:r>
      </w:hyperlink>
      <w:r w:rsidR="00123ADC">
        <w:rPr>
          <w:rFonts w:ascii="Arial" w:hAnsi="Arial" w:cs="Arial"/>
          <w:sz w:val="24"/>
          <w:szCs w:val="24"/>
        </w:rPr>
        <w:t xml:space="preserve"> </w:t>
      </w:r>
    </w:p>
    <w:p w:rsidR="00123ADC" w:rsidRPr="002F795C" w:rsidRDefault="00123ADC" w:rsidP="00123ADC">
      <w:pPr>
        <w:ind w:right="270"/>
        <w:jc w:val="both"/>
        <w:rPr>
          <w:rFonts w:ascii="Arial" w:hAnsi="Arial" w:cs="Arial"/>
          <w:sz w:val="24"/>
          <w:szCs w:val="24"/>
        </w:rPr>
      </w:pPr>
      <w:proofErr w:type="spellStart"/>
      <w:r w:rsidRPr="002F795C">
        <w:rPr>
          <w:rFonts w:ascii="Arial" w:hAnsi="Arial" w:cs="Arial"/>
          <w:sz w:val="24"/>
          <w:szCs w:val="24"/>
        </w:rPr>
        <w:t>SCPx</w:t>
      </w:r>
      <w:proofErr w:type="spellEnd"/>
      <w:r w:rsidRPr="002F795C">
        <w:rPr>
          <w:rFonts w:ascii="Arial" w:hAnsi="Arial" w:cs="Arial"/>
          <w:sz w:val="24"/>
          <w:szCs w:val="24"/>
        </w:rPr>
        <w:t xml:space="preserve"> environmental and social documents</w:t>
      </w:r>
      <w:r>
        <w:rPr>
          <w:rFonts w:ascii="Arial" w:hAnsi="Arial" w:cs="Arial"/>
          <w:sz w:val="24"/>
          <w:szCs w:val="24"/>
        </w:rPr>
        <w:t>:</w:t>
      </w:r>
    </w:p>
    <w:p w:rsidR="00123ADC" w:rsidRPr="002F795C" w:rsidRDefault="0057483C" w:rsidP="00123ADC">
      <w:pPr>
        <w:ind w:right="270"/>
        <w:jc w:val="both"/>
        <w:rPr>
          <w:rFonts w:ascii="Arial" w:hAnsi="Arial" w:cs="Arial"/>
          <w:sz w:val="24"/>
          <w:szCs w:val="24"/>
        </w:rPr>
      </w:pPr>
      <w:hyperlink r:id="rId11" w:history="1">
        <w:r w:rsidR="00123ADC" w:rsidRPr="002F795C">
          <w:rPr>
            <w:rStyle w:val="a3"/>
            <w:rFonts w:ascii="Arial" w:hAnsi="Arial" w:cs="Arial"/>
            <w:sz w:val="24"/>
            <w:szCs w:val="24"/>
          </w:rPr>
          <w:t>https://www.bp.com/en_az/caspian/sustainability/environment/env-and-social-documentation/SCP/SCPX-ESIA.html</w:t>
        </w:r>
      </w:hyperlink>
    </w:p>
    <w:p w:rsidR="00123ADC" w:rsidRPr="002F795C" w:rsidRDefault="0057483C" w:rsidP="00123ADC">
      <w:pPr>
        <w:ind w:right="270"/>
        <w:jc w:val="both"/>
        <w:rPr>
          <w:rFonts w:ascii="Arial" w:hAnsi="Arial" w:cs="Arial"/>
          <w:sz w:val="24"/>
          <w:szCs w:val="24"/>
        </w:rPr>
      </w:pPr>
      <w:hyperlink r:id="rId12" w:history="1">
        <w:r w:rsidR="00123ADC" w:rsidRPr="002F795C">
          <w:rPr>
            <w:rStyle w:val="a3"/>
            <w:rFonts w:ascii="Arial" w:hAnsi="Arial" w:cs="Arial"/>
            <w:sz w:val="24"/>
            <w:szCs w:val="24"/>
          </w:rPr>
          <w:t>https://www.bp.com/az_az/caspian/sustainability/environment1/ESIAs1/SCP/SCPX-ESIA.html</w:t>
        </w:r>
      </w:hyperlink>
    </w:p>
    <w:p w:rsidR="00123ADC" w:rsidRPr="002F795C" w:rsidRDefault="00123ADC" w:rsidP="00123ADC">
      <w:pPr>
        <w:ind w:right="270"/>
        <w:jc w:val="both"/>
        <w:rPr>
          <w:rFonts w:ascii="Arial" w:hAnsi="Arial" w:cs="Arial"/>
          <w:sz w:val="24"/>
          <w:szCs w:val="24"/>
        </w:rPr>
      </w:pPr>
      <w:proofErr w:type="spellStart"/>
      <w:r w:rsidRPr="002F795C">
        <w:rPr>
          <w:rFonts w:ascii="Arial" w:hAnsi="Arial" w:cs="Arial"/>
          <w:sz w:val="24"/>
          <w:szCs w:val="24"/>
        </w:rPr>
        <w:t>SCPx</w:t>
      </w:r>
      <w:proofErr w:type="spellEnd"/>
      <w:r w:rsidRPr="002F795C">
        <w:rPr>
          <w:rFonts w:ascii="Arial" w:hAnsi="Arial" w:cs="Arial"/>
          <w:sz w:val="24"/>
          <w:szCs w:val="24"/>
        </w:rPr>
        <w:t xml:space="preserve"> land acquisi</w:t>
      </w:r>
      <w:r>
        <w:rPr>
          <w:rFonts w:ascii="Arial" w:hAnsi="Arial" w:cs="Arial"/>
          <w:sz w:val="24"/>
          <w:szCs w:val="24"/>
        </w:rPr>
        <w:t>ti</w:t>
      </w:r>
      <w:r w:rsidRPr="002F795C">
        <w:rPr>
          <w:rFonts w:ascii="Arial" w:hAnsi="Arial" w:cs="Arial"/>
          <w:sz w:val="24"/>
          <w:szCs w:val="24"/>
        </w:rPr>
        <w:t>on and compensation guide 2015</w:t>
      </w:r>
      <w:r>
        <w:rPr>
          <w:rFonts w:ascii="Arial" w:hAnsi="Arial" w:cs="Arial"/>
          <w:sz w:val="24"/>
          <w:szCs w:val="24"/>
        </w:rPr>
        <w:t>:</w:t>
      </w:r>
    </w:p>
    <w:p w:rsidR="00123ADC" w:rsidRPr="002F795C" w:rsidRDefault="0057483C" w:rsidP="00123ADC">
      <w:pPr>
        <w:ind w:right="270"/>
        <w:jc w:val="both"/>
        <w:rPr>
          <w:rFonts w:ascii="Arial" w:hAnsi="Arial" w:cs="Arial"/>
          <w:sz w:val="24"/>
          <w:szCs w:val="24"/>
        </w:rPr>
      </w:pPr>
      <w:hyperlink r:id="rId13" w:history="1">
        <w:r w:rsidR="00123ADC" w:rsidRPr="002F795C">
          <w:rPr>
            <w:rStyle w:val="a3"/>
            <w:rFonts w:ascii="Arial" w:hAnsi="Arial" w:cs="Arial"/>
            <w:sz w:val="24"/>
            <w:szCs w:val="24"/>
          </w:rPr>
          <w:t>https://www.bp.com/content/dam/bp-country/en_az/pdf/ESIAs/SCPXESIA/GLAC%20Engl%20SCPX%20Az%20January%202015%20Eng_version%20Final_07-04-2015.pdf</w:t>
        </w:r>
      </w:hyperlink>
    </w:p>
    <w:p w:rsidR="00123ADC" w:rsidRPr="002F795C" w:rsidRDefault="0057483C" w:rsidP="00123ADC">
      <w:pPr>
        <w:ind w:right="270"/>
        <w:jc w:val="both"/>
        <w:rPr>
          <w:rFonts w:ascii="Arial" w:hAnsi="Arial" w:cs="Arial"/>
          <w:sz w:val="24"/>
          <w:szCs w:val="24"/>
        </w:rPr>
      </w:pPr>
      <w:hyperlink r:id="rId14" w:history="1">
        <w:r w:rsidR="00123ADC" w:rsidRPr="002F795C">
          <w:rPr>
            <w:rStyle w:val="a3"/>
            <w:rFonts w:ascii="Arial" w:hAnsi="Arial" w:cs="Arial"/>
            <w:sz w:val="24"/>
            <w:szCs w:val="24"/>
          </w:rPr>
          <w:t>https://www.bp.com/content/dam/bp-country/az_az/PDFs/ESIAs/SCPXESIA/00-GLAC%20SCPX%20Az%20January%202015_Azeri%20version%2007-04-2015%20(Final).pdf</w:t>
        </w:r>
      </w:hyperlink>
    </w:p>
    <w:p w:rsidR="00123ADC" w:rsidRPr="002F795C" w:rsidRDefault="00123ADC" w:rsidP="00123ADC">
      <w:pPr>
        <w:ind w:right="270"/>
        <w:jc w:val="both"/>
        <w:rPr>
          <w:rFonts w:ascii="Arial" w:hAnsi="Arial" w:cs="Arial"/>
          <w:sz w:val="24"/>
          <w:szCs w:val="24"/>
        </w:rPr>
      </w:pPr>
      <w:r w:rsidRPr="002F795C">
        <w:rPr>
          <w:rFonts w:ascii="Arial" w:hAnsi="Arial" w:cs="Arial"/>
          <w:sz w:val="24"/>
          <w:szCs w:val="24"/>
        </w:rPr>
        <w:t>Amendment to</w:t>
      </w:r>
      <w:r>
        <w:rPr>
          <w:rFonts w:ascii="Arial" w:hAnsi="Arial" w:cs="Arial"/>
          <w:sz w:val="24"/>
          <w:szCs w:val="24"/>
        </w:rPr>
        <w:t xml:space="preserve"> </w:t>
      </w:r>
      <w:proofErr w:type="spellStart"/>
      <w:r w:rsidRPr="002F795C">
        <w:rPr>
          <w:rFonts w:ascii="Arial" w:hAnsi="Arial" w:cs="Arial"/>
          <w:sz w:val="24"/>
          <w:szCs w:val="24"/>
        </w:rPr>
        <w:t>SCPx</w:t>
      </w:r>
      <w:proofErr w:type="spellEnd"/>
      <w:r w:rsidRPr="002F795C">
        <w:rPr>
          <w:rFonts w:ascii="Arial" w:hAnsi="Arial" w:cs="Arial"/>
          <w:sz w:val="24"/>
          <w:szCs w:val="24"/>
        </w:rPr>
        <w:t xml:space="preserve"> land</w:t>
      </w:r>
      <w:r>
        <w:rPr>
          <w:rFonts w:ascii="Arial" w:hAnsi="Arial" w:cs="Arial"/>
          <w:sz w:val="24"/>
          <w:szCs w:val="24"/>
        </w:rPr>
        <w:t xml:space="preserve"> </w:t>
      </w:r>
      <w:r w:rsidRPr="002F795C">
        <w:rPr>
          <w:rFonts w:ascii="Arial" w:hAnsi="Arial" w:cs="Arial"/>
          <w:sz w:val="24"/>
          <w:szCs w:val="24"/>
        </w:rPr>
        <w:t>acquisi</w:t>
      </w:r>
      <w:r>
        <w:rPr>
          <w:rFonts w:ascii="Arial" w:hAnsi="Arial" w:cs="Arial"/>
          <w:sz w:val="24"/>
          <w:szCs w:val="24"/>
        </w:rPr>
        <w:t>ti</w:t>
      </w:r>
      <w:r w:rsidRPr="002F795C">
        <w:rPr>
          <w:rFonts w:ascii="Arial" w:hAnsi="Arial" w:cs="Arial"/>
          <w:sz w:val="24"/>
          <w:szCs w:val="24"/>
        </w:rPr>
        <w:t>on</w:t>
      </w:r>
      <w:r>
        <w:rPr>
          <w:rFonts w:ascii="Arial" w:hAnsi="Arial" w:cs="Arial"/>
          <w:sz w:val="24"/>
          <w:szCs w:val="24"/>
        </w:rPr>
        <w:t xml:space="preserve"> and</w:t>
      </w:r>
      <w:r w:rsidRPr="002F795C">
        <w:rPr>
          <w:rFonts w:ascii="Arial" w:hAnsi="Arial" w:cs="Arial"/>
          <w:sz w:val="24"/>
          <w:szCs w:val="24"/>
        </w:rPr>
        <w:t xml:space="preserve"> compensation guide</w:t>
      </w:r>
      <w:r>
        <w:rPr>
          <w:rFonts w:ascii="Arial" w:hAnsi="Arial" w:cs="Arial"/>
          <w:sz w:val="24"/>
          <w:szCs w:val="24"/>
        </w:rPr>
        <w:t>:</w:t>
      </w:r>
    </w:p>
    <w:p w:rsidR="00123ADC" w:rsidRPr="002F795C" w:rsidRDefault="0057483C" w:rsidP="00123ADC">
      <w:pPr>
        <w:ind w:right="270"/>
        <w:jc w:val="both"/>
        <w:rPr>
          <w:rFonts w:ascii="Arial" w:hAnsi="Arial" w:cs="Arial"/>
          <w:sz w:val="24"/>
          <w:szCs w:val="24"/>
        </w:rPr>
      </w:pPr>
      <w:hyperlink r:id="rId15" w:history="1">
        <w:r w:rsidR="00123ADC" w:rsidRPr="002F795C">
          <w:rPr>
            <w:rStyle w:val="a3"/>
            <w:rFonts w:ascii="Arial" w:hAnsi="Arial" w:cs="Arial"/>
            <w:sz w:val="24"/>
            <w:szCs w:val="24"/>
          </w:rPr>
          <w:t>https://www.bp.com/content/dam/bp-country/az_az/PDFs/ESIAs/SCPXESIA/GLAC%20Amendment%20Az%20Azn%20P02%20Web.pdf</w:t>
        </w:r>
      </w:hyperlink>
    </w:p>
    <w:p w:rsidR="00123ADC" w:rsidRPr="002F795C" w:rsidRDefault="00123ADC" w:rsidP="00123ADC">
      <w:pPr>
        <w:pStyle w:val="a6"/>
        <w:numPr>
          <w:ilvl w:val="0"/>
          <w:numId w:val="1"/>
        </w:numPr>
        <w:shd w:val="clear" w:color="auto" w:fill="FFFFFF"/>
        <w:spacing w:before="100" w:beforeAutospacing="1"/>
        <w:ind w:right="270"/>
        <w:jc w:val="both"/>
        <w:rPr>
          <w:rFonts w:ascii="Arial" w:eastAsia="Times New Roman" w:hAnsi="Arial" w:cs="Arial"/>
          <w:b/>
          <w:bCs/>
          <w:sz w:val="24"/>
          <w:szCs w:val="24"/>
        </w:rPr>
      </w:pPr>
      <w:r w:rsidRPr="002F795C">
        <w:rPr>
          <w:rFonts w:ascii="Arial" w:eastAsia="Times New Roman" w:hAnsi="Arial" w:cs="Arial"/>
          <w:b/>
          <w:bCs/>
          <w:sz w:val="24"/>
          <w:szCs w:val="24"/>
        </w:rPr>
        <w:t>Grievance Mechanism:</w:t>
      </w:r>
    </w:p>
    <w:p w:rsidR="00123ADC" w:rsidRPr="002F795C" w:rsidRDefault="00123ADC" w:rsidP="00123ADC">
      <w:pPr>
        <w:shd w:val="clear" w:color="auto" w:fill="FFFFFF"/>
        <w:spacing w:before="100" w:beforeAutospacing="1"/>
        <w:ind w:right="270"/>
        <w:jc w:val="both"/>
        <w:rPr>
          <w:rFonts w:ascii="Arial" w:hAnsi="Arial" w:cs="Arial"/>
          <w:color w:val="000000" w:themeColor="text1"/>
          <w:sz w:val="24"/>
          <w:szCs w:val="24"/>
        </w:rPr>
      </w:pPr>
      <w:r>
        <w:rPr>
          <w:rFonts w:ascii="Arial" w:hAnsi="Arial" w:cs="Arial"/>
          <w:color w:val="000000" w:themeColor="text1"/>
          <w:sz w:val="24"/>
          <w:szCs w:val="24"/>
        </w:rPr>
        <w:t>Once again t</w:t>
      </w:r>
      <w:r w:rsidRPr="002F795C">
        <w:rPr>
          <w:rFonts w:ascii="Arial" w:hAnsi="Arial" w:cs="Arial"/>
          <w:color w:val="000000" w:themeColor="text1"/>
          <w:sz w:val="24"/>
          <w:szCs w:val="24"/>
        </w:rPr>
        <w:t xml:space="preserve">hank you for commending BP </w:t>
      </w:r>
      <w:r>
        <w:rPr>
          <w:rFonts w:ascii="Arial" w:hAnsi="Arial" w:cs="Arial"/>
          <w:color w:val="000000" w:themeColor="text1"/>
          <w:sz w:val="24"/>
          <w:szCs w:val="24"/>
        </w:rPr>
        <w:t xml:space="preserve">on the </w:t>
      </w:r>
      <w:r w:rsidRPr="002F795C">
        <w:rPr>
          <w:rFonts w:ascii="Arial" w:hAnsi="Arial" w:cs="Arial"/>
          <w:color w:val="000000" w:themeColor="text1"/>
          <w:sz w:val="24"/>
          <w:szCs w:val="24"/>
        </w:rPr>
        <w:t xml:space="preserve">grievance mechanism used in our projects and operations in Azerbaijan, and for reporting on it in our annual Sustainability Reports.  </w:t>
      </w:r>
    </w:p>
    <w:p w:rsidR="00123ADC" w:rsidRPr="002F795C" w:rsidRDefault="00123ADC" w:rsidP="00123ADC">
      <w:pPr>
        <w:shd w:val="clear" w:color="auto" w:fill="FFFFFF"/>
        <w:spacing w:before="100" w:beforeAutospacing="1"/>
        <w:ind w:right="270"/>
        <w:jc w:val="both"/>
        <w:rPr>
          <w:rFonts w:ascii="Arial" w:hAnsi="Arial" w:cs="Arial"/>
          <w:color w:val="000000"/>
          <w:sz w:val="24"/>
          <w:szCs w:val="24"/>
        </w:rPr>
      </w:pPr>
      <w:r w:rsidRPr="002F795C">
        <w:rPr>
          <w:rFonts w:ascii="Arial" w:hAnsi="Arial" w:cs="Arial"/>
          <w:color w:val="000000" w:themeColor="text1"/>
          <w:sz w:val="24"/>
          <w:szCs w:val="24"/>
        </w:rPr>
        <w:t xml:space="preserve">As a responsible operator BP has a policy, procedures and agreed processes and mechanisms in place with regard to engaging with all of its </w:t>
      </w:r>
      <w:proofErr w:type="spellStart"/>
      <w:r w:rsidRPr="002F795C">
        <w:rPr>
          <w:rFonts w:ascii="Arial" w:hAnsi="Arial" w:cs="Arial"/>
          <w:color w:val="000000" w:themeColor="text1"/>
          <w:sz w:val="24"/>
          <w:szCs w:val="24"/>
        </w:rPr>
        <w:t>neighbouring</w:t>
      </w:r>
      <w:proofErr w:type="spellEnd"/>
      <w:r w:rsidRPr="002F795C">
        <w:rPr>
          <w:rFonts w:ascii="Arial" w:hAnsi="Arial" w:cs="Arial"/>
          <w:color w:val="000000" w:themeColor="text1"/>
          <w:sz w:val="24"/>
          <w:szCs w:val="24"/>
        </w:rPr>
        <w:t xml:space="preserve"> communities</w:t>
      </w:r>
      <w:r>
        <w:rPr>
          <w:rFonts w:ascii="Arial" w:hAnsi="Arial" w:cs="Arial"/>
          <w:color w:val="000000" w:themeColor="text1"/>
          <w:sz w:val="24"/>
          <w:szCs w:val="24"/>
        </w:rPr>
        <w:t>. In Azerbaijan, BP applies these procedures and processes to our relationship</w:t>
      </w:r>
      <w:r w:rsidRPr="002F795C">
        <w:rPr>
          <w:rFonts w:ascii="Arial" w:hAnsi="Arial" w:cs="Arial"/>
          <w:color w:val="000000" w:themeColor="text1"/>
          <w:sz w:val="24"/>
          <w:szCs w:val="24"/>
        </w:rPr>
        <w:t xml:space="preserve"> with the communities close to the Sangachal terminal and along the pipeline route, responding to concerns and grievances as they arise</w:t>
      </w:r>
      <w:r>
        <w:rPr>
          <w:rFonts w:ascii="Arial" w:hAnsi="Arial" w:cs="Arial"/>
          <w:color w:val="000000"/>
          <w:sz w:val="24"/>
          <w:szCs w:val="24"/>
        </w:rPr>
        <w:t>.</w:t>
      </w:r>
      <w:r w:rsidRPr="002F795C">
        <w:rPr>
          <w:rFonts w:ascii="Arial" w:hAnsi="Arial" w:cs="Arial"/>
          <w:color w:val="000000"/>
          <w:sz w:val="24"/>
          <w:szCs w:val="24"/>
        </w:rPr>
        <w:t xml:space="preserve"> </w:t>
      </w:r>
    </w:p>
    <w:p w:rsidR="00123ADC" w:rsidRPr="002F795C" w:rsidRDefault="00123ADC" w:rsidP="00123ADC">
      <w:pPr>
        <w:ind w:right="270"/>
        <w:jc w:val="both"/>
        <w:rPr>
          <w:rFonts w:ascii="Arial" w:hAnsi="Arial" w:cs="Arial"/>
          <w:sz w:val="24"/>
          <w:szCs w:val="24"/>
        </w:rPr>
      </w:pPr>
      <w:r w:rsidRPr="002F795C">
        <w:rPr>
          <w:rFonts w:ascii="Arial" w:hAnsi="Arial" w:cs="Arial"/>
          <w:sz w:val="24"/>
          <w:szCs w:val="24"/>
        </w:rPr>
        <w:t>We have an established grievance resolution mechanism</w:t>
      </w:r>
      <w:r>
        <w:rPr>
          <w:rFonts w:ascii="Arial" w:hAnsi="Arial" w:cs="Arial"/>
          <w:sz w:val="24"/>
          <w:szCs w:val="24"/>
        </w:rPr>
        <w:t>, which is available to third parties to raise concerns, including</w:t>
      </w:r>
      <w:r w:rsidRPr="002F795C">
        <w:rPr>
          <w:rFonts w:ascii="Arial" w:hAnsi="Arial" w:cs="Arial"/>
          <w:sz w:val="24"/>
          <w:szCs w:val="24"/>
        </w:rPr>
        <w:t xml:space="preserve"> communities living in our </w:t>
      </w:r>
      <w:proofErr w:type="spellStart"/>
      <w:r w:rsidRPr="002F795C">
        <w:rPr>
          <w:rFonts w:ascii="Arial" w:hAnsi="Arial" w:cs="Arial"/>
          <w:sz w:val="24"/>
          <w:szCs w:val="24"/>
        </w:rPr>
        <w:t>neighbourhood</w:t>
      </w:r>
      <w:proofErr w:type="spellEnd"/>
      <w:r w:rsidRPr="002F795C">
        <w:rPr>
          <w:rFonts w:ascii="Arial" w:hAnsi="Arial" w:cs="Arial"/>
          <w:sz w:val="24"/>
          <w:szCs w:val="24"/>
        </w:rPr>
        <w:t xml:space="preserve">. Our policy is to register and acknowledge community grievances within seven days, and </w:t>
      </w:r>
      <w:r>
        <w:rPr>
          <w:rFonts w:ascii="Arial" w:hAnsi="Arial" w:cs="Arial"/>
          <w:sz w:val="24"/>
          <w:szCs w:val="24"/>
        </w:rPr>
        <w:t>answer</w:t>
      </w:r>
      <w:r w:rsidRPr="002F795C">
        <w:rPr>
          <w:rFonts w:ascii="Arial" w:hAnsi="Arial" w:cs="Arial"/>
          <w:sz w:val="24"/>
          <w:szCs w:val="24"/>
        </w:rPr>
        <w:t xml:space="preserve"> them within 30 days. The registration and response to community grievances and requests are managed by our community liaison officers whose job is to engage with the communities on a day-to-day basis.  This has enabled both parties to constructively address concerns and resolve disagreements helping maintain open dialogues and build strong, mutually beneficial working relationships.  </w:t>
      </w:r>
    </w:p>
    <w:p w:rsidR="0010707D" w:rsidRDefault="0010707D" w:rsidP="0010707D">
      <w:pPr>
        <w:ind w:right="270"/>
        <w:jc w:val="both"/>
        <w:rPr>
          <w:rFonts w:ascii="Arial" w:hAnsi="Arial" w:cs="Arial"/>
          <w:sz w:val="24"/>
          <w:szCs w:val="24"/>
        </w:rPr>
      </w:pPr>
      <w:r w:rsidRPr="002F795C">
        <w:rPr>
          <w:rFonts w:ascii="Arial" w:hAnsi="Arial" w:cs="Arial"/>
          <w:color w:val="000000" w:themeColor="text1"/>
          <w:sz w:val="24"/>
          <w:szCs w:val="24"/>
        </w:rPr>
        <w:t>During the four-year construction period, the S</w:t>
      </w:r>
      <w:r>
        <w:rPr>
          <w:rFonts w:ascii="Arial" w:hAnsi="Arial" w:cs="Arial"/>
          <w:color w:val="000000" w:themeColor="text1"/>
          <w:sz w:val="24"/>
          <w:szCs w:val="24"/>
        </w:rPr>
        <w:t>D</w:t>
      </w:r>
      <w:r w:rsidRPr="002F795C">
        <w:rPr>
          <w:rFonts w:ascii="Arial" w:hAnsi="Arial" w:cs="Arial"/>
          <w:color w:val="000000" w:themeColor="text1"/>
          <w:sz w:val="24"/>
          <w:szCs w:val="24"/>
        </w:rPr>
        <w:t xml:space="preserve">2 and </w:t>
      </w:r>
      <w:proofErr w:type="spellStart"/>
      <w:r w:rsidRPr="002F795C">
        <w:rPr>
          <w:rFonts w:ascii="Arial" w:hAnsi="Arial" w:cs="Arial"/>
          <w:color w:val="000000" w:themeColor="text1"/>
          <w:sz w:val="24"/>
          <w:szCs w:val="24"/>
        </w:rPr>
        <w:t>S</w:t>
      </w:r>
      <w:r>
        <w:rPr>
          <w:rFonts w:ascii="Arial" w:hAnsi="Arial" w:cs="Arial"/>
          <w:color w:val="000000" w:themeColor="text1"/>
          <w:sz w:val="24"/>
          <w:szCs w:val="24"/>
        </w:rPr>
        <w:t>CPx</w:t>
      </w:r>
      <w:proofErr w:type="spellEnd"/>
      <w:r w:rsidRPr="002F795C">
        <w:rPr>
          <w:rFonts w:ascii="Arial" w:hAnsi="Arial" w:cs="Arial"/>
          <w:color w:val="000000" w:themeColor="text1"/>
          <w:sz w:val="24"/>
          <w:szCs w:val="24"/>
        </w:rPr>
        <w:t xml:space="preserve"> </w:t>
      </w:r>
      <w:r w:rsidRPr="002F795C">
        <w:rPr>
          <w:rFonts w:ascii="Arial" w:hAnsi="Arial" w:cs="Arial"/>
          <w:sz w:val="24"/>
          <w:szCs w:val="24"/>
        </w:rPr>
        <w:t xml:space="preserve">projects received </w:t>
      </w:r>
      <w:r>
        <w:rPr>
          <w:rFonts w:ascii="Arial" w:hAnsi="Arial" w:cs="Arial"/>
          <w:sz w:val="24"/>
          <w:szCs w:val="24"/>
        </w:rPr>
        <w:t xml:space="preserve">a total of </w:t>
      </w:r>
      <w:r w:rsidRPr="002F795C">
        <w:rPr>
          <w:rFonts w:ascii="Arial" w:hAnsi="Arial" w:cs="Arial"/>
          <w:sz w:val="24"/>
          <w:szCs w:val="24"/>
        </w:rPr>
        <w:t>978 complaints</w:t>
      </w:r>
      <w:r w:rsidRPr="003540AF">
        <w:rPr>
          <w:rFonts w:ascii="Arial" w:hAnsi="Arial" w:cs="Arial"/>
          <w:sz w:val="24"/>
          <w:szCs w:val="24"/>
        </w:rPr>
        <w:t xml:space="preserve"> </w:t>
      </w:r>
      <w:r>
        <w:rPr>
          <w:rFonts w:ascii="Arial" w:hAnsi="Arial" w:cs="Arial"/>
          <w:sz w:val="24"/>
          <w:szCs w:val="24"/>
        </w:rPr>
        <w:t>within the grievance mechanism</w:t>
      </w:r>
      <w:r w:rsidRPr="002F795C">
        <w:rPr>
          <w:rFonts w:ascii="Arial" w:hAnsi="Arial" w:cs="Arial"/>
          <w:sz w:val="24"/>
          <w:szCs w:val="24"/>
        </w:rPr>
        <w:t xml:space="preserve">. Most of the complaints were related to crop compensation, property damage, land compensation, land boundaries and ownership. All complaints were taken seriously and properly </w:t>
      </w:r>
      <w:r>
        <w:rPr>
          <w:rFonts w:ascii="Arial" w:hAnsi="Arial" w:cs="Arial"/>
          <w:sz w:val="24"/>
          <w:szCs w:val="24"/>
        </w:rPr>
        <w:t xml:space="preserve">answered </w:t>
      </w:r>
      <w:r w:rsidRPr="002F795C">
        <w:rPr>
          <w:rFonts w:ascii="Arial" w:hAnsi="Arial" w:cs="Arial"/>
          <w:sz w:val="24"/>
          <w:szCs w:val="24"/>
        </w:rPr>
        <w:t xml:space="preserve">in line with our approved mechanism and processes. As a result, all complaints </w:t>
      </w:r>
      <w:r>
        <w:rPr>
          <w:rFonts w:ascii="Arial" w:hAnsi="Arial" w:cs="Arial"/>
          <w:sz w:val="24"/>
          <w:szCs w:val="24"/>
        </w:rPr>
        <w:t>submitted within our grievance mechanism</w:t>
      </w:r>
      <w:r w:rsidRPr="002F795C">
        <w:rPr>
          <w:rFonts w:ascii="Arial" w:hAnsi="Arial" w:cs="Arial"/>
          <w:sz w:val="24"/>
          <w:szCs w:val="24"/>
        </w:rPr>
        <w:t xml:space="preserve"> have </w:t>
      </w:r>
      <w:r>
        <w:rPr>
          <w:rFonts w:ascii="Arial" w:hAnsi="Arial" w:cs="Arial"/>
          <w:sz w:val="24"/>
          <w:szCs w:val="24"/>
        </w:rPr>
        <w:t xml:space="preserve">now </w:t>
      </w:r>
      <w:r w:rsidRPr="002F795C">
        <w:rPr>
          <w:rFonts w:ascii="Arial" w:hAnsi="Arial" w:cs="Arial"/>
          <w:sz w:val="24"/>
          <w:szCs w:val="24"/>
        </w:rPr>
        <w:t xml:space="preserve">been closed.  </w:t>
      </w:r>
    </w:p>
    <w:p w:rsidR="00123ADC" w:rsidRDefault="00123ADC" w:rsidP="00123ADC">
      <w:pPr>
        <w:ind w:right="270"/>
        <w:jc w:val="both"/>
        <w:rPr>
          <w:rFonts w:ascii="Arial" w:hAnsi="Arial" w:cs="Arial"/>
          <w:sz w:val="24"/>
          <w:szCs w:val="24"/>
        </w:rPr>
      </w:pPr>
      <w:r>
        <w:rPr>
          <w:rFonts w:ascii="Arial" w:hAnsi="Arial" w:cs="Arial"/>
          <w:sz w:val="24"/>
          <w:szCs w:val="24"/>
        </w:rPr>
        <w:t>In conclusion, we would like to add that we are unaware of any</w:t>
      </w:r>
      <w:r w:rsidRPr="005F03D9">
        <w:t xml:space="preserve"> </w:t>
      </w:r>
      <w:r w:rsidRPr="005F03D9">
        <w:rPr>
          <w:rFonts w:ascii="Arial" w:hAnsi="Arial" w:cs="Arial"/>
          <w:sz w:val="24"/>
          <w:szCs w:val="24"/>
        </w:rPr>
        <w:t xml:space="preserve">complaint filed </w:t>
      </w:r>
      <w:r>
        <w:rPr>
          <w:rFonts w:ascii="Arial" w:hAnsi="Arial" w:cs="Arial"/>
          <w:sz w:val="24"/>
          <w:szCs w:val="24"/>
        </w:rPr>
        <w:t xml:space="preserve">by </w:t>
      </w:r>
      <w:r w:rsidRPr="005F03D9">
        <w:rPr>
          <w:rFonts w:ascii="Arial" w:hAnsi="Arial" w:cs="Arial"/>
          <w:sz w:val="24"/>
          <w:szCs w:val="24"/>
        </w:rPr>
        <w:t>Crude Accountability with the EBRD Accountability Mechanism on the S</w:t>
      </w:r>
      <w:r>
        <w:rPr>
          <w:rFonts w:ascii="Arial" w:hAnsi="Arial" w:cs="Arial"/>
          <w:sz w:val="24"/>
          <w:szCs w:val="24"/>
        </w:rPr>
        <w:t>D2</w:t>
      </w:r>
      <w:r w:rsidRPr="005F03D9">
        <w:rPr>
          <w:rFonts w:ascii="Arial" w:hAnsi="Arial" w:cs="Arial"/>
          <w:sz w:val="24"/>
          <w:szCs w:val="24"/>
        </w:rPr>
        <w:t xml:space="preserve"> project</w:t>
      </w:r>
      <w:r>
        <w:rPr>
          <w:rFonts w:ascii="Arial" w:hAnsi="Arial" w:cs="Arial"/>
          <w:sz w:val="24"/>
          <w:szCs w:val="24"/>
        </w:rPr>
        <w:t xml:space="preserve">.  However, we welcome the process to transparently and constructively address questions and concerns related to our projects and operations. We remain ready to </w:t>
      </w:r>
      <w:r>
        <w:rPr>
          <w:rFonts w:ascii="Arial" w:hAnsi="Arial" w:cs="Arial"/>
          <w:sz w:val="24"/>
          <w:szCs w:val="24"/>
        </w:rPr>
        <w:lastRenderedPageBreak/>
        <w:t>work with all parties, together deal with their concerns, discuss any issues raised and address them in line with the internationally recognized as well as BP Group approved standards, procedures and processes.</w:t>
      </w:r>
    </w:p>
    <w:p w:rsidR="00123ADC" w:rsidRDefault="00123ADC" w:rsidP="00123ADC">
      <w:pPr>
        <w:ind w:right="270"/>
        <w:jc w:val="both"/>
        <w:rPr>
          <w:rFonts w:ascii="Arial" w:hAnsi="Arial" w:cs="Arial"/>
          <w:sz w:val="24"/>
          <w:szCs w:val="24"/>
        </w:rPr>
      </w:pPr>
      <w:r>
        <w:rPr>
          <w:rFonts w:ascii="Arial" w:hAnsi="Arial" w:cs="Arial"/>
          <w:sz w:val="24"/>
          <w:szCs w:val="24"/>
        </w:rPr>
        <w:t xml:space="preserve">We would also like to thank Crude Accountability for closely following our environmental and social performance during the implementation of the SD2 and SCPX </w:t>
      </w:r>
      <w:r w:rsidRPr="00C32148">
        <w:rPr>
          <w:rFonts w:ascii="Arial" w:hAnsi="Arial" w:cs="Arial"/>
          <w:sz w:val="24"/>
          <w:szCs w:val="24"/>
        </w:rPr>
        <w:t xml:space="preserve">projects </w:t>
      </w:r>
      <w:r>
        <w:rPr>
          <w:rFonts w:ascii="Arial" w:hAnsi="Arial" w:cs="Arial"/>
          <w:sz w:val="24"/>
          <w:szCs w:val="24"/>
        </w:rPr>
        <w:t>and remain ready to meet with them in Azerbaijan to discuss any outstanding question they may have with regard to our projects.</w:t>
      </w:r>
      <w:r w:rsidRPr="00C32148">
        <w:rPr>
          <w:rFonts w:ascii="Arial" w:hAnsi="Arial" w:cs="Arial"/>
          <w:sz w:val="24"/>
          <w:szCs w:val="24"/>
        </w:rPr>
        <w:t xml:space="preserve">   </w:t>
      </w:r>
    </w:p>
    <w:p w:rsidR="00123ADC" w:rsidRPr="00FF41D8" w:rsidRDefault="00123ADC" w:rsidP="00123ADC">
      <w:pPr>
        <w:ind w:right="270"/>
        <w:jc w:val="both"/>
        <w:rPr>
          <w:rFonts w:ascii="Arial" w:hAnsi="Arial" w:cs="Arial"/>
          <w:bCs/>
          <w:sz w:val="24"/>
          <w:szCs w:val="24"/>
        </w:rPr>
      </w:pPr>
    </w:p>
    <w:p w:rsidR="00FF41D8" w:rsidRDefault="00FF41D8" w:rsidP="00123ADC">
      <w:pPr>
        <w:ind w:right="270"/>
        <w:jc w:val="both"/>
        <w:rPr>
          <w:rFonts w:ascii="Arial" w:hAnsi="Arial" w:cs="Arial"/>
          <w:bCs/>
          <w:sz w:val="24"/>
          <w:szCs w:val="24"/>
        </w:rPr>
      </w:pPr>
      <w:r w:rsidRPr="00FF41D8">
        <w:rPr>
          <w:rFonts w:ascii="Arial" w:hAnsi="Arial" w:cs="Arial"/>
          <w:bCs/>
          <w:sz w:val="24"/>
          <w:szCs w:val="24"/>
        </w:rPr>
        <w:t>Yours Sincerely</w:t>
      </w:r>
    </w:p>
    <w:p w:rsidR="0064356A" w:rsidRDefault="0064356A" w:rsidP="0064356A">
      <w:pPr>
        <w:rPr>
          <w:rFonts w:ascii="Arial" w:hAnsi="Arial"/>
          <w:sz w:val="24"/>
        </w:rPr>
      </w:pPr>
    </w:p>
    <w:tbl>
      <w:tblPr>
        <w:tblW w:w="0" w:type="auto"/>
        <w:tblCellMar>
          <w:left w:w="0" w:type="dxa"/>
          <w:right w:w="0" w:type="dxa"/>
        </w:tblCellMar>
        <w:tblLook w:val="04A0"/>
      </w:tblPr>
      <w:tblGrid>
        <w:gridCol w:w="1485"/>
        <w:gridCol w:w="8105"/>
      </w:tblGrid>
      <w:tr w:rsidR="0064356A" w:rsidTr="0064356A">
        <w:trPr>
          <w:trHeight w:val="1595"/>
        </w:trPr>
        <w:tc>
          <w:tcPr>
            <w:tcW w:w="2183" w:type="dxa"/>
            <w:tcMar>
              <w:top w:w="0" w:type="dxa"/>
              <w:left w:w="115" w:type="dxa"/>
              <w:bottom w:w="0" w:type="dxa"/>
              <w:right w:w="115" w:type="dxa"/>
            </w:tcMar>
            <w:hideMark/>
          </w:tcPr>
          <w:p w:rsidR="0064356A" w:rsidRDefault="0064356A">
            <w:pPr>
              <w:rPr>
                <w:rFonts w:eastAsiaTheme="minorEastAsia"/>
                <w:noProof/>
                <w:color w:val="1F497D"/>
              </w:rPr>
            </w:pPr>
          </w:p>
        </w:tc>
        <w:tc>
          <w:tcPr>
            <w:tcW w:w="11347" w:type="dxa"/>
            <w:tcMar>
              <w:top w:w="72" w:type="dxa"/>
              <w:left w:w="115" w:type="dxa"/>
              <w:bottom w:w="72" w:type="dxa"/>
              <w:right w:w="115" w:type="dxa"/>
            </w:tcMar>
          </w:tcPr>
          <w:p w:rsidR="0064356A" w:rsidRDefault="0064356A">
            <w:pPr>
              <w:autoSpaceDE w:val="0"/>
              <w:autoSpaceDN w:val="0"/>
              <w:rPr>
                <w:rFonts w:ascii="Arial" w:eastAsiaTheme="minorEastAsia" w:hAnsi="Arial" w:cs="Arial"/>
                <w:b/>
                <w:bCs/>
                <w:noProof/>
                <w:color w:val="000000"/>
                <w:lang w:val="en-GB"/>
              </w:rPr>
            </w:pPr>
            <w:r>
              <w:rPr>
                <w:rFonts w:ascii="Arial" w:eastAsiaTheme="minorEastAsia" w:hAnsi="Arial" w:cs="Arial"/>
                <w:b/>
                <w:bCs/>
                <w:noProof/>
                <w:color w:val="000000"/>
                <w:lang w:val="en-GB"/>
              </w:rPr>
              <w:t>Tamam Bayatly</w:t>
            </w:r>
          </w:p>
          <w:p w:rsidR="0064356A" w:rsidRDefault="0064356A">
            <w:pPr>
              <w:autoSpaceDE w:val="0"/>
              <w:autoSpaceDN w:val="0"/>
              <w:rPr>
                <w:rFonts w:ascii="Arial" w:eastAsiaTheme="minorEastAsia" w:hAnsi="Arial" w:cs="Arial"/>
                <w:noProof/>
                <w:color w:val="000000"/>
                <w:lang w:val="en-GB"/>
              </w:rPr>
            </w:pPr>
            <w:r>
              <w:rPr>
                <w:rFonts w:ascii="Arial" w:eastAsiaTheme="minorEastAsia" w:hAnsi="Arial" w:cs="Arial"/>
                <w:noProof/>
                <w:color w:val="000000"/>
                <w:lang w:val="en-GB"/>
              </w:rPr>
              <w:t>Communications Manager, Communications and External Affairs</w:t>
            </w:r>
          </w:p>
          <w:p w:rsidR="0064356A" w:rsidRDefault="0064356A">
            <w:pPr>
              <w:autoSpaceDE w:val="0"/>
              <w:autoSpaceDN w:val="0"/>
              <w:rPr>
                <w:rFonts w:ascii="Arial" w:eastAsiaTheme="minorEastAsia" w:hAnsi="Arial" w:cs="Arial"/>
                <w:noProof/>
                <w:color w:val="000000"/>
                <w:sz w:val="20"/>
                <w:szCs w:val="20"/>
                <w:lang w:val="en-GB"/>
              </w:rPr>
            </w:pPr>
            <w:r>
              <w:rPr>
                <w:rFonts w:ascii="Arial" w:eastAsiaTheme="minorEastAsia" w:hAnsi="Arial" w:cs="Arial"/>
                <w:noProof/>
                <w:color w:val="000000"/>
                <w:lang w:val="en-GB"/>
              </w:rPr>
              <w:t>BP Azerbaijan-Georgia-Turkey Region</w:t>
            </w:r>
          </w:p>
          <w:p w:rsidR="0064356A" w:rsidRDefault="0064356A">
            <w:pPr>
              <w:autoSpaceDE w:val="0"/>
              <w:autoSpaceDN w:val="0"/>
              <w:rPr>
                <w:rFonts w:ascii="Arial" w:eastAsiaTheme="minorEastAsia" w:hAnsi="Arial" w:cs="Arial"/>
                <w:noProof/>
                <w:color w:val="808080"/>
                <w:sz w:val="20"/>
                <w:szCs w:val="20"/>
                <w:lang w:val="en-GB"/>
              </w:rPr>
            </w:pPr>
          </w:p>
          <w:p w:rsidR="0064356A" w:rsidRDefault="0064356A">
            <w:pPr>
              <w:autoSpaceDE w:val="0"/>
              <w:autoSpaceDN w:val="0"/>
              <w:rPr>
                <w:rFonts w:ascii="Arial" w:eastAsiaTheme="minorEastAsia" w:hAnsi="Arial" w:cs="Arial"/>
                <w:noProof/>
                <w:color w:val="808080"/>
                <w:sz w:val="20"/>
                <w:szCs w:val="20"/>
                <w:lang w:val="en-GB"/>
              </w:rPr>
            </w:pPr>
            <w:r>
              <w:rPr>
                <w:rFonts w:ascii="Arial" w:eastAsiaTheme="minorEastAsia" w:hAnsi="Arial" w:cs="Arial"/>
                <w:noProof/>
                <w:color w:val="808080"/>
                <w:sz w:val="20"/>
                <w:szCs w:val="20"/>
                <w:lang w:val="en-GB"/>
              </w:rPr>
              <w:t xml:space="preserve">Tel: +99412 525 5895  |  Mobile: +99455 422 3469 </w:t>
            </w:r>
          </w:p>
          <w:p w:rsidR="0064356A" w:rsidRDefault="0064356A">
            <w:pPr>
              <w:autoSpaceDE w:val="0"/>
              <w:autoSpaceDN w:val="0"/>
              <w:rPr>
                <w:rFonts w:ascii="Arial" w:eastAsiaTheme="minorEastAsia" w:hAnsi="Arial" w:cs="Arial"/>
                <w:noProof/>
                <w:color w:val="808080"/>
                <w:sz w:val="20"/>
                <w:szCs w:val="20"/>
                <w:lang w:val="en-GB"/>
              </w:rPr>
            </w:pPr>
            <w:r>
              <w:rPr>
                <w:rFonts w:ascii="Arial" w:eastAsiaTheme="minorEastAsia" w:hAnsi="Arial" w:cs="Arial"/>
                <w:noProof/>
                <w:color w:val="808080"/>
                <w:sz w:val="20"/>
                <w:szCs w:val="20"/>
                <w:lang w:val="en-GB"/>
              </w:rPr>
              <w:t xml:space="preserve">E-mail: </w:t>
            </w:r>
            <w:hyperlink r:id="rId16" w:history="1">
              <w:r>
                <w:rPr>
                  <w:rStyle w:val="a3"/>
                  <w:rFonts w:ascii="Arial" w:eastAsiaTheme="minorEastAsia" w:hAnsi="Arial" w:cs="Arial"/>
                  <w:noProof/>
                </w:rPr>
                <w:t>bayatltf@bp.com</w:t>
              </w:r>
            </w:hyperlink>
            <w:r>
              <w:rPr>
                <w:rFonts w:ascii="Arial" w:eastAsiaTheme="minorEastAsia" w:hAnsi="Arial" w:cs="Arial"/>
                <w:noProof/>
                <w:color w:val="808080"/>
                <w:sz w:val="20"/>
                <w:szCs w:val="20"/>
                <w:lang w:val="en-GB"/>
              </w:rPr>
              <w:t xml:space="preserve"> | Website: </w:t>
            </w:r>
            <w:hyperlink r:id="rId17" w:history="1">
              <w:r>
                <w:rPr>
                  <w:rStyle w:val="a3"/>
                  <w:rFonts w:ascii="Arial" w:eastAsiaTheme="minorEastAsia" w:hAnsi="Arial" w:cs="Arial"/>
                  <w:noProof/>
                </w:rPr>
                <w:t>www.bp.com/caspian</w:t>
              </w:r>
            </w:hyperlink>
          </w:p>
          <w:p w:rsidR="0064356A" w:rsidRDefault="0064356A">
            <w:pPr>
              <w:autoSpaceDE w:val="0"/>
              <w:autoSpaceDN w:val="0"/>
              <w:rPr>
                <w:rFonts w:ascii="Arial" w:eastAsiaTheme="minorEastAsia" w:hAnsi="Arial" w:cs="Arial"/>
                <w:noProof/>
                <w:color w:val="808080"/>
                <w:sz w:val="20"/>
                <w:szCs w:val="20"/>
                <w:lang w:val="en-GB"/>
              </w:rPr>
            </w:pPr>
          </w:p>
          <w:p w:rsidR="0064356A" w:rsidRDefault="0064356A">
            <w:pPr>
              <w:rPr>
                <w:rFonts w:ascii="Calibri" w:eastAsiaTheme="minorEastAsia" w:hAnsi="Calibri" w:cs="Calibri"/>
                <w:noProof/>
                <w:color w:val="1F497D"/>
                <w:sz w:val="16"/>
                <w:szCs w:val="16"/>
              </w:rPr>
            </w:pPr>
            <w:r>
              <w:rPr>
                <w:rFonts w:ascii="Arial" w:eastAsiaTheme="minorEastAsia" w:hAnsi="Arial" w:cs="Arial"/>
                <w:noProof/>
                <w:color w:val="BFBFBF"/>
                <w:sz w:val="16"/>
                <w:szCs w:val="16"/>
              </w:rPr>
              <w:t>BP Exploration (Caspian Sea) Limited</w:t>
            </w:r>
            <w:r>
              <w:rPr>
                <w:rFonts w:ascii="Arial" w:eastAsiaTheme="minorEastAsia" w:hAnsi="Arial" w:cs="Arial"/>
                <w:noProof/>
                <w:color w:val="BFBFBF"/>
                <w:sz w:val="16"/>
                <w:szCs w:val="16"/>
              </w:rPr>
              <w:br/>
              <w:t>Registered Office: Chertsey Road, Sunbury, Middx TW16 7BP, United Kingdom. Registered in England, no. 00404347</w:t>
            </w:r>
            <w:r>
              <w:rPr>
                <w:rFonts w:ascii="Arial" w:eastAsiaTheme="minorEastAsia" w:hAnsi="Arial" w:cs="Arial"/>
                <w:noProof/>
                <w:color w:val="BFBFBF"/>
                <w:sz w:val="16"/>
                <w:szCs w:val="16"/>
              </w:rPr>
              <w:br/>
              <w:t>Representative Office, 153, Neftchilar ave., Port Baku, North Tower (Xazar Centre), AZ1010 , Baku, Azerbaijan. Azerbaijan Tax ID no. 9900070211</w:t>
            </w:r>
          </w:p>
        </w:tc>
      </w:tr>
    </w:tbl>
    <w:p w:rsidR="00FF41D8" w:rsidRPr="00FF41D8" w:rsidRDefault="00FF41D8" w:rsidP="00123ADC">
      <w:pPr>
        <w:ind w:right="270"/>
        <w:jc w:val="both"/>
        <w:rPr>
          <w:rFonts w:ascii="Arial" w:hAnsi="Arial" w:cs="Arial"/>
          <w:bCs/>
          <w:sz w:val="24"/>
          <w:szCs w:val="24"/>
        </w:rPr>
      </w:pPr>
    </w:p>
    <w:p w:rsidR="00D46710" w:rsidRPr="00123ADC" w:rsidRDefault="00D46710" w:rsidP="00123ADC"/>
    <w:sectPr w:rsidR="00D46710" w:rsidRPr="00123ADC" w:rsidSect="005748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88" w:rsidRDefault="00D46B88" w:rsidP="00E97889">
      <w:pPr>
        <w:spacing w:after="0" w:line="240" w:lineRule="auto"/>
      </w:pPr>
      <w:r>
        <w:separator/>
      </w:r>
    </w:p>
  </w:endnote>
  <w:endnote w:type="continuationSeparator" w:id="0">
    <w:p w:rsidR="00D46B88" w:rsidRDefault="00D46B88" w:rsidP="00E97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88" w:rsidRDefault="00D46B88" w:rsidP="00E97889">
      <w:pPr>
        <w:spacing w:after="0" w:line="240" w:lineRule="auto"/>
      </w:pPr>
      <w:r>
        <w:separator/>
      </w:r>
    </w:p>
  </w:footnote>
  <w:footnote w:type="continuationSeparator" w:id="0">
    <w:p w:rsidR="00D46B88" w:rsidRDefault="00D46B88" w:rsidP="00E97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9F0"/>
    <w:multiLevelType w:val="hybridMultilevel"/>
    <w:tmpl w:val="C7B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341C18"/>
    <w:multiLevelType w:val="hybridMultilevel"/>
    <w:tmpl w:val="A4724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FD7D6F"/>
    <w:multiLevelType w:val="hybridMultilevel"/>
    <w:tmpl w:val="CBB4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96269"/>
    <w:multiLevelType w:val="hybridMultilevel"/>
    <w:tmpl w:val="2362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07138C"/>
    <w:multiLevelType w:val="hybridMultilevel"/>
    <w:tmpl w:val="49F840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8037BC3"/>
    <w:multiLevelType w:val="hybridMultilevel"/>
    <w:tmpl w:val="67C67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E1F61B4"/>
    <w:multiLevelType w:val="hybridMultilevel"/>
    <w:tmpl w:val="1740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3367F"/>
    <w:rsid w:val="00015FFD"/>
    <w:rsid w:val="0003001C"/>
    <w:rsid w:val="0003367F"/>
    <w:rsid w:val="00040BB9"/>
    <w:rsid w:val="00051B79"/>
    <w:rsid w:val="000573B7"/>
    <w:rsid w:val="00072A1A"/>
    <w:rsid w:val="000779B2"/>
    <w:rsid w:val="000804B9"/>
    <w:rsid w:val="000819DC"/>
    <w:rsid w:val="00081F7E"/>
    <w:rsid w:val="000A6254"/>
    <w:rsid w:val="000C056A"/>
    <w:rsid w:val="000C126F"/>
    <w:rsid w:val="000C34A1"/>
    <w:rsid w:val="000D0D31"/>
    <w:rsid w:val="000D5A7D"/>
    <w:rsid w:val="000F5263"/>
    <w:rsid w:val="0010707D"/>
    <w:rsid w:val="00111DBB"/>
    <w:rsid w:val="00123ADC"/>
    <w:rsid w:val="001627F1"/>
    <w:rsid w:val="00163458"/>
    <w:rsid w:val="00193C1F"/>
    <w:rsid w:val="001A1849"/>
    <w:rsid w:val="001B1711"/>
    <w:rsid w:val="001B43B7"/>
    <w:rsid w:val="001B519F"/>
    <w:rsid w:val="001E1DDA"/>
    <w:rsid w:val="0020225F"/>
    <w:rsid w:val="002046DD"/>
    <w:rsid w:val="002149E5"/>
    <w:rsid w:val="00224E02"/>
    <w:rsid w:val="00233004"/>
    <w:rsid w:val="00240D16"/>
    <w:rsid w:val="0025083D"/>
    <w:rsid w:val="002742D6"/>
    <w:rsid w:val="0028223E"/>
    <w:rsid w:val="00291F3A"/>
    <w:rsid w:val="002A6484"/>
    <w:rsid w:val="002C3DDE"/>
    <w:rsid w:val="002C4660"/>
    <w:rsid w:val="002D4591"/>
    <w:rsid w:val="002D6EDE"/>
    <w:rsid w:val="002D74B9"/>
    <w:rsid w:val="002E1602"/>
    <w:rsid w:val="002F3F2F"/>
    <w:rsid w:val="002F795C"/>
    <w:rsid w:val="003012FC"/>
    <w:rsid w:val="003041E0"/>
    <w:rsid w:val="00310F9C"/>
    <w:rsid w:val="00322818"/>
    <w:rsid w:val="00324733"/>
    <w:rsid w:val="00326FB6"/>
    <w:rsid w:val="00344333"/>
    <w:rsid w:val="00345F4B"/>
    <w:rsid w:val="003565A1"/>
    <w:rsid w:val="00356C6B"/>
    <w:rsid w:val="00370414"/>
    <w:rsid w:val="00372EE8"/>
    <w:rsid w:val="0038023E"/>
    <w:rsid w:val="00383047"/>
    <w:rsid w:val="003A6ABA"/>
    <w:rsid w:val="003C417D"/>
    <w:rsid w:val="003C421A"/>
    <w:rsid w:val="003C4EED"/>
    <w:rsid w:val="00400653"/>
    <w:rsid w:val="00404C47"/>
    <w:rsid w:val="00405839"/>
    <w:rsid w:val="00430DD9"/>
    <w:rsid w:val="00435365"/>
    <w:rsid w:val="00435D9B"/>
    <w:rsid w:val="00437721"/>
    <w:rsid w:val="00441723"/>
    <w:rsid w:val="00445FCA"/>
    <w:rsid w:val="00472B89"/>
    <w:rsid w:val="00473EE4"/>
    <w:rsid w:val="004926BE"/>
    <w:rsid w:val="00493754"/>
    <w:rsid w:val="00495B2B"/>
    <w:rsid w:val="004B6FFA"/>
    <w:rsid w:val="004C3D6D"/>
    <w:rsid w:val="004D0A81"/>
    <w:rsid w:val="004D5D79"/>
    <w:rsid w:val="004D76A1"/>
    <w:rsid w:val="004E1C7C"/>
    <w:rsid w:val="004E2362"/>
    <w:rsid w:val="00501A31"/>
    <w:rsid w:val="00505FB4"/>
    <w:rsid w:val="005155E7"/>
    <w:rsid w:val="00515863"/>
    <w:rsid w:val="00522B98"/>
    <w:rsid w:val="0054015D"/>
    <w:rsid w:val="00544F49"/>
    <w:rsid w:val="00554CCF"/>
    <w:rsid w:val="0057483C"/>
    <w:rsid w:val="00575320"/>
    <w:rsid w:val="00580487"/>
    <w:rsid w:val="00584FFF"/>
    <w:rsid w:val="005852F1"/>
    <w:rsid w:val="00587535"/>
    <w:rsid w:val="0059518D"/>
    <w:rsid w:val="005B08C3"/>
    <w:rsid w:val="005B154C"/>
    <w:rsid w:val="005B37EC"/>
    <w:rsid w:val="005B7996"/>
    <w:rsid w:val="005C5D47"/>
    <w:rsid w:val="005F03D9"/>
    <w:rsid w:val="006426E9"/>
    <w:rsid w:val="0064356A"/>
    <w:rsid w:val="006520CE"/>
    <w:rsid w:val="006609CE"/>
    <w:rsid w:val="00670839"/>
    <w:rsid w:val="00683366"/>
    <w:rsid w:val="00683A3D"/>
    <w:rsid w:val="0068614A"/>
    <w:rsid w:val="00691BD9"/>
    <w:rsid w:val="0069710C"/>
    <w:rsid w:val="006B0DD9"/>
    <w:rsid w:val="006B2EA9"/>
    <w:rsid w:val="006B684D"/>
    <w:rsid w:val="006C05E5"/>
    <w:rsid w:val="006C0893"/>
    <w:rsid w:val="006C267C"/>
    <w:rsid w:val="006C400D"/>
    <w:rsid w:val="006D238A"/>
    <w:rsid w:val="006D4687"/>
    <w:rsid w:val="006E437F"/>
    <w:rsid w:val="006F6479"/>
    <w:rsid w:val="006F7B73"/>
    <w:rsid w:val="006F7B88"/>
    <w:rsid w:val="00703572"/>
    <w:rsid w:val="00704537"/>
    <w:rsid w:val="007235EF"/>
    <w:rsid w:val="00725B20"/>
    <w:rsid w:val="00735944"/>
    <w:rsid w:val="0074249E"/>
    <w:rsid w:val="00751D0B"/>
    <w:rsid w:val="00760B50"/>
    <w:rsid w:val="0076577F"/>
    <w:rsid w:val="00767531"/>
    <w:rsid w:val="00770B78"/>
    <w:rsid w:val="00773A13"/>
    <w:rsid w:val="00784494"/>
    <w:rsid w:val="007A6D58"/>
    <w:rsid w:val="007E5875"/>
    <w:rsid w:val="007F1625"/>
    <w:rsid w:val="008048CA"/>
    <w:rsid w:val="00817DF9"/>
    <w:rsid w:val="00821529"/>
    <w:rsid w:val="00827BEE"/>
    <w:rsid w:val="00831798"/>
    <w:rsid w:val="00833EDA"/>
    <w:rsid w:val="00863B66"/>
    <w:rsid w:val="00866177"/>
    <w:rsid w:val="00880ED2"/>
    <w:rsid w:val="00881899"/>
    <w:rsid w:val="008A2A32"/>
    <w:rsid w:val="008A6409"/>
    <w:rsid w:val="008D2427"/>
    <w:rsid w:val="008D7339"/>
    <w:rsid w:val="00907176"/>
    <w:rsid w:val="00937B30"/>
    <w:rsid w:val="0094008E"/>
    <w:rsid w:val="00977466"/>
    <w:rsid w:val="00983557"/>
    <w:rsid w:val="0099516D"/>
    <w:rsid w:val="00996317"/>
    <w:rsid w:val="009A370E"/>
    <w:rsid w:val="009A6421"/>
    <w:rsid w:val="009B702E"/>
    <w:rsid w:val="009C0B5C"/>
    <w:rsid w:val="009D6D83"/>
    <w:rsid w:val="009F5AA1"/>
    <w:rsid w:val="00A03DB4"/>
    <w:rsid w:val="00A040AE"/>
    <w:rsid w:val="00A11838"/>
    <w:rsid w:val="00A216A4"/>
    <w:rsid w:val="00A3669A"/>
    <w:rsid w:val="00A70C33"/>
    <w:rsid w:val="00A829D0"/>
    <w:rsid w:val="00A837F5"/>
    <w:rsid w:val="00A84C51"/>
    <w:rsid w:val="00A95E15"/>
    <w:rsid w:val="00AB1A83"/>
    <w:rsid w:val="00AB2964"/>
    <w:rsid w:val="00AC0953"/>
    <w:rsid w:val="00AC7481"/>
    <w:rsid w:val="00AD5444"/>
    <w:rsid w:val="00AE26DF"/>
    <w:rsid w:val="00B01E5E"/>
    <w:rsid w:val="00B0598B"/>
    <w:rsid w:val="00B13B07"/>
    <w:rsid w:val="00B223ED"/>
    <w:rsid w:val="00B258D2"/>
    <w:rsid w:val="00B62F25"/>
    <w:rsid w:val="00B63525"/>
    <w:rsid w:val="00B824BE"/>
    <w:rsid w:val="00B853D7"/>
    <w:rsid w:val="00B962E1"/>
    <w:rsid w:val="00BA586A"/>
    <w:rsid w:val="00BA6AA9"/>
    <w:rsid w:val="00BB120F"/>
    <w:rsid w:val="00BE75A5"/>
    <w:rsid w:val="00BF111A"/>
    <w:rsid w:val="00BF5397"/>
    <w:rsid w:val="00BF6186"/>
    <w:rsid w:val="00C25A86"/>
    <w:rsid w:val="00C32148"/>
    <w:rsid w:val="00C32293"/>
    <w:rsid w:val="00C547A0"/>
    <w:rsid w:val="00C54A38"/>
    <w:rsid w:val="00C7554C"/>
    <w:rsid w:val="00C76B14"/>
    <w:rsid w:val="00CA0135"/>
    <w:rsid w:val="00CD65F2"/>
    <w:rsid w:val="00CD6C5A"/>
    <w:rsid w:val="00CE73DD"/>
    <w:rsid w:val="00CF2045"/>
    <w:rsid w:val="00CF3B0F"/>
    <w:rsid w:val="00D13921"/>
    <w:rsid w:val="00D141E5"/>
    <w:rsid w:val="00D25ABF"/>
    <w:rsid w:val="00D464E8"/>
    <w:rsid w:val="00D46710"/>
    <w:rsid w:val="00D46B88"/>
    <w:rsid w:val="00D62C06"/>
    <w:rsid w:val="00D71C2F"/>
    <w:rsid w:val="00D83B23"/>
    <w:rsid w:val="00D969A1"/>
    <w:rsid w:val="00DB37FD"/>
    <w:rsid w:val="00DC4C55"/>
    <w:rsid w:val="00DD5180"/>
    <w:rsid w:val="00E02AB4"/>
    <w:rsid w:val="00E22845"/>
    <w:rsid w:val="00E27449"/>
    <w:rsid w:val="00E32077"/>
    <w:rsid w:val="00E333B4"/>
    <w:rsid w:val="00E401F9"/>
    <w:rsid w:val="00E423BD"/>
    <w:rsid w:val="00E441B7"/>
    <w:rsid w:val="00E46808"/>
    <w:rsid w:val="00E46A03"/>
    <w:rsid w:val="00E529ED"/>
    <w:rsid w:val="00E65620"/>
    <w:rsid w:val="00E85F22"/>
    <w:rsid w:val="00E91589"/>
    <w:rsid w:val="00E95DB7"/>
    <w:rsid w:val="00E97889"/>
    <w:rsid w:val="00EA0461"/>
    <w:rsid w:val="00EA26D9"/>
    <w:rsid w:val="00ED0C4C"/>
    <w:rsid w:val="00EF2065"/>
    <w:rsid w:val="00F25F39"/>
    <w:rsid w:val="00F30943"/>
    <w:rsid w:val="00F54924"/>
    <w:rsid w:val="00F91A28"/>
    <w:rsid w:val="00FA4880"/>
    <w:rsid w:val="00FB15B8"/>
    <w:rsid w:val="00FB2917"/>
    <w:rsid w:val="00FB3E11"/>
    <w:rsid w:val="00FC450D"/>
    <w:rsid w:val="00FC4C11"/>
    <w:rsid w:val="00FE7391"/>
    <w:rsid w:val="00FF41D8"/>
    <w:rsid w:val="00FF46DD"/>
    <w:rsid w:val="00FF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67F"/>
    <w:rPr>
      <w:color w:val="0000FF"/>
      <w:u w:val="single"/>
    </w:rPr>
  </w:style>
  <w:style w:type="paragraph" w:styleId="a4">
    <w:name w:val="annotation text"/>
    <w:basedOn w:val="a"/>
    <w:link w:val="a5"/>
    <w:uiPriority w:val="99"/>
    <w:semiHidden/>
    <w:unhideWhenUsed/>
    <w:rsid w:val="0003367F"/>
    <w:pPr>
      <w:spacing w:after="0" w:line="240" w:lineRule="auto"/>
    </w:pPr>
    <w:rPr>
      <w:rFonts w:ascii="Calibri" w:hAnsi="Calibri" w:cs="Calibri"/>
      <w:sz w:val="20"/>
      <w:szCs w:val="20"/>
      <w:lang w:val="en-GB"/>
    </w:rPr>
  </w:style>
  <w:style w:type="character" w:customStyle="1" w:styleId="a5">
    <w:name w:val="Текст примечания Знак"/>
    <w:basedOn w:val="a0"/>
    <w:link w:val="a4"/>
    <w:uiPriority w:val="99"/>
    <w:semiHidden/>
    <w:rsid w:val="0003367F"/>
    <w:rPr>
      <w:rFonts w:ascii="Calibri" w:hAnsi="Calibri" w:cs="Calibri"/>
      <w:sz w:val="20"/>
      <w:szCs w:val="20"/>
      <w:lang w:val="en-GB"/>
    </w:rPr>
  </w:style>
  <w:style w:type="paragraph" w:styleId="a6">
    <w:name w:val="List Paragraph"/>
    <w:basedOn w:val="a"/>
    <w:uiPriority w:val="34"/>
    <w:qFormat/>
    <w:rsid w:val="002149E5"/>
    <w:pPr>
      <w:ind w:left="720"/>
      <w:contextualSpacing/>
    </w:pPr>
  </w:style>
  <w:style w:type="paragraph" w:styleId="a7">
    <w:name w:val="Balloon Text"/>
    <w:basedOn w:val="a"/>
    <w:link w:val="a8"/>
    <w:uiPriority w:val="99"/>
    <w:semiHidden/>
    <w:unhideWhenUsed/>
    <w:rsid w:val="003C4E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4EED"/>
    <w:rPr>
      <w:rFonts w:ascii="Segoe UI" w:hAnsi="Segoe UI" w:cs="Segoe UI"/>
      <w:sz w:val="18"/>
      <w:szCs w:val="18"/>
    </w:rPr>
  </w:style>
  <w:style w:type="character" w:styleId="a9">
    <w:name w:val="annotation reference"/>
    <w:basedOn w:val="a0"/>
    <w:uiPriority w:val="99"/>
    <w:semiHidden/>
    <w:unhideWhenUsed/>
    <w:rsid w:val="008D7339"/>
    <w:rPr>
      <w:sz w:val="16"/>
      <w:szCs w:val="16"/>
    </w:rPr>
  </w:style>
  <w:style w:type="paragraph" w:styleId="aa">
    <w:name w:val="annotation subject"/>
    <w:basedOn w:val="a4"/>
    <w:next w:val="a4"/>
    <w:link w:val="ab"/>
    <w:uiPriority w:val="99"/>
    <w:semiHidden/>
    <w:unhideWhenUsed/>
    <w:rsid w:val="008D7339"/>
    <w:pPr>
      <w:spacing w:after="160"/>
    </w:pPr>
    <w:rPr>
      <w:rFonts w:asciiTheme="minorHAnsi" w:hAnsiTheme="minorHAnsi" w:cstheme="minorBidi"/>
      <w:b/>
      <w:bCs/>
      <w:lang w:val="en-US"/>
    </w:rPr>
  </w:style>
  <w:style w:type="character" w:customStyle="1" w:styleId="ab">
    <w:name w:val="Тема примечания Знак"/>
    <w:basedOn w:val="a5"/>
    <w:link w:val="aa"/>
    <w:uiPriority w:val="99"/>
    <w:semiHidden/>
    <w:rsid w:val="008D7339"/>
    <w:rPr>
      <w:rFonts w:ascii="Calibri" w:hAnsi="Calibri" w:cs="Calibri"/>
      <w:b/>
      <w:bCs/>
      <w:sz w:val="20"/>
      <w:szCs w:val="20"/>
      <w:lang w:val="en-GB"/>
    </w:rPr>
  </w:style>
</w:styles>
</file>

<file path=word/webSettings.xml><?xml version="1.0" encoding="utf-8"?>
<w:webSettings xmlns:r="http://schemas.openxmlformats.org/officeDocument/2006/relationships" xmlns:w="http://schemas.openxmlformats.org/wordprocessingml/2006/main">
  <w:divs>
    <w:div w:id="80490959">
      <w:bodyDiv w:val="1"/>
      <w:marLeft w:val="0"/>
      <w:marRight w:val="0"/>
      <w:marTop w:val="0"/>
      <w:marBottom w:val="0"/>
      <w:divBdr>
        <w:top w:val="none" w:sz="0" w:space="0" w:color="auto"/>
        <w:left w:val="none" w:sz="0" w:space="0" w:color="auto"/>
        <w:bottom w:val="none" w:sz="0" w:space="0" w:color="auto"/>
        <w:right w:val="none" w:sz="0" w:space="0" w:color="auto"/>
      </w:divBdr>
    </w:div>
    <w:div w:id="372966835">
      <w:bodyDiv w:val="1"/>
      <w:marLeft w:val="0"/>
      <w:marRight w:val="0"/>
      <w:marTop w:val="0"/>
      <w:marBottom w:val="0"/>
      <w:divBdr>
        <w:top w:val="none" w:sz="0" w:space="0" w:color="auto"/>
        <w:left w:val="none" w:sz="0" w:space="0" w:color="auto"/>
        <w:bottom w:val="none" w:sz="0" w:space="0" w:color="auto"/>
        <w:right w:val="none" w:sz="0" w:space="0" w:color="auto"/>
      </w:divBdr>
    </w:div>
    <w:div w:id="1086924504">
      <w:bodyDiv w:val="1"/>
      <w:marLeft w:val="0"/>
      <w:marRight w:val="0"/>
      <w:marTop w:val="0"/>
      <w:marBottom w:val="0"/>
      <w:divBdr>
        <w:top w:val="none" w:sz="0" w:space="0" w:color="auto"/>
        <w:left w:val="none" w:sz="0" w:space="0" w:color="auto"/>
        <w:bottom w:val="none" w:sz="0" w:space="0" w:color="auto"/>
        <w:right w:val="none" w:sz="0" w:space="0" w:color="auto"/>
      </w:divBdr>
    </w:div>
    <w:div w:id="1273244122">
      <w:bodyDiv w:val="1"/>
      <w:marLeft w:val="0"/>
      <w:marRight w:val="0"/>
      <w:marTop w:val="0"/>
      <w:marBottom w:val="0"/>
      <w:divBdr>
        <w:top w:val="none" w:sz="0" w:space="0" w:color="auto"/>
        <w:left w:val="none" w:sz="0" w:space="0" w:color="auto"/>
        <w:bottom w:val="none" w:sz="0" w:space="0" w:color="auto"/>
        <w:right w:val="none" w:sz="0" w:space="0" w:color="auto"/>
      </w:divBdr>
    </w:div>
    <w:div w:id="1467161298">
      <w:bodyDiv w:val="1"/>
      <w:marLeft w:val="0"/>
      <w:marRight w:val="0"/>
      <w:marTop w:val="0"/>
      <w:marBottom w:val="0"/>
      <w:divBdr>
        <w:top w:val="none" w:sz="0" w:space="0" w:color="auto"/>
        <w:left w:val="none" w:sz="0" w:space="0" w:color="auto"/>
        <w:bottom w:val="none" w:sz="0" w:space="0" w:color="auto"/>
        <w:right w:val="none" w:sz="0" w:space="0" w:color="auto"/>
      </w:divBdr>
    </w:div>
    <w:div w:id="1681539387">
      <w:bodyDiv w:val="1"/>
      <w:marLeft w:val="0"/>
      <w:marRight w:val="0"/>
      <w:marTop w:val="0"/>
      <w:marBottom w:val="0"/>
      <w:divBdr>
        <w:top w:val="none" w:sz="0" w:space="0" w:color="auto"/>
        <w:left w:val="none" w:sz="0" w:space="0" w:color="auto"/>
        <w:bottom w:val="none" w:sz="0" w:space="0" w:color="auto"/>
        <w:right w:val="none" w:sz="0" w:space="0" w:color="auto"/>
      </w:divBdr>
    </w:div>
    <w:div w:id="16821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com/content/dam/bp-country/az_az/PDFs/ESIAs/SD2/SD2_14_Env_and_Soc_Mgt_Final_az.pdf" TargetMode="External"/><Relationship Id="rId13" Type="http://schemas.openxmlformats.org/officeDocument/2006/relationships/hyperlink" Target="https://www.bp.com/content/dam/bp-country/en_az/pdf/ESIAs/SCPXESIA/GLAC%20Engl%20SCPX%20Az%20January%202015%20Eng_version%20Final_07-04-201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p.com/en_az/caspian/sustainability/environment.html" TargetMode="External"/><Relationship Id="rId12" Type="http://schemas.openxmlformats.org/officeDocument/2006/relationships/hyperlink" Target="https://www.bp.com/az_az/caspian/sustainability/environment1/ESIAs1/SCP/SCPX-ESIA.html" TargetMode="External"/><Relationship Id="rId17" Type="http://schemas.openxmlformats.org/officeDocument/2006/relationships/hyperlink" Target="http://www.bp.com/caspian" TargetMode="External"/><Relationship Id="rId2" Type="http://schemas.openxmlformats.org/officeDocument/2006/relationships/styles" Target="styles.xml"/><Relationship Id="rId16" Type="http://schemas.openxmlformats.org/officeDocument/2006/relationships/hyperlink" Target="mailto:bayatltf@b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com/en_az/caspian/sustainability/environment/env-and-social-documentation/SCP/SCPX-ESIA.html" TargetMode="External"/><Relationship Id="rId5" Type="http://schemas.openxmlformats.org/officeDocument/2006/relationships/footnotes" Target="footnotes.xml"/><Relationship Id="rId15" Type="http://schemas.openxmlformats.org/officeDocument/2006/relationships/hyperlink" Target="https://www.bp.com/content/dam/bp-country/az_az/PDFs/ESIAs/SCPXESIA/GLAC%20Amendment%20Az%20Azn%20P02%20Web.pdf" TargetMode="External"/><Relationship Id="rId10" Type="http://schemas.openxmlformats.org/officeDocument/2006/relationships/hyperlink" Target="https://www.bp.com/content/dam/bp-country/en_az/pdf/ESIAs/SD2-ESIA/SD2_Appendix_9_E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p.com/content/dam/bp-country/en_az/pdf/ESIAs/SD2_Chapter_14_Env_and_Soc_Mgt.pdf" TargetMode="External"/><Relationship Id="rId14" Type="http://schemas.openxmlformats.org/officeDocument/2006/relationships/hyperlink" Target="https://www.bp.com/content/dam/bp-country/az_az/PDFs/ESIAs/SCPXESIA/00-GLAC%20SCPX%20Az%20January%202015_Azeri%20version%2007-04-201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Bayatly, Tamam F</dc:creator>
  <cp:lastModifiedBy>Ella Skybenko</cp:lastModifiedBy>
  <cp:revision>2</cp:revision>
  <dcterms:created xsi:type="dcterms:W3CDTF">2019-05-06T06:38:00Z</dcterms:created>
  <dcterms:modified xsi:type="dcterms:W3CDTF">2019-05-06T06:38:00Z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bayatltf@bp.com</vt:lpwstr>
  </property>
  <property fmtid="{D5CDD505-2E9C-101B-9397-08002B2CF9AE}" pid="5" name="MSIP_Label_569bf4a9-87bd-4dbf-a36c-1db5158e5def_SetDate">
    <vt:lpwstr>2019-04-24T16:01:55.4135733Z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