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word/footer1.xml" ContentType="application/vnd.openxmlformats-officedocument.wordprocessingml.footer+xml"/>
  <Override PartName="/word/theme/theme1.xml" ContentType="application/vnd.openxmlformats-officedocument.theme+xml"/>
  <Override PartName="/customXml/itemProps3.xml" ContentType="application/vnd.openxmlformats-officedocument.customXmlProperti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2.xml" ContentType="application/vnd.openxmlformats-officedocument.customXmlProperties+xml"/>
  <Override PartName="/word/footer3.xml" ContentType="application/vnd.openxmlformats-officedocument.wordprocessingml.footer+xml"/>
  <Override PartName="/customXml/itemProps1.xml" ContentType="application/vnd.openxmlformats-officedocument.customXmlProperties+xml"/>
  <Override PartName="/word/stylesWithEffects.xml" ContentType="application/vnd.ms-word.stylesWithEffects+xml"/>
  <Override PartName="/word/header1.xml" ContentType="application/vnd.openxmlformats-officedocument.wordprocessingml.header+xml"/>
  <Override PartName="/word/styles.xml" ContentType="application/vnd.openxmlformats-officedocument.wordprocessingml.styles+xml"/>
  <Override PartName="/word/header3.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otnotes.xml" ContentType="application/vnd.openxmlformats-officedocument.wordprocessingml.footnotes+xml"/>
  <Override PartName="/word/footer2.xml" ContentType="application/vnd.openxmlformats-officedocument.wordprocessingml.footer+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43" w:rsidRDefault="008A6043" w:rsidP="008A6043">
      <w:pPr>
        <w:pStyle w:val="Heading1"/>
        <w:jc w:val="center"/>
      </w:pPr>
      <w:bookmarkStart w:id="0" w:name="_GoBack"/>
      <w:bookmarkEnd w:id="0"/>
      <w:r>
        <w:t xml:space="preserve">The California Transparency in Supply Chains Act 2010 - No Longer a </w:t>
      </w:r>
      <w:r w:rsidRPr="008A6043">
        <w:rPr>
          <w:i/>
        </w:rPr>
        <w:t>Safe Harbour</w:t>
      </w:r>
      <w:r>
        <w:t xml:space="preserve"> under California Consumer Protection Laws</w:t>
      </w:r>
    </w:p>
    <w:p w:rsidR="008A6043" w:rsidRDefault="008A6043" w:rsidP="008A6043">
      <w:pPr>
        <w:pStyle w:val="BodyTextIndent"/>
        <w:rPr>
          <w:i/>
        </w:rPr>
      </w:pPr>
      <w:r w:rsidRPr="008A6043">
        <w:rPr>
          <w:i/>
        </w:rPr>
        <w:t>Abstract: California was the first jurisdiction to introduce transparency compliance requirements to global supply chains.  Businesses have sought and succeeded in using their compliance with the California Transparency in Supply Chains Act 2010 to defeat claims under the California Unfair Competition Law, California Consumers Legal Remedies Act and False Advertising Law, on the basis of the safe harbour doctrine.  However, the utilisation of the safe harbour doctrine in this manner, appears to be changing.  This article explores key case law from 2015-2016, detailing the changing approach by the California judiciary.</w:t>
      </w:r>
    </w:p>
    <w:p w:rsidR="00FE0C2A" w:rsidRPr="008A6043" w:rsidRDefault="00FE0C2A" w:rsidP="00FE0C2A">
      <w:pPr>
        <w:pStyle w:val="BodyText"/>
        <w:jc w:val="center"/>
      </w:pPr>
      <w:r>
        <w:t>By Sean Selleck</w:t>
      </w:r>
      <w:r w:rsidR="00820AF6">
        <w:rPr>
          <w:rStyle w:val="FootnoteReference"/>
        </w:rPr>
        <w:footnoteReference w:id="1"/>
      </w:r>
      <w:r>
        <w:t xml:space="preserve"> and Sunil Rao</w:t>
      </w:r>
      <w:r w:rsidR="00820AF6">
        <w:rPr>
          <w:rStyle w:val="FootnoteReference"/>
        </w:rPr>
        <w:footnoteReference w:id="2"/>
      </w:r>
    </w:p>
    <w:p w:rsidR="008A6043" w:rsidRDefault="008A6043" w:rsidP="008A6043">
      <w:pPr>
        <w:pStyle w:val="Heading2"/>
      </w:pPr>
      <w:r>
        <w:t xml:space="preserve">The California Transparency in Supply Chains Act 2010  </w:t>
      </w:r>
    </w:p>
    <w:p w:rsidR="008A6043" w:rsidRDefault="008A6043" w:rsidP="008A6043">
      <w:pPr>
        <w:pStyle w:val="BodyText"/>
      </w:pPr>
      <w:r>
        <w:t xml:space="preserve">The </w:t>
      </w:r>
      <w:r w:rsidRPr="007D4CAB">
        <w:rPr>
          <w:i/>
        </w:rPr>
        <w:t>California Transparency in Supply Chains Act 2010</w:t>
      </w:r>
      <w:r>
        <w:t xml:space="preserve"> (</w:t>
      </w:r>
      <w:r w:rsidRPr="008A6043">
        <w:rPr>
          <w:b/>
        </w:rPr>
        <w:t>Act</w:t>
      </w:r>
      <w:r>
        <w:t>) came into effect on 1 January 2012.</w:t>
      </w:r>
      <w:r>
        <w:rPr>
          <w:rStyle w:val="FootnoteReference"/>
        </w:rPr>
        <w:footnoteReference w:id="3"/>
      </w:r>
      <w:r>
        <w:t xml:space="preserve">  The Act requires certain business to disclose what actions they are taking, if any, to proactively address slavery and human trafficking in their supply chains.</w:t>
      </w:r>
      <w:r>
        <w:rPr>
          <w:rStyle w:val="FootnoteReference"/>
        </w:rPr>
        <w:footnoteReference w:id="4"/>
      </w:r>
    </w:p>
    <w:p w:rsidR="008A6043" w:rsidRDefault="008A6043" w:rsidP="008A6043">
      <w:pPr>
        <w:pStyle w:val="BodyText"/>
      </w:pPr>
      <w:r>
        <w:t>The Act applies to retail sellers and manufacturers of goods, doing business in California, with worldwide gross receipts of USD $100 million or more.</w:t>
      </w:r>
      <w:r>
        <w:rPr>
          <w:rStyle w:val="FootnoteReference"/>
        </w:rPr>
        <w:footnoteReference w:id="5"/>
      </w:r>
      <w:r>
        <w:t xml:space="preserve">  The Act applies to any business that satisfies these threshold requirements, irrespective of domicile.  Accordingly, the Act can apply to Australian businesses.  Currently, it is estimated that the Act applies to 2,126 businesses.</w:t>
      </w:r>
    </w:p>
    <w:p w:rsidR="008A6043" w:rsidRDefault="008A6043" w:rsidP="008A6043">
      <w:pPr>
        <w:pStyle w:val="BodyText"/>
      </w:pPr>
      <w:r>
        <w:t xml:space="preserve">Under the Act, qualifying businesses are required to publicly disclose to what extent, if any, they undertake actions in five specific areas: </w:t>
      </w:r>
      <w:r w:rsidR="00FE0C2A">
        <w:t>(1)</w:t>
      </w:r>
      <w:r>
        <w:t>whether they or a third party conducts verifications to evaluate and to address risks of slavery and human trafficking;</w:t>
      </w:r>
      <w:r>
        <w:rPr>
          <w:rStyle w:val="FootnoteReference"/>
        </w:rPr>
        <w:footnoteReference w:id="6"/>
      </w:r>
      <w:r>
        <w:t xml:space="preserve"> </w:t>
      </w:r>
      <w:r w:rsidR="00FE0C2A">
        <w:t xml:space="preserve">(2) </w:t>
      </w:r>
      <w:r>
        <w:t>whether they or an independent agency conduct audits of suppliers to evaluate supplier compliance with the organisation's standards for slavery and human trafficking;</w:t>
      </w:r>
      <w:r>
        <w:rPr>
          <w:rStyle w:val="FootnoteReference"/>
        </w:rPr>
        <w:footnoteReference w:id="7"/>
      </w:r>
      <w:r>
        <w:t xml:space="preserve"> </w:t>
      </w:r>
      <w:r w:rsidR="00FE0C2A">
        <w:t xml:space="preserve">(3) </w:t>
      </w:r>
      <w:r>
        <w:t>whether they require direct suppliers to certify that materials incorporated into the product comply with the laws regarding slavery and human trafficking of the country or countries in which they are doing business;</w:t>
      </w:r>
      <w:r>
        <w:rPr>
          <w:rStyle w:val="FootnoteReference"/>
        </w:rPr>
        <w:footnoteReference w:id="8"/>
      </w:r>
      <w:r>
        <w:t xml:space="preserve"> </w:t>
      </w:r>
      <w:r w:rsidR="00FE0C2A">
        <w:t>(4)</w:t>
      </w:r>
      <w:r>
        <w:t xml:space="preserve"> whether they maintain internal accountability standards and procedures for employees and contractors that fail to meet internal standards regarding slavery and human trafficking;</w:t>
      </w:r>
      <w:r>
        <w:rPr>
          <w:rStyle w:val="FootnoteReference"/>
        </w:rPr>
        <w:footnoteReference w:id="9"/>
      </w:r>
      <w:r>
        <w:t xml:space="preserve"> and </w:t>
      </w:r>
      <w:r w:rsidR="00FE0C2A">
        <w:t xml:space="preserve">(5) </w:t>
      </w:r>
      <w:r>
        <w:t>whether they provide employee training to key personnel on mitigating the risks of slavery and human trafficking in the supply chain.</w:t>
      </w:r>
      <w:r>
        <w:rPr>
          <w:rStyle w:val="FootnoteReference"/>
        </w:rPr>
        <w:footnoteReference w:id="10"/>
      </w:r>
    </w:p>
    <w:p w:rsidR="008A6043" w:rsidRDefault="008A6043" w:rsidP="008A6043">
      <w:pPr>
        <w:pStyle w:val="BodyText"/>
      </w:pPr>
      <w:r>
        <w:t xml:space="preserve">The exclusive remedy for non-compliance with the disclosure requirement is an action brought by the Attorney General </w:t>
      </w:r>
      <w:r w:rsidR="00FE0C2A">
        <w:t xml:space="preserve">of California </w:t>
      </w:r>
      <w:r>
        <w:t>for an injunction compelling disclosure.</w:t>
      </w:r>
      <w:r>
        <w:rPr>
          <w:rStyle w:val="FootnoteReference"/>
        </w:rPr>
        <w:footnoteReference w:id="11"/>
      </w:r>
      <w:r>
        <w:t xml:space="preserve">  Businesses do not face a monetary penalty for non-disclosure.  The Act does not limit remedies for a vio</w:t>
      </w:r>
      <w:r w:rsidR="00201C06">
        <w:t>lation of any other s</w:t>
      </w:r>
      <w:r>
        <w:t xml:space="preserve">tate or </w:t>
      </w:r>
      <w:r w:rsidR="00201C06">
        <w:t>f</w:t>
      </w:r>
      <w:r>
        <w:t>ederal law.</w:t>
      </w:r>
      <w:r>
        <w:rPr>
          <w:rStyle w:val="FootnoteReference"/>
        </w:rPr>
        <w:footnoteReference w:id="12"/>
      </w:r>
    </w:p>
    <w:p w:rsidR="008A6043" w:rsidRDefault="008A6043" w:rsidP="008A6043">
      <w:pPr>
        <w:pStyle w:val="Heading2"/>
      </w:pPr>
      <w:r>
        <w:lastRenderedPageBreak/>
        <w:t>Consumer Protection Laws in California, the Safe Harbour Doctrine, and the Act</w:t>
      </w:r>
    </w:p>
    <w:p w:rsidR="008A6043" w:rsidRDefault="008A6043" w:rsidP="008A6043">
      <w:pPr>
        <w:pStyle w:val="BodyText"/>
      </w:pPr>
      <w:r>
        <w:t>California has three consumer protection instruments: the Unfair Competition Law (</w:t>
      </w:r>
      <w:r w:rsidRPr="008A6043">
        <w:rPr>
          <w:b/>
        </w:rPr>
        <w:t>UCL</w:t>
      </w:r>
      <w:r>
        <w:t>),</w:t>
      </w:r>
      <w:r>
        <w:rPr>
          <w:rStyle w:val="FootnoteReference"/>
        </w:rPr>
        <w:footnoteReference w:id="13"/>
      </w:r>
      <w:r>
        <w:t xml:space="preserve"> Consumers Legal Remedies Act (</w:t>
      </w:r>
      <w:r w:rsidRPr="008A6043">
        <w:rPr>
          <w:b/>
        </w:rPr>
        <w:t>CLRA</w:t>
      </w:r>
      <w:r>
        <w:t>),</w:t>
      </w:r>
      <w:r>
        <w:rPr>
          <w:rStyle w:val="FootnoteReference"/>
        </w:rPr>
        <w:footnoteReference w:id="14"/>
      </w:r>
      <w:r>
        <w:t xml:space="preserve"> and False Advertising Law (</w:t>
      </w:r>
      <w:r w:rsidRPr="008A6043">
        <w:rPr>
          <w:b/>
        </w:rPr>
        <w:t>FAL</w:t>
      </w:r>
      <w:r>
        <w:t>).</w:t>
      </w:r>
      <w:r>
        <w:rPr>
          <w:rStyle w:val="FootnoteReference"/>
        </w:rPr>
        <w:footnoteReference w:id="15"/>
      </w:r>
      <w:r w:rsidR="00820AF6">
        <w:t xml:space="preserve">  Generally, claims under the UCL comprise three contentions</w:t>
      </w:r>
      <w:r w:rsidR="004D16BE">
        <w:t xml:space="preserve"> on the basis of a failure to disclose labour abuses on product packaging</w:t>
      </w:r>
      <w:r w:rsidR="00820AF6">
        <w:t xml:space="preserve">: (1) </w:t>
      </w:r>
      <w:r w:rsidR="004D16BE">
        <w:t xml:space="preserve">omission </w:t>
      </w:r>
      <w:r w:rsidR="007F215B">
        <w:t xml:space="preserve">violates the CLRA; (2) omission is unfair as it </w:t>
      </w:r>
      <w:r w:rsidR="00A5246F">
        <w:t xml:space="preserve">not only </w:t>
      </w:r>
      <w:r w:rsidR="007F215B">
        <w:t xml:space="preserve">prevents informed decision making by consumers </w:t>
      </w:r>
      <w:r w:rsidR="00A5246F">
        <w:t>but also impairs competition</w:t>
      </w:r>
      <w:r w:rsidR="007F215B">
        <w:t>; (3) omission i</w:t>
      </w:r>
      <w:r w:rsidR="00CF3A27">
        <w:t>s</w:t>
      </w:r>
      <w:r w:rsidR="007F215B">
        <w:t xml:space="preserve"> fraudulent on the basis that the true facts would be material to a reasonable consumer and as such the omission is likely to deceive such a consumer</w:t>
      </w:r>
      <w:r w:rsidR="00637A76">
        <w:t>.</w:t>
      </w:r>
      <w:r w:rsidR="00637A76">
        <w:rPr>
          <w:rStyle w:val="FootnoteReference"/>
        </w:rPr>
        <w:footnoteReference w:id="16"/>
      </w:r>
      <w:r w:rsidR="001A536C">
        <w:t xml:space="preserve">  In relation to the CLRA, generally claims allege misrepresentation concerning source, characteristics and standard of products as a result of the failure to disclose.</w:t>
      </w:r>
      <w:r w:rsidR="001A536C">
        <w:rPr>
          <w:rStyle w:val="FootnoteReference"/>
        </w:rPr>
        <w:footnoteReference w:id="17"/>
      </w:r>
      <w:r w:rsidR="001A536C">
        <w:t xml:space="preserve">  The FAL claim is generally based on </w:t>
      </w:r>
      <w:r w:rsidR="00CF3A27">
        <w:t>contending that qualifying businesses under the Act have superior knowledge of their supply chains as opposed to consumers, such that this level of knowledge necessitates a duty to disclose labour abuses.</w:t>
      </w:r>
      <w:r w:rsidR="00CF3A27">
        <w:rPr>
          <w:rStyle w:val="FootnoteReference"/>
        </w:rPr>
        <w:footnoteReference w:id="18"/>
      </w:r>
    </w:p>
    <w:p w:rsidR="008A6043" w:rsidRDefault="00562755" w:rsidP="008A6043">
      <w:pPr>
        <w:pStyle w:val="BodyText"/>
      </w:pPr>
      <w:r>
        <w:t>T</w:t>
      </w:r>
      <w:r w:rsidR="008A6043">
        <w:t>he safe harbour doctrine,</w:t>
      </w:r>
      <w:r>
        <w:t xml:space="preserve"> in essence, </w:t>
      </w:r>
      <w:r w:rsidR="008A6043">
        <w:t>is a provision of a statute that specifies that certain conduct will be deemed not to violate a given rule.  The California Supreme Court has held that "safe harbours" arise in two situations: where the legislature has permitted certain conduct; or where the legislature has considered a situation and concluded no action should lie.</w:t>
      </w:r>
      <w:r w:rsidR="008A6043">
        <w:rPr>
          <w:rStyle w:val="FootnoteReference"/>
        </w:rPr>
        <w:footnoteReference w:id="19"/>
      </w:r>
      <w:r w:rsidR="008A6043">
        <w:t xml:space="preserve">  If either of these conditions exists, the UCL,</w:t>
      </w:r>
      <w:r w:rsidR="008A6043">
        <w:rPr>
          <w:rStyle w:val="FootnoteReference"/>
        </w:rPr>
        <w:footnoteReference w:id="20"/>
      </w:r>
      <w:r w:rsidR="008A6043">
        <w:t xml:space="preserve"> CLRA,</w:t>
      </w:r>
      <w:r w:rsidR="008A6043">
        <w:rPr>
          <w:rStyle w:val="FootnoteReference"/>
        </w:rPr>
        <w:footnoteReference w:id="21"/>
      </w:r>
      <w:r w:rsidR="008A6043">
        <w:t xml:space="preserve"> or FAL</w:t>
      </w:r>
      <w:r w:rsidR="008A6043">
        <w:rPr>
          <w:rStyle w:val="FootnoteReference"/>
        </w:rPr>
        <w:footnoteReference w:id="22"/>
      </w:r>
      <w:r w:rsidR="008A6043">
        <w:t xml:space="preserve"> cannot be utilised.</w:t>
      </w:r>
    </w:p>
    <w:p w:rsidR="008A6043" w:rsidRDefault="008A6043" w:rsidP="008A6043">
      <w:pPr>
        <w:pStyle w:val="BodyText"/>
      </w:pPr>
      <w:r>
        <w:t>It is in this way that California law recognises compliance with the Act as the a safe harbour to claims under the UCL, CLRA and FLA.  However, as we shall see, whilst this may have been the judiciary's initial viewpoint, there now appears to be renewed scepticism, as to whether this view is indeed correct.</w:t>
      </w:r>
    </w:p>
    <w:p w:rsidR="008A6043" w:rsidRDefault="008A6043" w:rsidP="008A6043">
      <w:pPr>
        <w:pStyle w:val="Heading2"/>
      </w:pPr>
      <w:r>
        <w:t>Survey of the case law</w:t>
      </w:r>
    </w:p>
    <w:p w:rsidR="008A6043" w:rsidRDefault="008A6043" w:rsidP="008A6043">
      <w:pPr>
        <w:pStyle w:val="Heading3"/>
      </w:pPr>
      <w:r>
        <w:rPr>
          <w:i/>
        </w:rPr>
        <w:t>Barber v Nestle (9 December 2015)</w:t>
      </w:r>
    </w:p>
    <w:p w:rsidR="00FE0C2A" w:rsidRDefault="008A6043" w:rsidP="008A6043">
      <w:pPr>
        <w:pStyle w:val="BodyText"/>
      </w:pPr>
      <w:r>
        <w:t xml:space="preserve">In </w:t>
      </w:r>
      <w:r w:rsidRPr="00FE0C2A">
        <w:rPr>
          <w:i/>
        </w:rPr>
        <w:t>Barber v Nestle</w:t>
      </w:r>
      <w:r>
        <w:t>,</w:t>
      </w:r>
      <w:r>
        <w:rPr>
          <w:rStyle w:val="FootnoteReference"/>
        </w:rPr>
        <w:footnoteReference w:id="23"/>
      </w:r>
      <w:r>
        <w:t xml:space="preserve"> the Plaintiff's claimed that Nestle was obliged to inform consumers on its product packaging that some proportion of its cat food products may include seafood which was sourced from forced labour.</w:t>
      </w:r>
      <w:r>
        <w:rPr>
          <w:rStyle w:val="FootnoteReference"/>
        </w:rPr>
        <w:footnoteReference w:id="24"/>
      </w:r>
      <w:r>
        <w:t xml:space="preserve">  This omission, it was contended, violated the UCL, CLRA, and FAL.</w:t>
      </w:r>
      <w:r>
        <w:rPr>
          <w:rStyle w:val="FootnoteReference"/>
        </w:rPr>
        <w:footnoteReference w:id="25"/>
      </w:r>
    </w:p>
    <w:p w:rsidR="008A6043" w:rsidRDefault="008A6043" w:rsidP="008A6043">
      <w:pPr>
        <w:pStyle w:val="BodyText"/>
      </w:pPr>
      <w:r>
        <w:t>Nestle sought to dismiss the action, inter alia, on the basis that the Act creates a safe harbour, thereby barring the Plaintiff's claims.</w:t>
      </w:r>
      <w:r>
        <w:rPr>
          <w:rStyle w:val="FootnoteReference"/>
        </w:rPr>
        <w:footnoteReference w:id="26"/>
      </w:r>
      <w:r>
        <w:t xml:space="preserve">  The proposition is: first, the California legislature considered and </w:t>
      </w:r>
      <w:r>
        <w:lastRenderedPageBreak/>
        <w:t>determined the nature of disclosure, that is, the five categories set out above; and second, given this</w:t>
      </w:r>
      <w:r w:rsidR="00FE0C2A">
        <w:t xml:space="preserve"> restricted disclosure</w:t>
      </w:r>
      <w:r>
        <w:t xml:space="preserve">, this inhibits utilisation of the UCL, CLRA and FAL to compel further, additional disclosure, including on packaging of products. </w:t>
      </w:r>
    </w:p>
    <w:p w:rsidR="008A6043" w:rsidRDefault="008A6043" w:rsidP="008A6043">
      <w:pPr>
        <w:pStyle w:val="BodyText"/>
      </w:pPr>
      <w:r>
        <w:t>Judge Carney referred to the legislative history of the Act and its actual text, and in doing so, formed the view that the safe harbour doctrine applied.  The Act, in Judge Carney's view, not only set the disclosure level, but also, codified it.</w:t>
      </w:r>
      <w:r>
        <w:rPr>
          <w:rStyle w:val="FootnoteReference"/>
        </w:rPr>
        <w:footnoteReference w:id="27"/>
      </w:r>
    </w:p>
    <w:p w:rsidR="008A6043" w:rsidRDefault="008A6043" w:rsidP="008A6043">
      <w:pPr>
        <w:pStyle w:val="BodyText"/>
      </w:pPr>
      <w:r>
        <w:t>In relation to the legislative history of the Act, Judge Carney stated:</w:t>
      </w:r>
    </w:p>
    <w:p w:rsidR="008A6043" w:rsidRDefault="008A6043" w:rsidP="008A6043">
      <w:pPr>
        <w:pStyle w:val="BodyTextIndent"/>
      </w:pPr>
      <w:r>
        <w:t>the "Bill Analysis" states that the measure "does not…require the relative[ly] narrow number of designated large companies to do anything other than post specified information on their web sites and also make such information available to interested consumers."  It continues to explain that 1714.43 "merely requires the specified large business entities voluntary efforts are…The bill leaves it to consumers to decided whether and how, if at all, they wish to use such information in their purchasing decisions."  This mechanism is consistent with how the Bill Analysis describes the purpose of the law: to "ensure [that] interested California consumers have reasonable access to basic information to aid their purchasing decisions."  Under 1714.43, companies are "still completely free to do anything they want about their efforts to fight human trafficking and slavery," including nothing at all, so long as they make then required disclosures.  This language is impossible to square with Plaintiffs' current contention that California consumer protection law requires companies to make disclosures beyond what 1714.43 requires in order to adequately inform California consumers.</w:t>
      </w:r>
      <w:r>
        <w:rPr>
          <w:rStyle w:val="FootnoteReference"/>
        </w:rPr>
        <w:footnoteReference w:id="28"/>
      </w:r>
    </w:p>
    <w:p w:rsidR="008A6043" w:rsidRDefault="008A6043" w:rsidP="008A6043">
      <w:pPr>
        <w:pStyle w:val="BodyText"/>
      </w:pPr>
      <w:r>
        <w:t>In relation to the text of the Act, Judge Carney determined that the Act did not extend to additional disclosures.</w:t>
      </w:r>
      <w:r>
        <w:rPr>
          <w:rStyle w:val="FootnoteReference"/>
        </w:rPr>
        <w:footnoteReference w:id="29"/>
      </w:r>
      <w:r>
        <w:t xml:space="preserve">  In other words, the Act only required limited disclosure regarding steps taken, if any, in each of the five categories.</w:t>
      </w:r>
      <w:r>
        <w:rPr>
          <w:rStyle w:val="FootnoteReference"/>
        </w:rPr>
        <w:footnoteReference w:id="30"/>
      </w:r>
      <w:r>
        <w:t xml:space="preserve">  </w:t>
      </w:r>
    </w:p>
    <w:p w:rsidR="008A6043" w:rsidRDefault="008A6043" w:rsidP="008A6043">
      <w:pPr>
        <w:pStyle w:val="BodyText"/>
      </w:pPr>
      <w:r>
        <w:t>It is clear from this conclusion, that Judge Carney was of the view that the nature and extent of disclosure begins and ends with the Act:</w:t>
      </w:r>
    </w:p>
    <w:p w:rsidR="008A6043" w:rsidRDefault="008A6043" w:rsidP="008A6043">
      <w:pPr>
        <w:pStyle w:val="BodyTextIndent"/>
      </w:pPr>
      <w:r>
        <w:t>California has spoken directly to the issue of what disclosures companies must make to customers about potential forced labour in their supply chains…courts may not override the legislature's determination and simply impose their own notions of the day as to what is fair or unfair.</w:t>
      </w:r>
      <w:r>
        <w:rPr>
          <w:rStyle w:val="FootnoteReference"/>
        </w:rPr>
        <w:footnoteReference w:id="31"/>
      </w:r>
    </w:p>
    <w:p w:rsidR="008A6043" w:rsidRDefault="008A6043" w:rsidP="008A6043">
      <w:pPr>
        <w:pStyle w:val="BodyText"/>
      </w:pPr>
      <w:r>
        <w:t>Whilst the safe harbour doctrine ultimately barred the Plaintiff's claims, a notable contention against the applicability of the safe harbour doctrine was presented.  That is, conduct will not find safe harbour under the UCL, CLRA or FAL, unless a statute or regulation specifically permits or requires conduct.</w:t>
      </w:r>
      <w:r>
        <w:rPr>
          <w:rStyle w:val="FootnoteReference"/>
        </w:rPr>
        <w:footnoteReference w:id="32"/>
      </w:r>
      <w:r>
        <w:t xml:space="preserve">  In other words, the Act does not specifically permit non-disclosure on packaging, and as such, such non-disclosure falls outside the purview of the safe harbour doctrine.  As we shall see, this contention, gained traction in later cases and appears to have formed the </w:t>
      </w:r>
      <w:r w:rsidR="006F51EB">
        <w:t>genesis</w:t>
      </w:r>
      <w:r>
        <w:t xml:space="preserve"> of a judicial re-think.</w:t>
      </w:r>
    </w:p>
    <w:p w:rsidR="000D4AC7" w:rsidRDefault="000D4AC7" w:rsidP="008A6043">
      <w:pPr>
        <w:pStyle w:val="BodyText"/>
      </w:pPr>
    </w:p>
    <w:p w:rsidR="00DC2E9A" w:rsidRDefault="00DC2E9A" w:rsidP="00DC2E9A">
      <w:pPr>
        <w:pStyle w:val="Heading3"/>
      </w:pPr>
      <w:r>
        <w:rPr>
          <w:i/>
        </w:rPr>
        <w:lastRenderedPageBreak/>
        <w:t>Wirth v Mars (5 February 2016)</w:t>
      </w:r>
    </w:p>
    <w:p w:rsidR="008A6043" w:rsidRDefault="009C7699" w:rsidP="008A6043">
      <w:pPr>
        <w:pStyle w:val="BodyText"/>
      </w:pPr>
      <w:r>
        <w:t xml:space="preserve">Shortly after </w:t>
      </w:r>
      <w:r>
        <w:rPr>
          <w:i/>
        </w:rPr>
        <w:t xml:space="preserve">Barber v Nestle, </w:t>
      </w:r>
      <w:r>
        <w:t xml:space="preserve">a putative class action was filed in </w:t>
      </w:r>
      <w:r>
        <w:rPr>
          <w:i/>
        </w:rPr>
        <w:t xml:space="preserve">Wirth v Mars </w:t>
      </w:r>
      <w:r>
        <w:t>along similar grounds.  That is, Mars failed to disclose on its cat food product packaging, the likelihood that forced labour was used in relation to sourcing of seafood that comprised this product.  This omission, it was contended, violated the UCL, CLRA and FAL.</w:t>
      </w:r>
      <w:r w:rsidR="008A6043">
        <w:rPr>
          <w:rStyle w:val="FootnoteReference"/>
        </w:rPr>
        <w:footnoteReference w:id="33"/>
      </w:r>
      <w:r w:rsidR="008A6043">
        <w:t xml:space="preserve">  </w:t>
      </w:r>
    </w:p>
    <w:p w:rsidR="008A6043" w:rsidRDefault="009C7699" w:rsidP="008A6043">
      <w:pPr>
        <w:pStyle w:val="BodyText"/>
      </w:pPr>
      <w:r>
        <w:t xml:space="preserve">In this case, </w:t>
      </w:r>
      <w:r w:rsidR="008A6043">
        <w:t>Judge Carter</w:t>
      </w:r>
      <w:r>
        <w:t xml:space="preserve">, agreed with the approach and reasoning of Judge Carney in </w:t>
      </w:r>
      <w:r>
        <w:rPr>
          <w:i/>
        </w:rPr>
        <w:t xml:space="preserve">Barber v Nestle.  </w:t>
      </w:r>
      <w:r w:rsidR="00CD3263">
        <w:t xml:space="preserve">Judge Carter observed </w:t>
      </w:r>
      <w:r w:rsidR="000D4AC7">
        <w:t>that courts may not override a s</w:t>
      </w:r>
      <w:r w:rsidR="00CD3263">
        <w:t xml:space="preserve">tate or </w:t>
      </w:r>
      <w:r w:rsidR="000D4AC7">
        <w:t>f</w:t>
      </w:r>
      <w:r w:rsidR="00CD3263">
        <w:t>ederal law that permitted certain conduct or considered a situation and concluded no action should lie.</w:t>
      </w:r>
      <w:r w:rsidR="008A6043">
        <w:rPr>
          <w:rStyle w:val="FootnoteReference"/>
        </w:rPr>
        <w:footnoteReference w:id="34"/>
      </w:r>
      <w:r w:rsidR="00CD3263">
        <w:t xml:space="preserve">  Further, that the safe harbour doctrine applied to each of California's consumer protection legislative instruments.</w:t>
      </w:r>
      <w:r w:rsidR="00CD3263">
        <w:rPr>
          <w:rStyle w:val="FootnoteReference"/>
        </w:rPr>
        <w:footnoteReference w:id="35"/>
      </w:r>
      <w:r w:rsidR="00CD3263">
        <w:t xml:space="preserve">  In doing so, </w:t>
      </w:r>
      <w:r w:rsidR="0029208F">
        <w:t xml:space="preserve">Judge Carter </w:t>
      </w:r>
      <w:r w:rsidR="00CD3263">
        <w:t xml:space="preserve">shared the same view </w:t>
      </w:r>
      <w:r w:rsidR="0029208F">
        <w:t xml:space="preserve">as </w:t>
      </w:r>
      <w:r w:rsidR="00CD3263">
        <w:t xml:space="preserve">Judge Carney </w:t>
      </w:r>
      <w:r w:rsidR="0029208F">
        <w:t xml:space="preserve">on the </w:t>
      </w:r>
      <w:r w:rsidR="00CD3263">
        <w:t xml:space="preserve">interpretation of the </w:t>
      </w:r>
      <w:r w:rsidR="008A6043">
        <w:t>Act's legislative history and text,</w:t>
      </w:r>
      <w:r w:rsidR="008A6043">
        <w:rPr>
          <w:rStyle w:val="FootnoteReference"/>
        </w:rPr>
        <w:footnoteReference w:id="36"/>
      </w:r>
      <w:r w:rsidR="00CD3263">
        <w:t xml:space="preserve"> </w:t>
      </w:r>
      <w:r w:rsidR="008A6043">
        <w:t>concluding:</w:t>
      </w:r>
    </w:p>
    <w:p w:rsidR="008A6043" w:rsidRDefault="008A6043" w:rsidP="008A6043">
      <w:pPr>
        <w:pStyle w:val="BodyTextIndent"/>
      </w:pPr>
      <w:r>
        <w:t xml:space="preserve">the Court agrees the California </w:t>
      </w:r>
      <w:r w:rsidR="000D4AC7">
        <w:t>l</w:t>
      </w:r>
      <w:r>
        <w:t>egislature considered the exact issue in this case.: what information companies are required to disclose to consumers about forced labour in their supply chains.  By prescribing "who must disclose information about forced labour in their supply chains, what they must disclose, and how they must disclose it," the California Legislature created a safe harbour that bars the Plaintiff's claims.</w:t>
      </w:r>
      <w:r>
        <w:rPr>
          <w:rStyle w:val="FootnoteReference"/>
        </w:rPr>
        <w:footnoteReference w:id="37"/>
      </w:r>
    </w:p>
    <w:p w:rsidR="0029208F" w:rsidRDefault="0029208F" w:rsidP="0029208F">
      <w:pPr>
        <w:pStyle w:val="BodyText"/>
      </w:pPr>
      <w:r>
        <w:t>Accordingly, as California legislature had considered the disclosure level, overriding that determination was not within the mandate of a court.</w:t>
      </w:r>
      <w:r>
        <w:rPr>
          <w:rStyle w:val="FootnoteReference"/>
        </w:rPr>
        <w:footnoteReference w:id="38"/>
      </w:r>
    </w:p>
    <w:p w:rsidR="008A6043" w:rsidRDefault="008A6043" w:rsidP="008A6043">
      <w:pPr>
        <w:pStyle w:val="BodyText"/>
      </w:pPr>
      <w:r>
        <w:t xml:space="preserve">Like the Plaintiff's in </w:t>
      </w:r>
      <w:r w:rsidRPr="0029208F">
        <w:rPr>
          <w:i/>
        </w:rPr>
        <w:t>Barber v Nestle</w:t>
      </w:r>
      <w:r>
        <w:t xml:space="preserve">, the Plaintiff's in </w:t>
      </w:r>
      <w:r w:rsidRPr="0029208F">
        <w:rPr>
          <w:i/>
        </w:rPr>
        <w:t>Wirth v Mars</w:t>
      </w:r>
      <w:r>
        <w:t xml:space="preserve">, also </w:t>
      </w:r>
      <w:r w:rsidR="0029208F">
        <w:t xml:space="preserve">contended that </w:t>
      </w:r>
      <w:r w:rsidR="00452302">
        <w:t>the Act does not provide for a safe harbour as there is no clear or express provisions enabling manufacturers or retailers to omit information from their product labels regarding forced labour.</w:t>
      </w:r>
      <w:r>
        <w:rPr>
          <w:rStyle w:val="FootnoteReference"/>
        </w:rPr>
        <w:footnoteReference w:id="39"/>
      </w:r>
    </w:p>
    <w:p w:rsidR="005B60F2" w:rsidRDefault="005B60F2" w:rsidP="005B60F2">
      <w:pPr>
        <w:pStyle w:val="Heading3"/>
      </w:pPr>
      <w:r>
        <w:rPr>
          <w:i/>
        </w:rPr>
        <w:t>Hodsdon v Mars (17 February 2016)</w:t>
      </w:r>
    </w:p>
    <w:p w:rsidR="008A6043" w:rsidRDefault="005B60F2" w:rsidP="008A6043">
      <w:pPr>
        <w:pStyle w:val="BodyText"/>
      </w:pPr>
      <w:r>
        <w:t xml:space="preserve">It is at this point that the legal landscape begins to change.  </w:t>
      </w:r>
      <w:r w:rsidR="00211730">
        <w:rPr>
          <w:i/>
        </w:rPr>
        <w:t xml:space="preserve">Hodsdon v Mars </w:t>
      </w:r>
      <w:r w:rsidR="00211730">
        <w:t>followed its predecessors, contending that the failure to inform consumers at the point of sale that, in this case, Mars chocolate products likely contain cocoa beans sourced using forced labour, amounted to a breach of the UCL, CLRA and FAL.</w:t>
      </w:r>
      <w:r w:rsidR="008A6043">
        <w:rPr>
          <w:rStyle w:val="FootnoteReference"/>
        </w:rPr>
        <w:footnoteReference w:id="40"/>
      </w:r>
    </w:p>
    <w:p w:rsidR="008A6043" w:rsidRDefault="008A6043" w:rsidP="008A6043">
      <w:pPr>
        <w:pStyle w:val="BodyText"/>
      </w:pPr>
      <w:r>
        <w:t>In relation to the safe harbour doctrine, Judge Seeborg  agreed with</w:t>
      </w:r>
      <w:r w:rsidR="00FE0C2A">
        <w:t xml:space="preserve"> the</w:t>
      </w:r>
      <w:r>
        <w:t xml:space="preserve"> previous decisions, in that, safe harbour</w:t>
      </w:r>
      <w:r w:rsidR="006B7CC2">
        <w:t>s come into existence when the l</w:t>
      </w:r>
      <w:r>
        <w:t>egislature has permitted certain conduct or considered a situation and concluded no action should lie.</w:t>
      </w:r>
      <w:r>
        <w:rPr>
          <w:rStyle w:val="FootnoteReference"/>
        </w:rPr>
        <w:footnoteReference w:id="41"/>
      </w:r>
      <w:r>
        <w:t xml:space="preserve">  However, Judge Seeborg, also </w:t>
      </w:r>
      <w:r w:rsidR="002A4A82">
        <w:t>stated</w:t>
      </w:r>
      <w:r>
        <w:t>:</w:t>
      </w:r>
    </w:p>
    <w:p w:rsidR="008A6043" w:rsidRDefault="008A6043" w:rsidP="008A6043">
      <w:pPr>
        <w:pStyle w:val="BodyTextIndent"/>
      </w:pPr>
      <w:r>
        <w:t>No safe harbour exists, [h]owever, if th</w:t>
      </w:r>
      <w:r w:rsidR="006B7CC2">
        <w:t>e l</w:t>
      </w:r>
      <w:r>
        <w:t>egislature did not consider that activity in those circumstances.  Thus, in the absence of "a specific provision," courts may find business practices unfair under the UCL.</w:t>
      </w:r>
      <w:r>
        <w:rPr>
          <w:rStyle w:val="FootnoteReference"/>
        </w:rPr>
        <w:footnoteReference w:id="42"/>
      </w:r>
    </w:p>
    <w:p w:rsidR="008A6043" w:rsidRDefault="008A6043" w:rsidP="008A6043">
      <w:pPr>
        <w:pStyle w:val="BodyText"/>
      </w:pPr>
      <w:r>
        <w:t>Judge Seeborg</w:t>
      </w:r>
      <w:r w:rsidR="002A4A82">
        <w:t xml:space="preserve"> went on to </w:t>
      </w:r>
      <w:r>
        <w:t>question</w:t>
      </w:r>
      <w:r w:rsidR="002A4A82">
        <w:t xml:space="preserve"> the</w:t>
      </w:r>
      <w:r>
        <w:t xml:space="preserve"> earlier decisions and their interpretation of the safe harbour doctrine:</w:t>
      </w:r>
    </w:p>
    <w:p w:rsidR="008A6043" w:rsidRDefault="008A6043" w:rsidP="008A6043">
      <w:pPr>
        <w:pStyle w:val="BodyTextIndent"/>
      </w:pPr>
      <w:r>
        <w:t>Ambiguity remains regardin</w:t>
      </w:r>
      <w:r w:rsidR="006B7CC2">
        <w:t>g how to determine whether the l</w:t>
      </w:r>
      <w:r>
        <w:t xml:space="preserve">egislature "considered a situation and concluded no action should lie." Here, for example, although there is evidence </w:t>
      </w:r>
      <w:r>
        <w:lastRenderedPageBreak/>
        <w:t>suggesting the legislature considered how to provide consumers with "reasonable access to basic information to aid their purchasing decisions," the legislative history is silent about whether the legislature contemplated disclosures on labels.</w:t>
      </w:r>
      <w:r>
        <w:rPr>
          <w:rStyle w:val="FootnoteReference"/>
        </w:rPr>
        <w:footnoteReference w:id="43"/>
      </w:r>
    </w:p>
    <w:p w:rsidR="009668DB" w:rsidRDefault="008A6043" w:rsidP="008A6043">
      <w:pPr>
        <w:pStyle w:val="BodyText"/>
        <w:rPr>
          <w:i/>
        </w:rPr>
      </w:pPr>
      <w:r>
        <w:t xml:space="preserve">Whilst </w:t>
      </w:r>
      <w:r w:rsidR="00CB04C4">
        <w:t xml:space="preserve">the safe harbour issue did not ultimately necessitate adjudication, </w:t>
      </w:r>
      <w:r>
        <w:t xml:space="preserve">Judge Seeborg, </w:t>
      </w:r>
      <w:r w:rsidR="00CB04C4">
        <w:t xml:space="preserve">expressed scepticism as to whether the </w:t>
      </w:r>
      <w:r w:rsidR="009668DB">
        <w:t>safe harbour doctrine is as broad as the earlier cases found.</w:t>
      </w:r>
      <w:r>
        <w:rPr>
          <w:rStyle w:val="FootnoteReference"/>
        </w:rPr>
        <w:footnoteReference w:id="44"/>
      </w:r>
      <w:r w:rsidR="009668DB">
        <w:t xml:space="preserve">  Less than a month later, this </w:t>
      </w:r>
      <w:r>
        <w:t xml:space="preserve">scepticism was </w:t>
      </w:r>
      <w:r w:rsidR="009668DB">
        <w:t xml:space="preserve">reiterated by Judge Spero in </w:t>
      </w:r>
      <w:r w:rsidR="009668DB">
        <w:rPr>
          <w:i/>
        </w:rPr>
        <w:t>McCoy v Nestle.</w:t>
      </w:r>
    </w:p>
    <w:p w:rsidR="00B46F1C" w:rsidRDefault="00B46F1C" w:rsidP="00B46F1C">
      <w:pPr>
        <w:pStyle w:val="Heading3"/>
      </w:pPr>
      <w:r>
        <w:rPr>
          <w:i/>
        </w:rPr>
        <w:t>McCoy v Nestle (29 March 2016)</w:t>
      </w:r>
    </w:p>
    <w:p w:rsidR="008A6043" w:rsidRDefault="000A7D91" w:rsidP="008A6043">
      <w:pPr>
        <w:pStyle w:val="BodyText"/>
      </w:pPr>
      <w:r>
        <w:rPr>
          <w:i/>
        </w:rPr>
        <w:t xml:space="preserve">McCoy v Nestle </w:t>
      </w:r>
      <w:r w:rsidR="008A6043">
        <w:t>concerned whether California law require</w:t>
      </w:r>
      <w:r>
        <w:t>d</w:t>
      </w:r>
      <w:r w:rsidR="008A6043">
        <w:t xml:space="preserve"> Nestle to inform consumers that some cocoa used in its chocolate products originated at farms in the Ivory Coast that use slave labour and the worst forms of child labour.  </w:t>
      </w:r>
      <w:r>
        <w:t xml:space="preserve">Again, </w:t>
      </w:r>
      <w:r w:rsidR="00FE0C2A">
        <w:t xml:space="preserve">like the previous cases, </w:t>
      </w:r>
      <w:r>
        <w:t>it was contended that t</w:t>
      </w:r>
      <w:r w:rsidR="008A6043">
        <w:t>he failure to disclose this information on its chocolate product packaging</w:t>
      </w:r>
      <w:r>
        <w:t xml:space="preserve"> </w:t>
      </w:r>
      <w:r w:rsidR="008A6043">
        <w:t>violated the UCL, CLRA, and FAL.</w:t>
      </w:r>
      <w:r w:rsidR="008A6043">
        <w:rPr>
          <w:rStyle w:val="FootnoteReference"/>
        </w:rPr>
        <w:footnoteReference w:id="45"/>
      </w:r>
    </w:p>
    <w:p w:rsidR="008A6043" w:rsidRDefault="003B3991" w:rsidP="008A6043">
      <w:pPr>
        <w:pStyle w:val="BodyText"/>
      </w:pPr>
      <w:r>
        <w:t xml:space="preserve">Like </w:t>
      </w:r>
      <w:r w:rsidR="008A6043" w:rsidRPr="003B3991">
        <w:rPr>
          <w:i/>
        </w:rPr>
        <w:t>Hodsdon v Mars</w:t>
      </w:r>
      <w:r w:rsidR="008A6043">
        <w:t>, determination of the safe harbour issue was not required,</w:t>
      </w:r>
      <w:r w:rsidR="008A6043">
        <w:rPr>
          <w:rStyle w:val="FootnoteReference"/>
        </w:rPr>
        <w:footnoteReference w:id="46"/>
      </w:r>
      <w:r w:rsidR="008A6043">
        <w:t xml:space="preserve"> however, Judge Spero did address the issue</w:t>
      </w:r>
      <w:r>
        <w:t>, albeit briefly</w:t>
      </w:r>
      <w:r w:rsidR="008A6043">
        <w:t>.  Judge Spero, began by setting out the scope of the doctrine as described by the California Supreme Court:</w:t>
      </w:r>
    </w:p>
    <w:p w:rsidR="008A6043" w:rsidRDefault="008A6043" w:rsidP="008A6043">
      <w:pPr>
        <w:pStyle w:val="BodyTextIndent"/>
      </w:pPr>
      <w:r>
        <w:t>A plaintiff may thus not "plead around" an "absolute bar to relief" simply "by recasting the cause of action as one for unfair competition."  The rule does not, however, prohibit an action under the unfair competition law merely because some other statute on the subject does not, itself, provide for the action or prohibit the challenged conduct.  To forestall an action under the unfair competition law, another provision must actually "bar" the action or clearly permit the conduct.</w:t>
      </w:r>
      <w:r>
        <w:rPr>
          <w:rStyle w:val="FootnoteReference"/>
        </w:rPr>
        <w:footnoteReference w:id="47"/>
      </w:r>
    </w:p>
    <w:p w:rsidR="003B3991" w:rsidRDefault="008A6043" w:rsidP="008A6043">
      <w:pPr>
        <w:pStyle w:val="BodyText"/>
      </w:pPr>
      <w:r>
        <w:t>In this context, Judge Spero, remarked</w:t>
      </w:r>
      <w:r w:rsidR="003B3991">
        <w:t>:</w:t>
      </w:r>
    </w:p>
    <w:p w:rsidR="003B3991" w:rsidRDefault="008A6043" w:rsidP="003B3991">
      <w:pPr>
        <w:pStyle w:val="BodyTextIndent"/>
      </w:pPr>
      <w:r>
        <w:t>the Act does not actually "bar" any action.</w:t>
      </w:r>
      <w:r w:rsidR="003B3991">
        <w:t xml:space="preserve"> Nor does it</w:t>
      </w:r>
      <w:r>
        <w:t xml:space="preserve"> "clearly permit" any conduct except disclosure of efforts in relation to the eradication of slavery and human trafficking.</w:t>
      </w:r>
      <w:r>
        <w:rPr>
          <w:rStyle w:val="FootnoteReference"/>
        </w:rPr>
        <w:footnoteReference w:id="48"/>
      </w:r>
      <w:r>
        <w:t xml:space="preserve">  </w:t>
      </w:r>
    </w:p>
    <w:p w:rsidR="008A6043" w:rsidRDefault="003B3991" w:rsidP="008A6043">
      <w:pPr>
        <w:pStyle w:val="BodyText"/>
      </w:pPr>
      <w:r>
        <w:t xml:space="preserve">Judge Spero went on to refer to </w:t>
      </w:r>
      <w:r>
        <w:rPr>
          <w:i/>
        </w:rPr>
        <w:t xml:space="preserve">Hodsdon v Mars, </w:t>
      </w:r>
      <w:r>
        <w:t xml:space="preserve">citing that the legislative </w:t>
      </w:r>
      <w:r w:rsidR="005852DE">
        <w:t>history is silent in relation to whether the legislature contemplated disclosure on labels.  Notably, in this regard, Judge Spero stated that Nestle had not "identified any law expressly permitting the omission of disclosures on product labels in relation to slavery or human trafficking in a product's supply chain."</w:t>
      </w:r>
      <w:r w:rsidR="008A6043">
        <w:rPr>
          <w:rStyle w:val="FootnoteReference"/>
        </w:rPr>
        <w:footnoteReference w:id="49"/>
      </w:r>
    </w:p>
    <w:p w:rsidR="008A6043" w:rsidRDefault="008A6043" w:rsidP="008A6043">
      <w:pPr>
        <w:pStyle w:val="BodyText"/>
      </w:pPr>
      <w:r>
        <w:t xml:space="preserve">Whilst Judge Spero did not need to </w:t>
      </w:r>
      <w:r w:rsidR="00096778">
        <w:t>decide</w:t>
      </w:r>
      <w:r>
        <w:t xml:space="preserve"> whether </w:t>
      </w:r>
      <w:r w:rsidRPr="00096778">
        <w:rPr>
          <w:i/>
        </w:rPr>
        <w:t>Barber v Nestle</w:t>
      </w:r>
      <w:r w:rsidR="00096778">
        <w:t xml:space="preserve"> or </w:t>
      </w:r>
      <w:r w:rsidR="00096778" w:rsidRPr="00096778">
        <w:rPr>
          <w:i/>
        </w:rPr>
        <w:t>Wirth v Mars</w:t>
      </w:r>
      <w:r w:rsidR="00096778">
        <w:t xml:space="preserve"> were</w:t>
      </w:r>
      <w:r>
        <w:t xml:space="preserve"> correct, Judge Spero did endorse Judge Seeborg's scepticism in relation to the broadness of the safe harbour doctrine:</w:t>
      </w:r>
    </w:p>
    <w:p w:rsidR="008A6043" w:rsidRDefault="008A6043" w:rsidP="008A6043">
      <w:pPr>
        <w:pStyle w:val="BodyTextIndent"/>
      </w:pPr>
      <w:r>
        <w:t>moreover, there is a difference between, on one hand, advertising the steps a company has taken to reduce slavery in its supply chain (as the statute requires), and on the other, disclosing that such slavery persists (as McCoy seeks here).  That the legislature mandated the former in certain instances does not necessarily indicate a conclusion that the latter could never be required under existing consumer protection laws.</w:t>
      </w:r>
      <w:r>
        <w:rPr>
          <w:rStyle w:val="FootnoteReference"/>
        </w:rPr>
        <w:footnoteReference w:id="50"/>
      </w:r>
    </w:p>
    <w:p w:rsidR="0061453E" w:rsidRDefault="0061453E" w:rsidP="0061453E">
      <w:pPr>
        <w:pStyle w:val="Heading2"/>
      </w:pPr>
      <w:r>
        <w:lastRenderedPageBreak/>
        <w:t>Conclusion</w:t>
      </w:r>
    </w:p>
    <w:p w:rsidR="0061453E" w:rsidRDefault="0061453E" w:rsidP="0061453E">
      <w:pPr>
        <w:pStyle w:val="BodyText"/>
      </w:pPr>
      <w:r>
        <w:t>It appears that the broad interpretation given to the safe harbour doctrine in the context of the Act and California's consumer protection laws, is at the very least, in doubt.  All cases are currently on appeal.</w:t>
      </w:r>
      <w:r w:rsidR="00423EA6">
        <w:rPr>
          <w:rStyle w:val="FootnoteReference"/>
        </w:rPr>
        <w:footnoteReference w:id="51"/>
      </w:r>
      <w:r>
        <w:t xml:space="preserve">  Accordingly, it is a space to monitor closely, as the impacts for businesses may be significant, both in terms of defending </w:t>
      </w:r>
      <w:r w:rsidR="00FE0C2A">
        <w:t xml:space="preserve">potential </w:t>
      </w:r>
      <w:r>
        <w:t>consumer law actions and/or having to label products, should the safe harbour doctrine lose its broad application.</w:t>
      </w:r>
    </w:p>
    <w:p w:rsidR="004752AD" w:rsidRPr="0061453E" w:rsidRDefault="004752AD" w:rsidP="0061453E">
      <w:pPr>
        <w:pStyle w:val="BodyText"/>
      </w:pPr>
    </w:p>
    <w:p w:rsidR="008A6043" w:rsidRPr="008A6043" w:rsidRDefault="008A6043" w:rsidP="008A6043">
      <w:pPr>
        <w:pStyle w:val="BodyText"/>
      </w:pPr>
    </w:p>
    <w:sectPr w:rsidR="008A6043" w:rsidRPr="008A6043" w:rsidSect="008A6043">
      <w:headerReference w:type="even" r:id="rId11"/>
      <w:headerReference w:type="default" r:id="rId12"/>
      <w:footerReference w:type="even" r:id="rId13"/>
      <w:footerReference w:type="default" r:id="rId14"/>
      <w:headerReference w:type="first" r:id="rId15"/>
      <w:footerReference w:type="first" r:id="rId16"/>
      <w:pgSz w:w="11907" w:h="16839"/>
      <w:pgMar w:top="1440" w:right="1440" w:bottom="1440" w:left="1440" w:header="864"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08F" w:rsidRDefault="0029208F">
      <w:r>
        <w:separator/>
      </w:r>
    </w:p>
  </w:endnote>
  <w:endnote w:type="continuationSeparator" w:id="0">
    <w:p w:rsidR="0029208F" w:rsidRDefault="0029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08F" w:rsidRDefault="0029208F" w:rsidP="009F6D0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29208F" w:rsidRDefault="0029208F" w:rsidP="009F6D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08F" w:rsidRDefault="0029208F" w:rsidP="008A60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2F2F">
      <w:rPr>
        <w:rStyle w:val="PageNumber"/>
      </w:rPr>
      <w:t>5</w:t>
    </w:r>
    <w:r>
      <w:rPr>
        <w:rStyle w:val="PageNumber"/>
      </w:rPr>
      <w:fldChar w:fldCharType="end"/>
    </w:r>
  </w:p>
  <w:p w:rsidR="0029208F" w:rsidRDefault="002920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08F" w:rsidRDefault="00292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08F" w:rsidRDefault="0029208F">
      <w:r>
        <w:separator/>
      </w:r>
    </w:p>
  </w:footnote>
  <w:footnote w:type="continuationSeparator" w:id="0">
    <w:p w:rsidR="0029208F" w:rsidRDefault="0029208F">
      <w:r>
        <w:continuationSeparator/>
      </w:r>
    </w:p>
  </w:footnote>
  <w:footnote w:id="1">
    <w:p w:rsidR="00820AF6" w:rsidRDefault="00820AF6">
      <w:pPr>
        <w:pStyle w:val="FootnoteText"/>
      </w:pPr>
      <w:r>
        <w:rPr>
          <w:rStyle w:val="FootnoteReference"/>
        </w:rPr>
        <w:footnoteRef/>
      </w:r>
      <w:r>
        <w:t xml:space="preserve"> Partner, Baker</w:t>
      </w:r>
      <w:r w:rsidR="004C27F1">
        <w:t xml:space="preserve"> &amp; </w:t>
      </w:r>
      <w:r>
        <w:t>McKenzie</w:t>
      </w:r>
    </w:p>
  </w:footnote>
  <w:footnote w:id="2">
    <w:p w:rsidR="00820AF6" w:rsidRDefault="00820AF6">
      <w:pPr>
        <w:pStyle w:val="FootnoteText"/>
      </w:pPr>
      <w:r>
        <w:rPr>
          <w:rStyle w:val="FootnoteReference"/>
        </w:rPr>
        <w:footnoteRef/>
      </w:r>
      <w:r>
        <w:t xml:space="preserve"> Special Counsel, Baker &amp; McKenzie</w:t>
      </w:r>
    </w:p>
  </w:footnote>
  <w:footnote w:id="3">
    <w:p w:rsidR="0029208F" w:rsidRDefault="0029208F">
      <w:pPr>
        <w:pStyle w:val="FootnoteText"/>
      </w:pPr>
      <w:r>
        <w:rPr>
          <w:rStyle w:val="FootnoteReference"/>
        </w:rPr>
        <w:footnoteRef/>
      </w:r>
      <w:r>
        <w:t xml:space="preserve"> The Act amended the </w:t>
      </w:r>
      <w:r w:rsidRPr="008A6043">
        <w:rPr>
          <w:i/>
        </w:rPr>
        <w:t>Civil</w:t>
      </w:r>
      <w:r w:rsidR="00EA034A">
        <w:rPr>
          <w:i/>
        </w:rPr>
        <w:t xml:space="preserve"> Code of the State of California</w:t>
      </w:r>
      <w:r w:rsidR="002131F2">
        <w:rPr>
          <w:i/>
        </w:rPr>
        <w:t xml:space="preserve"> 1872 </w:t>
      </w:r>
      <w:r w:rsidR="002131F2">
        <w:t xml:space="preserve">(California) </w:t>
      </w:r>
      <w:r w:rsidR="00EA034A">
        <w:t>s</w:t>
      </w:r>
      <w:r>
        <w:t>1714.43</w:t>
      </w:r>
    </w:p>
  </w:footnote>
  <w:footnote w:id="4">
    <w:p w:rsidR="0029208F" w:rsidRDefault="0029208F">
      <w:pPr>
        <w:pStyle w:val="FootnoteText"/>
      </w:pPr>
      <w:r>
        <w:rPr>
          <w:rStyle w:val="FootnoteReference"/>
        </w:rPr>
        <w:footnoteRef/>
      </w:r>
      <w:r>
        <w:t xml:space="preserve"> </w:t>
      </w:r>
      <w:r w:rsidRPr="008A6043">
        <w:rPr>
          <w:i/>
        </w:rPr>
        <w:t>Civil Code of the State of California</w:t>
      </w:r>
      <w:r w:rsidR="00EA034A">
        <w:rPr>
          <w:i/>
        </w:rPr>
        <w:t xml:space="preserve"> 1872 </w:t>
      </w:r>
      <w:r w:rsidR="00EA034A">
        <w:t xml:space="preserve">(California) </w:t>
      </w:r>
      <w:r w:rsidRPr="008A6043">
        <w:t>s1714.43(a)(1)</w:t>
      </w:r>
    </w:p>
  </w:footnote>
  <w:footnote w:id="5">
    <w:p w:rsidR="0029208F" w:rsidRDefault="0029208F">
      <w:pPr>
        <w:pStyle w:val="FootnoteText"/>
      </w:pPr>
      <w:r>
        <w:rPr>
          <w:rStyle w:val="FootnoteReference"/>
        </w:rPr>
        <w:footnoteRef/>
      </w:r>
      <w:r>
        <w:t xml:space="preserve"> </w:t>
      </w:r>
      <w:r w:rsidR="00EA034A" w:rsidRPr="003818BE">
        <w:t>Civil Code of the State of California</w:t>
      </w:r>
      <w:r w:rsidR="003818BE">
        <w:t xml:space="preserve"> </w:t>
      </w:r>
      <w:r w:rsidR="00EA034A" w:rsidRPr="008A6043">
        <w:t>s</w:t>
      </w:r>
      <w:r w:rsidRPr="008A6043">
        <w:t>1714.43(a)(1)</w:t>
      </w:r>
      <w:r w:rsidR="00EA034A">
        <w:t xml:space="preserve">. </w:t>
      </w:r>
      <w:r w:rsidR="003818BE">
        <w:t xml:space="preserve"> </w:t>
      </w:r>
      <w:r w:rsidR="00EA034A">
        <w:t xml:space="preserve">Note: the terms "retail seller", "manufacturer", "doing business in California" and "gross receipts" are defined in the </w:t>
      </w:r>
      <w:r w:rsidR="00EA034A">
        <w:rPr>
          <w:i/>
        </w:rPr>
        <w:t xml:space="preserve">Revenue and Taxation Code </w:t>
      </w:r>
      <w:r w:rsidR="00B140F3">
        <w:rPr>
          <w:i/>
        </w:rPr>
        <w:t>1939</w:t>
      </w:r>
      <w:r w:rsidR="00EA034A">
        <w:rPr>
          <w:i/>
        </w:rPr>
        <w:t xml:space="preserve"> </w:t>
      </w:r>
      <w:r w:rsidR="00EA034A">
        <w:t>(California).</w:t>
      </w:r>
    </w:p>
  </w:footnote>
  <w:footnote w:id="6">
    <w:p w:rsidR="0029208F" w:rsidRDefault="0029208F">
      <w:pPr>
        <w:pStyle w:val="FootnoteText"/>
      </w:pPr>
      <w:r>
        <w:rPr>
          <w:rStyle w:val="FootnoteReference"/>
        </w:rPr>
        <w:footnoteRef/>
      </w:r>
      <w:r>
        <w:t xml:space="preserve"> </w:t>
      </w:r>
      <w:r w:rsidR="003818BE" w:rsidRPr="003818BE">
        <w:t>Civil Code of the State of California</w:t>
      </w:r>
      <w:r w:rsidR="003818BE">
        <w:t xml:space="preserve"> </w:t>
      </w:r>
      <w:r w:rsidR="003818BE" w:rsidRPr="008A6043">
        <w:t>s</w:t>
      </w:r>
      <w:r w:rsidRPr="008A6043">
        <w:t>1714.43(</w:t>
      </w:r>
      <w:r>
        <w:t>c</w:t>
      </w:r>
      <w:r w:rsidRPr="008A6043">
        <w:t>)(1)</w:t>
      </w:r>
    </w:p>
  </w:footnote>
  <w:footnote w:id="7">
    <w:p w:rsidR="0029208F" w:rsidRDefault="0029208F">
      <w:pPr>
        <w:pStyle w:val="FootnoteText"/>
      </w:pPr>
      <w:r>
        <w:rPr>
          <w:rStyle w:val="FootnoteReference"/>
        </w:rPr>
        <w:footnoteRef/>
      </w:r>
      <w:r>
        <w:t xml:space="preserve"> </w:t>
      </w:r>
      <w:r w:rsidR="003818BE" w:rsidRPr="003818BE">
        <w:t>Civil Code of the State of California</w:t>
      </w:r>
      <w:r w:rsidR="003818BE">
        <w:t xml:space="preserve"> </w:t>
      </w:r>
      <w:r w:rsidR="003818BE" w:rsidRPr="008A6043">
        <w:t>s</w:t>
      </w:r>
      <w:r w:rsidRPr="008A6043">
        <w:t>1714.43(</w:t>
      </w:r>
      <w:r>
        <w:t>c</w:t>
      </w:r>
      <w:r w:rsidRPr="008A6043">
        <w:t>)(</w:t>
      </w:r>
      <w:r>
        <w:t>2)</w:t>
      </w:r>
    </w:p>
  </w:footnote>
  <w:footnote w:id="8">
    <w:p w:rsidR="0029208F" w:rsidRDefault="0029208F">
      <w:pPr>
        <w:pStyle w:val="FootnoteText"/>
      </w:pPr>
      <w:r>
        <w:rPr>
          <w:rStyle w:val="FootnoteReference"/>
        </w:rPr>
        <w:footnoteRef/>
      </w:r>
      <w:r>
        <w:t xml:space="preserve"> </w:t>
      </w:r>
      <w:r w:rsidR="003818BE" w:rsidRPr="003818BE">
        <w:t>Civil Code of the State of California</w:t>
      </w:r>
      <w:r w:rsidR="003818BE">
        <w:t xml:space="preserve"> </w:t>
      </w:r>
      <w:r w:rsidR="003818BE" w:rsidRPr="008A6043">
        <w:t>s</w:t>
      </w:r>
      <w:r w:rsidRPr="008A6043">
        <w:t>1714.43(</w:t>
      </w:r>
      <w:r>
        <w:t>c</w:t>
      </w:r>
      <w:r w:rsidRPr="008A6043">
        <w:t>)(</w:t>
      </w:r>
      <w:r>
        <w:t>3)</w:t>
      </w:r>
    </w:p>
  </w:footnote>
  <w:footnote w:id="9">
    <w:p w:rsidR="0029208F" w:rsidRDefault="0029208F">
      <w:pPr>
        <w:pStyle w:val="FootnoteText"/>
      </w:pPr>
      <w:r>
        <w:rPr>
          <w:rStyle w:val="FootnoteReference"/>
        </w:rPr>
        <w:footnoteRef/>
      </w:r>
      <w:r>
        <w:t xml:space="preserve"> </w:t>
      </w:r>
      <w:r w:rsidR="003818BE" w:rsidRPr="003818BE">
        <w:t>Civil Code of the State of California</w:t>
      </w:r>
      <w:r w:rsidR="003818BE">
        <w:t xml:space="preserve"> </w:t>
      </w:r>
      <w:r w:rsidR="003818BE" w:rsidRPr="008A6043">
        <w:t>s</w:t>
      </w:r>
      <w:r w:rsidR="00915C1E">
        <w:t>1</w:t>
      </w:r>
      <w:r w:rsidRPr="008A6043">
        <w:t>714.43(</w:t>
      </w:r>
      <w:r>
        <w:t>c</w:t>
      </w:r>
      <w:r w:rsidRPr="008A6043">
        <w:t>)(</w:t>
      </w:r>
      <w:r>
        <w:t>4)</w:t>
      </w:r>
    </w:p>
  </w:footnote>
  <w:footnote w:id="10">
    <w:p w:rsidR="0029208F" w:rsidRDefault="0029208F">
      <w:pPr>
        <w:pStyle w:val="FootnoteText"/>
      </w:pPr>
      <w:r>
        <w:rPr>
          <w:rStyle w:val="FootnoteReference"/>
        </w:rPr>
        <w:footnoteRef/>
      </w:r>
      <w:r>
        <w:t xml:space="preserve"> </w:t>
      </w:r>
      <w:r w:rsidR="003818BE" w:rsidRPr="003818BE">
        <w:t>Civil Code of the State of California</w:t>
      </w:r>
      <w:r w:rsidR="003818BE">
        <w:t xml:space="preserve"> </w:t>
      </w:r>
      <w:r w:rsidR="003818BE" w:rsidRPr="008A6043">
        <w:t>s</w:t>
      </w:r>
      <w:r w:rsidRPr="008A6043">
        <w:t>1714.43(</w:t>
      </w:r>
      <w:r>
        <w:t>c</w:t>
      </w:r>
      <w:r w:rsidRPr="008A6043">
        <w:t>)(</w:t>
      </w:r>
      <w:r>
        <w:t>5)</w:t>
      </w:r>
    </w:p>
  </w:footnote>
  <w:footnote w:id="11">
    <w:p w:rsidR="0029208F" w:rsidRDefault="0029208F">
      <w:pPr>
        <w:pStyle w:val="FootnoteText"/>
      </w:pPr>
      <w:r>
        <w:rPr>
          <w:rStyle w:val="FootnoteReference"/>
        </w:rPr>
        <w:footnoteRef/>
      </w:r>
      <w:r>
        <w:t xml:space="preserve"> </w:t>
      </w:r>
      <w:r w:rsidR="003818BE" w:rsidRPr="003818BE">
        <w:t>Civil Code of the State of California</w:t>
      </w:r>
      <w:r w:rsidR="003818BE">
        <w:t xml:space="preserve"> </w:t>
      </w:r>
      <w:r w:rsidR="003818BE" w:rsidRPr="008A6043">
        <w:t>s</w:t>
      </w:r>
      <w:r w:rsidR="00915C1E">
        <w:t>1</w:t>
      </w:r>
      <w:r w:rsidRPr="008A6043">
        <w:t>714.43(</w:t>
      </w:r>
      <w:r>
        <w:t>d)</w:t>
      </w:r>
    </w:p>
  </w:footnote>
  <w:footnote w:id="12">
    <w:p w:rsidR="0029208F" w:rsidRDefault="0029208F">
      <w:pPr>
        <w:pStyle w:val="FootnoteText"/>
      </w:pPr>
      <w:r>
        <w:rPr>
          <w:rStyle w:val="FootnoteReference"/>
        </w:rPr>
        <w:footnoteRef/>
      </w:r>
      <w:r>
        <w:t xml:space="preserve"> </w:t>
      </w:r>
      <w:r w:rsidR="003818BE" w:rsidRPr="003818BE">
        <w:t>Civil Code of the State of California</w:t>
      </w:r>
      <w:r w:rsidR="003818BE">
        <w:t xml:space="preserve"> </w:t>
      </w:r>
      <w:r w:rsidR="003818BE" w:rsidRPr="008A6043">
        <w:t>s</w:t>
      </w:r>
      <w:r w:rsidRPr="008A6043">
        <w:t>1714.43(</w:t>
      </w:r>
      <w:r>
        <w:t>d)</w:t>
      </w:r>
    </w:p>
  </w:footnote>
  <w:footnote w:id="13">
    <w:p w:rsidR="0029208F" w:rsidRPr="00D81DB0" w:rsidRDefault="0029208F" w:rsidP="008A6043">
      <w:pPr>
        <w:pStyle w:val="FootnoteText"/>
        <w:rPr>
          <w:i/>
          <w:highlight w:val="yellow"/>
        </w:rPr>
      </w:pPr>
      <w:r w:rsidRPr="002131F2">
        <w:rPr>
          <w:rStyle w:val="FootnoteReference"/>
        </w:rPr>
        <w:footnoteRef/>
      </w:r>
      <w:r w:rsidRPr="002131F2">
        <w:t xml:space="preserve"> </w:t>
      </w:r>
      <w:r w:rsidR="002131F2" w:rsidRPr="002131F2">
        <w:rPr>
          <w:i/>
        </w:rPr>
        <w:t xml:space="preserve">California Business &amp; Professions Code 1937 </w:t>
      </w:r>
      <w:r w:rsidR="002131F2" w:rsidRPr="002131F2">
        <w:t>(California) s17200-17210</w:t>
      </w:r>
    </w:p>
  </w:footnote>
  <w:footnote w:id="14">
    <w:p w:rsidR="0029208F" w:rsidRPr="00D81DB0" w:rsidRDefault="0029208F" w:rsidP="008A6043">
      <w:pPr>
        <w:pStyle w:val="FootnoteText"/>
        <w:rPr>
          <w:highlight w:val="yellow"/>
        </w:rPr>
      </w:pPr>
      <w:r w:rsidRPr="002131F2">
        <w:rPr>
          <w:rStyle w:val="FootnoteReference"/>
        </w:rPr>
        <w:footnoteRef/>
      </w:r>
      <w:r w:rsidRPr="002131F2">
        <w:t xml:space="preserve"> </w:t>
      </w:r>
      <w:r w:rsidR="002131F2" w:rsidRPr="002131F2">
        <w:rPr>
          <w:i/>
        </w:rPr>
        <w:t>Ci</w:t>
      </w:r>
      <w:r w:rsidR="002131F2" w:rsidRPr="008A6043">
        <w:rPr>
          <w:i/>
        </w:rPr>
        <w:t>vil Code of the State of California</w:t>
      </w:r>
      <w:r w:rsidR="002131F2">
        <w:rPr>
          <w:i/>
        </w:rPr>
        <w:t xml:space="preserve"> 1872 </w:t>
      </w:r>
      <w:r w:rsidR="002131F2">
        <w:t xml:space="preserve">(California) </w:t>
      </w:r>
      <w:r w:rsidR="002131F2" w:rsidRPr="008A6043">
        <w:t>s</w:t>
      </w:r>
      <w:r w:rsidR="002131F2">
        <w:t>1750-1784</w:t>
      </w:r>
    </w:p>
  </w:footnote>
  <w:footnote w:id="15">
    <w:p w:rsidR="0029208F" w:rsidRDefault="0029208F" w:rsidP="008A6043">
      <w:pPr>
        <w:pStyle w:val="FootnoteText"/>
      </w:pPr>
      <w:r w:rsidRPr="002131F2">
        <w:rPr>
          <w:rStyle w:val="FootnoteReference"/>
        </w:rPr>
        <w:footnoteRef/>
      </w:r>
      <w:r w:rsidRPr="002131F2">
        <w:t xml:space="preserve"> </w:t>
      </w:r>
      <w:r w:rsidR="002131F2" w:rsidRPr="002131F2">
        <w:rPr>
          <w:i/>
        </w:rPr>
        <w:t xml:space="preserve">California Business &amp; Professions Code 1937 </w:t>
      </w:r>
      <w:r w:rsidR="002131F2" w:rsidRPr="002131F2">
        <w:t>(California) s</w:t>
      </w:r>
      <w:r w:rsidR="002131F2">
        <w:t>17500-17509</w:t>
      </w:r>
    </w:p>
  </w:footnote>
  <w:footnote w:id="16">
    <w:p w:rsidR="00637A76" w:rsidRDefault="00637A76">
      <w:pPr>
        <w:pStyle w:val="FootnoteText"/>
      </w:pPr>
      <w:r>
        <w:rPr>
          <w:rStyle w:val="FootnoteReference"/>
        </w:rPr>
        <w:footnoteRef/>
      </w:r>
      <w:r>
        <w:t xml:space="preserve"> See for example, </w:t>
      </w:r>
      <w:r w:rsidRPr="00D81DB0">
        <w:rPr>
          <w:i/>
        </w:rPr>
        <w:t>McCoy v Nestle</w:t>
      </w:r>
      <w:r w:rsidR="00D81DB0">
        <w:rPr>
          <w:i/>
        </w:rPr>
        <w:t xml:space="preserve"> United States Inc., </w:t>
      </w:r>
      <w:r w:rsidR="00D81DB0">
        <w:t xml:space="preserve">Case No. 15-cv-04451-JCS (N.D. Cal. Mar. 29, 2016) </w:t>
      </w:r>
      <w:r>
        <w:t>3</w:t>
      </w:r>
    </w:p>
  </w:footnote>
  <w:footnote w:id="17">
    <w:p w:rsidR="001A536C" w:rsidRDefault="001A536C">
      <w:pPr>
        <w:pStyle w:val="FootnoteText"/>
      </w:pPr>
      <w:r>
        <w:rPr>
          <w:rStyle w:val="FootnoteReference"/>
        </w:rPr>
        <w:footnoteRef/>
      </w:r>
      <w:r>
        <w:t xml:space="preserve"> See for example, </w:t>
      </w:r>
      <w:r w:rsidR="00DA0F30" w:rsidRPr="00D81DB0">
        <w:rPr>
          <w:i/>
        </w:rPr>
        <w:t>McCoy v Nestle</w:t>
      </w:r>
      <w:r w:rsidR="00DA0F30">
        <w:rPr>
          <w:i/>
        </w:rPr>
        <w:t xml:space="preserve"> United States Inc., </w:t>
      </w:r>
      <w:r w:rsidR="00DA0F30">
        <w:t>Case No. 15-cv-04451-JCS (N.D. Cal. Mar. 29, 2016) 3</w:t>
      </w:r>
    </w:p>
  </w:footnote>
  <w:footnote w:id="18">
    <w:p w:rsidR="00CF3A27" w:rsidRDefault="00CF3A27">
      <w:pPr>
        <w:pStyle w:val="FootnoteText"/>
      </w:pPr>
      <w:r>
        <w:rPr>
          <w:rStyle w:val="FootnoteReference"/>
        </w:rPr>
        <w:footnoteRef/>
      </w:r>
      <w:r>
        <w:t xml:space="preserve"> See for example, </w:t>
      </w:r>
      <w:r w:rsidR="00DA0F30" w:rsidRPr="00D81DB0">
        <w:rPr>
          <w:i/>
        </w:rPr>
        <w:t>McCoy v Nestle</w:t>
      </w:r>
      <w:r w:rsidR="00DA0F30">
        <w:rPr>
          <w:i/>
        </w:rPr>
        <w:t xml:space="preserve"> United States Inc., </w:t>
      </w:r>
      <w:r w:rsidR="00DA0F30">
        <w:t>Case No. 15-cv-04451-JCS (N.D. Cal. Mar. 29, 2016) 3</w:t>
      </w:r>
    </w:p>
  </w:footnote>
  <w:footnote w:id="19">
    <w:p w:rsidR="0029208F" w:rsidRPr="008A6043" w:rsidRDefault="0029208F">
      <w:pPr>
        <w:pStyle w:val="FootnoteText"/>
      </w:pPr>
      <w:r>
        <w:rPr>
          <w:rStyle w:val="FootnoteReference"/>
        </w:rPr>
        <w:footnoteRef/>
      </w:r>
      <w:r>
        <w:t xml:space="preserve"> </w:t>
      </w:r>
      <w:r>
        <w:rPr>
          <w:i/>
        </w:rPr>
        <w:t xml:space="preserve">Cel-Tech Comms., Inc. v. L.A. Cellular Tel. Co., </w:t>
      </w:r>
      <w:r>
        <w:t>20 Cal. 4th 163, 182 (Cal. 1999)</w:t>
      </w:r>
    </w:p>
  </w:footnote>
  <w:footnote w:id="20">
    <w:p w:rsidR="0029208F" w:rsidRDefault="0029208F">
      <w:pPr>
        <w:pStyle w:val="FootnoteText"/>
      </w:pPr>
      <w:r>
        <w:rPr>
          <w:rStyle w:val="FootnoteReference"/>
        </w:rPr>
        <w:footnoteRef/>
      </w:r>
      <w:r>
        <w:t xml:space="preserve"> </w:t>
      </w:r>
      <w:r w:rsidR="00A323DA">
        <w:rPr>
          <w:i/>
        </w:rPr>
        <w:t xml:space="preserve">Cel-Tech Comms., Inc. v. L.A. Cellular Tel. Co., </w:t>
      </w:r>
      <w:r w:rsidR="00A323DA">
        <w:t>20 Cal. 4th 163, 182 (Cal. 1999)</w:t>
      </w:r>
    </w:p>
  </w:footnote>
  <w:footnote w:id="21">
    <w:p w:rsidR="0029208F" w:rsidRDefault="0029208F">
      <w:pPr>
        <w:pStyle w:val="FootnoteText"/>
      </w:pPr>
      <w:r>
        <w:rPr>
          <w:rStyle w:val="FootnoteReference"/>
        </w:rPr>
        <w:footnoteRef/>
      </w:r>
      <w:r>
        <w:t xml:space="preserve"> </w:t>
      </w:r>
      <w:r>
        <w:rPr>
          <w:i/>
        </w:rPr>
        <w:t xml:space="preserve">Alvarez v, Chevron Corp., </w:t>
      </w:r>
      <w:r w:rsidRPr="008A6043">
        <w:t>656 F.3d 925, 933-34 (9th Cir. 2011)</w:t>
      </w:r>
      <w:r>
        <w:t xml:space="preserve">.  This case applied the safe harbour doctrine to UCL and CLRA claims; </w:t>
      </w:r>
      <w:r>
        <w:rPr>
          <w:i/>
        </w:rPr>
        <w:t xml:space="preserve">Cruz v. Anheuser-Busch, LLC, </w:t>
      </w:r>
      <w:r>
        <w:t>No. CV14-09670 AB (ASx), 2015 WL 3561536, at 3 (C.D. Cal. 3 June 2015).  This case applied the safe harbour doctrine to UCL, CLRA and FAL claims .</w:t>
      </w:r>
    </w:p>
  </w:footnote>
  <w:footnote w:id="22">
    <w:p w:rsidR="0029208F" w:rsidRPr="008A6043" w:rsidRDefault="0029208F">
      <w:pPr>
        <w:pStyle w:val="FootnoteText"/>
        <w:rPr>
          <w:i/>
        </w:rPr>
      </w:pPr>
      <w:r>
        <w:rPr>
          <w:rStyle w:val="FootnoteReference"/>
        </w:rPr>
        <w:footnoteRef/>
      </w:r>
      <w:r w:rsidR="006313A1">
        <w:t xml:space="preserve"> </w:t>
      </w:r>
      <w:r>
        <w:rPr>
          <w:i/>
        </w:rPr>
        <w:t xml:space="preserve">Pom Wonderful LLC v. Coca Cola Co., </w:t>
      </w:r>
      <w:r>
        <w:t xml:space="preserve">No. CV08-06237 SJO (FMOx), 2013 WL 543361 at 5 (C.D. Cal. Apr. 16, 2013).  This case applied the safe harbour doctrine to UCL and FAL claims; </w:t>
      </w:r>
      <w:r>
        <w:rPr>
          <w:i/>
        </w:rPr>
        <w:t xml:space="preserve">Cruz v. Anheuser-Busch, LLC, </w:t>
      </w:r>
      <w:r>
        <w:t>No. CV14-09670 AB (ASx), 2015 WL 3561536, at 3 (C.D. Cal. 3 June 2015).  This case applied the safe harbour doctrine to UCL, CLRA and FAL claims .</w:t>
      </w:r>
    </w:p>
  </w:footnote>
  <w:footnote w:id="23">
    <w:p w:rsidR="0029208F" w:rsidRPr="006313A1" w:rsidRDefault="0029208F">
      <w:pPr>
        <w:pStyle w:val="FootnoteText"/>
      </w:pPr>
      <w:r>
        <w:rPr>
          <w:rStyle w:val="FootnoteReference"/>
        </w:rPr>
        <w:footnoteRef/>
      </w:r>
      <w:r>
        <w:t xml:space="preserve"> </w:t>
      </w:r>
      <w:r w:rsidR="006313A1">
        <w:rPr>
          <w:i/>
        </w:rPr>
        <w:t xml:space="preserve">Barber v Nestle Inc., a Delaware Corporation; and Nestle Purina Petcare Co., a Missouri Corporation, </w:t>
      </w:r>
      <w:r w:rsidR="006313A1">
        <w:t xml:space="preserve">Case No. </w:t>
      </w:r>
      <w:r w:rsidR="006B7CC2">
        <w:t>SACV 15-0</w:t>
      </w:r>
      <w:r w:rsidR="006313A1">
        <w:t>1364-CJC</w:t>
      </w:r>
      <w:r w:rsidR="006B7CC2">
        <w:t xml:space="preserve"> (</w:t>
      </w:r>
      <w:r w:rsidR="006313A1">
        <w:t>AGR</w:t>
      </w:r>
      <w:r w:rsidR="006B7CC2">
        <w:t>x)</w:t>
      </w:r>
      <w:r w:rsidR="00CC6203">
        <w:t xml:space="preserve"> (Dec. 9, 2015)</w:t>
      </w:r>
    </w:p>
  </w:footnote>
  <w:footnote w:id="24">
    <w:p w:rsidR="0029208F" w:rsidRDefault="0029208F">
      <w:pPr>
        <w:pStyle w:val="FootnoteText"/>
      </w:pPr>
      <w:r>
        <w:rPr>
          <w:rStyle w:val="FootnoteReference"/>
        </w:rPr>
        <w:footnoteRef/>
      </w:r>
      <w:r>
        <w:t xml:space="preserve"> </w:t>
      </w:r>
      <w:r w:rsidR="00CC6203">
        <w:rPr>
          <w:i/>
        </w:rPr>
        <w:t xml:space="preserve">Barber v Nestle Inc., a Delaware Corporation; and Nestle Purina Petcare Co., a Missouri Corporation, </w:t>
      </w:r>
      <w:r w:rsidR="00CC6203">
        <w:t xml:space="preserve">Case No. </w:t>
      </w:r>
      <w:r w:rsidR="006B7CC2">
        <w:t>SACV 15-01364-CJC (AGRx)</w:t>
      </w:r>
      <w:r w:rsidR="00CC6203">
        <w:t xml:space="preserve"> (Dec. 9, 2015) </w:t>
      </w:r>
      <w:r>
        <w:t>2</w:t>
      </w:r>
    </w:p>
  </w:footnote>
  <w:footnote w:id="25">
    <w:p w:rsidR="0029208F" w:rsidRDefault="0029208F">
      <w:pPr>
        <w:pStyle w:val="FootnoteText"/>
      </w:pPr>
      <w:r>
        <w:rPr>
          <w:rStyle w:val="FootnoteReference"/>
        </w:rPr>
        <w:footnoteRef/>
      </w:r>
      <w:r>
        <w:t xml:space="preserve"> </w:t>
      </w:r>
      <w:r w:rsidR="00CC6203">
        <w:rPr>
          <w:i/>
        </w:rPr>
        <w:t xml:space="preserve">Barber v Nestle Inc., a Delaware Corporation; and Nestle Purina Petcare Co., a Missouri Corporation, </w:t>
      </w:r>
      <w:r w:rsidR="00CC6203">
        <w:t xml:space="preserve">Case No. </w:t>
      </w:r>
      <w:r w:rsidR="006B7CC2">
        <w:t>SACV 15-01364-CJC (AGRx)</w:t>
      </w:r>
      <w:r w:rsidR="00CC6203">
        <w:t xml:space="preserve"> (Dec. 9, 2015) </w:t>
      </w:r>
      <w:r w:rsidR="000A0473">
        <w:t>2-3</w:t>
      </w:r>
    </w:p>
  </w:footnote>
  <w:footnote w:id="26">
    <w:p w:rsidR="0029208F" w:rsidRDefault="0029208F">
      <w:pPr>
        <w:pStyle w:val="FootnoteText"/>
      </w:pPr>
      <w:r>
        <w:rPr>
          <w:rStyle w:val="FootnoteReference"/>
        </w:rPr>
        <w:footnoteRef/>
      </w:r>
      <w:r>
        <w:t xml:space="preserve"> </w:t>
      </w:r>
      <w:r w:rsidR="00CC6203">
        <w:rPr>
          <w:i/>
        </w:rPr>
        <w:t xml:space="preserve">Barber v Nestle Inc., a Delaware Corporation; and Nestle Purina Petcare Co., a Missouri Corporation, </w:t>
      </w:r>
      <w:r w:rsidR="00CC6203">
        <w:t xml:space="preserve">Case No. </w:t>
      </w:r>
      <w:r w:rsidR="006B7CC2">
        <w:t>SACV 15-01364-CJC (AGRx)</w:t>
      </w:r>
      <w:r w:rsidR="00CC6203">
        <w:t xml:space="preserve"> (Dec. 9, 2015) </w:t>
      </w:r>
      <w:r w:rsidR="000A0473">
        <w:t>4</w:t>
      </w:r>
    </w:p>
  </w:footnote>
  <w:footnote w:id="27">
    <w:p w:rsidR="0029208F" w:rsidRDefault="0029208F">
      <w:pPr>
        <w:pStyle w:val="FootnoteText"/>
      </w:pPr>
      <w:r>
        <w:rPr>
          <w:rStyle w:val="FootnoteReference"/>
        </w:rPr>
        <w:footnoteRef/>
      </w:r>
      <w:r>
        <w:t xml:space="preserve"> </w:t>
      </w:r>
      <w:r w:rsidR="00767829">
        <w:rPr>
          <w:i/>
        </w:rPr>
        <w:t xml:space="preserve">Barber v Nestle Inc., a Delaware Corporation; and Nestle Purina Petcare Co., a Missouri Corporation, </w:t>
      </w:r>
      <w:r w:rsidR="00767829">
        <w:t xml:space="preserve">Case No. </w:t>
      </w:r>
      <w:r w:rsidR="00604A42">
        <w:t>SACV 15-01364-CJC (AGRx)</w:t>
      </w:r>
      <w:r w:rsidR="00767829">
        <w:t xml:space="preserve"> (Dec. 9, 2015) </w:t>
      </w:r>
      <w:r>
        <w:t>11</w:t>
      </w:r>
    </w:p>
  </w:footnote>
  <w:footnote w:id="28">
    <w:p w:rsidR="0029208F" w:rsidRDefault="0029208F">
      <w:pPr>
        <w:pStyle w:val="FootnoteText"/>
      </w:pPr>
      <w:r>
        <w:rPr>
          <w:rStyle w:val="FootnoteReference"/>
        </w:rPr>
        <w:footnoteRef/>
      </w:r>
      <w:r>
        <w:t xml:space="preserve"> </w:t>
      </w:r>
      <w:r w:rsidR="00767829">
        <w:rPr>
          <w:i/>
        </w:rPr>
        <w:t xml:space="preserve">Barber v Nestle Inc., a Delaware Corporation; and Nestle Purina Petcare Co., a Missouri Corporation, </w:t>
      </w:r>
      <w:r w:rsidR="00767829">
        <w:t xml:space="preserve">Case No. </w:t>
      </w:r>
      <w:r w:rsidR="00604A42">
        <w:t>SACV 15-01364-CJC (AGRx)</w:t>
      </w:r>
      <w:r w:rsidR="00767829">
        <w:t xml:space="preserve"> (Dec. 9, 2015) </w:t>
      </w:r>
      <w:r>
        <w:t>10-11</w:t>
      </w:r>
    </w:p>
  </w:footnote>
  <w:footnote w:id="29">
    <w:p w:rsidR="0029208F" w:rsidRDefault="0029208F">
      <w:pPr>
        <w:pStyle w:val="FootnoteText"/>
      </w:pPr>
      <w:r>
        <w:rPr>
          <w:rStyle w:val="FootnoteReference"/>
        </w:rPr>
        <w:footnoteRef/>
      </w:r>
      <w:r>
        <w:t xml:space="preserve"> </w:t>
      </w:r>
      <w:r w:rsidR="00767829">
        <w:rPr>
          <w:i/>
        </w:rPr>
        <w:t xml:space="preserve">Barber v Nestle Inc., a Delaware Corporation; and Nestle Purina Petcare Co., a Missouri Corporation, </w:t>
      </w:r>
      <w:r w:rsidR="00767829">
        <w:t xml:space="preserve">Case No. </w:t>
      </w:r>
      <w:r w:rsidR="00604A42">
        <w:t>SACV 15-01364-CJC (AGRx)</w:t>
      </w:r>
      <w:r w:rsidR="00767829">
        <w:t xml:space="preserve"> (Dec. 9, 2015) </w:t>
      </w:r>
      <w:r>
        <w:t>10.</w:t>
      </w:r>
    </w:p>
  </w:footnote>
  <w:footnote w:id="30">
    <w:p w:rsidR="0029208F" w:rsidRDefault="0029208F">
      <w:pPr>
        <w:pStyle w:val="FootnoteText"/>
      </w:pPr>
      <w:r>
        <w:rPr>
          <w:rStyle w:val="FootnoteReference"/>
        </w:rPr>
        <w:footnoteRef/>
      </w:r>
      <w:r>
        <w:t xml:space="preserve"> </w:t>
      </w:r>
      <w:r w:rsidR="00767829">
        <w:rPr>
          <w:i/>
        </w:rPr>
        <w:t xml:space="preserve">Barber v Nestle Inc., a Delaware Corporation; and Nestle Purina Petcare Co., a Missouri Corporation, </w:t>
      </w:r>
      <w:r w:rsidR="00767829">
        <w:t xml:space="preserve">Case No. </w:t>
      </w:r>
      <w:r w:rsidR="00604A42">
        <w:t>SACV 15-01364-CJC (AGRx)</w:t>
      </w:r>
      <w:r w:rsidR="00767829">
        <w:t xml:space="preserve"> (Dec. 9, 2015) </w:t>
      </w:r>
      <w:r>
        <w:t>10.</w:t>
      </w:r>
    </w:p>
  </w:footnote>
  <w:footnote w:id="31">
    <w:p w:rsidR="0029208F" w:rsidRDefault="0029208F">
      <w:pPr>
        <w:pStyle w:val="FootnoteText"/>
      </w:pPr>
      <w:r>
        <w:rPr>
          <w:rStyle w:val="FootnoteReference"/>
        </w:rPr>
        <w:footnoteRef/>
      </w:r>
      <w:r>
        <w:t xml:space="preserve"> </w:t>
      </w:r>
      <w:r w:rsidR="00767829">
        <w:rPr>
          <w:i/>
        </w:rPr>
        <w:t xml:space="preserve">Barber v Nestle Inc., a Delaware Corporation; and Nestle Purina Petcare Co., a Missouri Corporation, </w:t>
      </w:r>
      <w:r w:rsidR="00767829">
        <w:t xml:space="preserve">Case No. </w:t>
      </w:r>
      <w:r w:rsidR="00604A42">
        <w:t>SACV 15-01364-CJC (AGRx)</w:t>
      </w:r>
      <w:r w:rsidR="00767829">
        <w:t xml:space="preserve"> (Dec. 9, 2015) </w:t>
      </w:r>
      <w:r>
        <w:t>9-10</w:t>
      </w:r>
    </w:p>
  </w:footnote>
  <w:footnote w:id="32">
    <w:p w:rsidR="0029208F" w:rsidRDefault="0029208F">
      <w:pPr>
        <w:pStyle w:val="FootnoteText"/>
      </w:pPr>
      <w:r>
        <w:rPr>
          <w:rStyle w:val="FootnoteReference"/>
        </w:rPr>
        <w:footnoteRef/>
      </w:r>
      <w:r>
        <w:t xml:space="preserve"> </w:t>
      </w:r>
      <w:r w:rsidR="00767829">
        <w:rPr>
          <w:i/>
        </w:rPr>
        <w:t xml:space="preserve">Barber v Nestle Inc., a Delaware Corporation; and Nestle Purina Petcare Co., a Missouri Corporation, </w:t>
      </w:r>
      <w:r w:rsidR="00767829">
        <w:t xml:space="preserve">Case No. </w:t>
      </w:r>
      <w:r w:rsidR="00604A42">
        <w:t>SACV 15-01364-CJC (AGRx)</w:t>
      </w:r>
      <w:r w:rsidR="00767829">
        <w:t xml:space="preserve"> (Dec. 9, 2015) </w:t>
      </w:r>
      <w:r w:rsidR="006B7CC2">
        <w:t>8</w:t>
      </w:r>
    </w:p>
  </w:footnote>
  <w:footnote w:id="33">
    <w:p w:rsidR="0029208F" w:rsidRDefault="0029208F">
      <w:pPr>
        <w:pStyle w:val="FootnoteText"/>
      </w:pPr>
      <w:r>
        <w:rPr>
          <w:rStyle w:val="FootnoteReference"/>
        </w:rPr>
        <w:footnoteRef/>
      </w:r>
      <w:r>
        <w:t xml:space="preserve"> </w:t>
      </w:r>
      <w:r w:rsidR="006B7CC2">
        <w:rPr>
          <w:i/>
        </w:rPr>
        <w:t>Wirth, et al, v Mars Inc., et al.,</w:t>
      </w:r>
      <w:r w:rsidR="00F6125A">
        <w:rPr>
          <w:i/>
        </w:rPr>
        <w:t xml:space="preserve"> </w:t>
      </w:r>
      <w:r w:rsidR="00F6125A">
        <w:t>Case No. SACV 15-1470-DOC (KESx) (</w:t>
      </w:r>
      <w:r>
        <w:t>Feb</w:t>
      </w:r>
      <w:r w:rsidR="00F6125A">
        <w:t>. 5,</w:t>
      </w:r>
      <w:r>
        <w:t xml:space="preserve"> 2016</w:t>
      </w:r>
      <w:r w:rsidR="00F6125A">
        <w:t xml:space="preserve">) </w:t>
      </w:r>
      <w:r>
        <w:t>2-3</w:t>
      </w:r>
    </w:p>
  </w:footnote>
  <w:footnote w:id="34">
    <w:p w:rsidR="0029208F" w:rsidRDefault="0029208F">
      <w:pPr>
        <w:pStyle w:val="FootnoteText"/>
      </w:pPr>
      <w:r>
        <w:rPr>
          <w:rStyle w:val="FootnoteReference"/>
        </w:rPr>
        <w:footnoteRef/>
      </w:r>
      <w:r>
        <w:t xml:space="preserve"> </w:t>
      </w:r>
      <w:r w:rsidR="00F6125A">
        <w:rPr>
          <w:i/>
        </w:rPr>
        <w:t xml:space="preserve">Wirth, et al, v Mars Inc., et al., </w:t>
      </w:r>
      <w:r w:rsidR="00F6125A">
        <w:t>Case No. SACV 15-1470-DOC (KESx) (Feb. 5, 2016) 10, 13</w:t>
      </w:r>
    </w:p>
  </w:footnote>
  <w:footnote w:id="35">
    <w:p w:rsidR="0029208F" w:rsidRDefault="0029208F">
      <w:pPr>
        <w:pStyle w:val="FootnoteText"/>
      </w:pPr>
      <w:r>
        <w:rPr>
          <w:rStyle w:val="FootnoteReference"/>
        </w:rPr>
        <w:footnoteRef/>
      </w:r>
      <w:r>
        <w:t xml:space="preserve"> </w:t>
      </w:r>
      <w:r w:rsidR="00F6125A">
        <w:t xml:space="preserve">That is, the </w:t>
      </w:r>
      <w:r>
        <w:t>UCL, CLRA, FAL</w:t>
      </w:r>
      <w:r w:rsidR="00F6125A">
        <w:t xml:space="preserve">: </w:t>
      </w:r>
      <w:r w:rsidR="00F6125A">
        <w:rPr>
          <w:i/>
        </w:rPr>
        <w:t xml:space="preserve">Wirth, et al, v Mars Inc., et al., </w:t>
      </w:r>
      <w:r w:rsidR="00F6125A">
        <w:t xml:space="preserve">Case No. SACV 15-1470-DOC (KESx) (Feb. 5, 2016) </w:t>
      </w:r>
      <w:r>
        <w:t>10, 13</w:t>
      </w:r>
    </w:p>
  </w:footnote>
  <w:footnote w:id="36">
    <w:p w:rsidR="0029208F" w:rsidRDefault="0029208F">
      <w:pPr>
        <w:pStyle w:val="FootnoteText"/>
      </w:pPr>
      <w:r>
        <w:rPr>
          <w:rStyle w:val="FootnoteReference"/>
        </w:rPr>
        <w:footnoteRef/>
      </w:r>
      <w:r>
        <w:t xml:space="preserve"> </w:t>
      </w:r>
      <w:r w:rsidR="00F6125A">
        <w:rPr>
          <w:i/>
        </w:rPr>
        <w:t xml:space="preserve">Wirth, et al, v Mars Inc., et al., </w:t>
      </w:r>
      <w:r w:rsidR="00F6125A">
        <w:t xml:space="preserve">Case No. SACV 15-1470-DOC (KESx) (Feb. 5, 2016) </w:t>
      </w:r>
      <w:r>
        <w:t>11-12, 13</w:t>
      </w:r>
    </w:p>
  </w:footnote>
  <w:footnote w:id="37">
    <w:p w:rsidR="0029208F" w:rsidRDefault="0029208F">
      <w:pPr>
        <w:pStyle w:val="FootnoteText"/>
      </w:pPr>
      <w:r>
        <w:rPr>
          <w:rStyle w:val="FootnoteReference"/>
        </w:rPr>
        <w:footnoteRef/>
      </w:r>
      <w:r>
        <w:t xml:space="preserve"> </w:t>
      </w:r>
      <w:r w:rsidR="00F6125A">
        <w:rPr>
          <w:i/>
        </w:rPr>
        <w:t xml:space="preserve">Wirth, et al, v Mars Inc., et al., </w:t>
      </w:r>
      <w:r w:rsidR="00F6125A">
        <w:t xml:space="preserve">Case No. SACV 15-1470-DOC (KESx) (Feb. 5, 2016) </w:t>
      </w:r>
      <w:r>
        <w:t>13</w:t>
      </w:r>
    </w:p>
  </w:footnote>
  <w:footnote w:id="38">
    <w:p w:rsidR="0029208F" w:rsidRDefault="0029208F">
      <w:pPr>
        <w:pStyle w:val="FootnoteText"/>
      </w:pPr>
      <w:r>
        <w:rPr>
          <w:rStyle w:val="FootnoteReference"/>
        </w:rPr>
        <w:footnoteRef/>
      </w:r>
      <w:r>
        <w:t xml:space="preserve"> </w:t>
      </w:r>
      <w:r w:rsidR="00F6125A">
        <w:rPr>
          <w:i/>
        </w:rPr>
        <w:t xml:space="preserve">Wirth, et al, v Mars Inc., et al., </w:t>
      </w:r>
      <w:r w:rsidR="00F6125A">
        <w:t xml:space="preserve">Case No. SACV 15-1470-DOC (KESx) (Feb. 5, 2016) </w:t>
      </w:r>
      <w:r>
        <w:t>13</w:t>
      </w:r>
    </w:p>
  </w:footnote>
  <w:footnote w:id="39">
    <w:p w:rsidR="0029208F" w:rsidRDefault="0029208F">
      <w:pPr>
        <w:pStyle w:val="FootnoteText"/>
      </w:pPr>
      <w:r>
        <w:rPr>
          <w:rStyle w:val="FootnoteReference"/>
        </w:rPr>
        <w:footnoteRef/>
      </w:r>
      <w:r>
        <w:t xml:space="preserve"> </w:t>
      </w:r>
      <w:r w:rsidR="00F6125A">
        <w:rPr>
          <w:i/>
        </w:rPr>
        <w:t xml:space="preserve">Wirth, et al, v Mars Inc., et al., </w:t>
      </w:r>
      <w:r w:rsidR="00F6125A">
        <w:t xml:space="preserve">Case No. SACV 15-1470-DOC (KESx) (Feb. 5, 2016) </w:t>
      </w:r>
      <w:r>
        <w:t>11-12</w:t>
      </w:r>
    </w:p>
  </w:footnote>
  <w:footnote w:id="40">
    <w:p w:rsidR="0029208F" w:rsidRDefault="0029208F">
      <w:pPr>
        <w:pStyle w:val="FootnoteText"/>
      </w:pPr>
      <w:r>
        <w:rPr>
          <w:rStyle w:val="FootnoteReference"/>
        </w:rPr>
        <w:footnoteRef/>
      </w:r>
      <w:r>
        <w:t xml:space="preserve"> </w:t>
      </w:r>
      <w:r w:rsidR="00F6125A">
        <w:rPr>
          <w:i/>
        </w:rPr>
        <w:t xml:space="preserve">Hodsdon v Mars Inc., et al., </w:t>
      </w:r>
      <w:r w:rsidR="00F6125A">
        <w:t>Case No. 15-cv-04450-RS (</w:t>
      </w:r>
      <w:r>
        <w:t>Feb</w:t>
      </w:r>
      <w:r w:rsidR="00F6125A">
        <w:t>. 17, 2016) 1</w:t>
      </w:r>
    </w:p>
  </w:footnote>
  <w:footnote w:id="41">
    <w:p w:rsidR="0029208F" w:rsidRDefault="0029208F">
      <w:pPr>
        <w:pStyle w:val="FootnoteText"/>
      </w:pPr>
      <w:r>
        <w:rPr>
          <w:rStyle w:val="FootnoteReference"/>
        </w:rPr>
        <w:footnoteRef/>
      </w:r>
      <w:r>
        <w:t xml:space="preserve"> </w:t>
      </w:r>
      <w:r w:rsidR="00F6125A">
        <w:rPr>
          <w:i/>
        </w:rPr>
        <w:t xml:space="preserve">Hodsdon v Mars Inc., et al., </w:t>
      </w:r>
      <w:r w:rsidR="00F6125A">
        <w:t xml:space="preserve">Case No. 15-cv-04450-RS (Feb. 17, 2016) </w:t>
      </w:r>
      <w:r>
        <w:t>14</w:t>
      </w:r>
    </w:p>
  </w:footnote>
  <w:footnote w:id="42">
    <w:p w:rsidR="0029208F" w:rsidRDefault="0029208F">
      <w:pPr>
        <w:pStyle w:val="FootnoteText"/>
      </w:pPr>
      <w:r>
        <w:rPr>
          <w:rStyle w:val="FootnoteReference"/>
        </w:rPr>
        <w:footnoteRef/>
      </w:r>
      <w:r>
        <w:t xml:space="preserve"> </w:t>
      </w:r>
      <w:r w:rsidR="00F6125A">
        <w:rPr>
          <w:i/>
        </w:rPr>
        <w:t xml:space="preserve">Hodsdon v Mars Inc., et al., </w:t>
      </w:r>
      <w:r w:rsidR="00F6125A">
        <w:t xml:space="preserve">Case No. 15-cv-04450-RS (Feb. 17, 2016) </w:t>
      </w:r>
      <w:r>
        <w:t>14</w:t>
      </w:r>
    </w:p>
  </w:footnote>
  <w:footnote w:id="43">
    <w:p w:rsidR="0029208F" w:rsidRDefault="0029208F">
      <w:pPr>
        <w:pStyle w:val="FootnoteText"/>
      </w:pPr>
      <w:r>
        <w:rPr>
          <w:rStyle w:val="FootnoteReference"/>
        </w:rPr>
        <w:footnoteRef/>
      </w:r>
      <w:r>
        <w:t xml:space="preserve"> </w:t>
      </w:r>
      <w:r w:rsidR="001006C4">
        <w:rPr>
          <w:i/>
        </w:rPr>
        <w:t xml:space="preserve">Hodsdon v Mars Inc., et al., </w:t>
      </w:r>
      <w:r w:rsidR="001006C4">
        <w:t xml:space="preserve">Case No. 15-cv-04450-RS (Feb. 17, 2016) </w:t>
      </w:r>
      <w:r>
        <w:t>15</w:t>
      </w:r>
    </w:p>
  </w:footnote>
  <w:footnote w:id="44">
    <w:p w:rsidR="0029208F" w:rsidRDefault="0029208F">
      <w:pPr>
        <w:pStyle w:val="FootnoteText"/>
      </w:pPr>
      <w:r>
        <w:rPr>
          <w:rStyle w:val="FootnoteReference"/>
        </w:rPr>
        <w:footnoteRef/>
      </w:r>
      <w:r>
        <w:t xml:space="preserve"> Dismissed on basis of no duty to disclose under UCL and CLRA.</w:t>
      </w:r>
    </w:p>
  </w:footnote>
  <w:footnote w:id="45">
    <w:p w:rsidR="0029208F" w:rsidRDefault="0029208F">
      <w:pPr>
        <w:pStyle w:val="FootnoteText"/>
      </w:pPr>
      <w:r>
        <w:rPr>
          <w:rStyle w:val="FootnoteReference"/>
        </w:rPr>
        <w:footnoteRef/>
      </w:r>
      <w:r>
        <w:t xml:space="preserve"> </w:t>
      </w:r>
      <w:r w:rsidR="001006C4" w:rsidRPr="00D81DB0">
        <w:rPr>
          <w:i/>
        </w:rPr>
        <w:t>McCoy v Nestle</w:t>
      </w:r>
      <w:r w:rsidR="001006C4">
        <w:rPr>
          <w:i/>
        </w:rPr>
        <w:t xml:space="preserve"> United States Inc., </w:t>
      </w:r>
      <w:r w:rsidR="001006C4">
        <w:t xml:space="preserve">Case No. 15-cv-04451-JCS (N.D. Cal. Mar. 29, 2016) </w:t>
      </w:r>
      <w:r>
        <w:t>1.</w:t>
      </w:r>
      <w:r w:rsidR="00172F4C">
        <w:t xml:space="preserve"> </w:t>
      </w:r>
      <w:r w:rsidR="00172F4C">
        <w:rPr>
          <w:i/>
        </w:rPr>
        <w:t xml:space="preserve">Dana v The Hershey Company, </w:t>
      </w:r>
      <w:r w:rsidR="00172F4C">
        <w:t xml:space="preserve">No. 15-cv-4453 was also heard.  This case involved similar arguments. and a separate concurrent order was issued. </w:t>
      </w:r>
    </w:p>
  </w:footnote>
  <w:footnote w:id="46">
    <w:p w:rsidR="0029208F" w:rsidRDefault="0029208F">
      <w:pPr>
        <w:pStyle w:val="FootnoteText"/>
      </w:pPr>
      <w:r>
        <w:rPr>
          <w:rStyle w:val="FootnoteReference"/>
        </w:rPr>
        <w:footnoteRef/>
      </w:r>
      <w:r>
        <w:t xml:space="preserve"> Dismissed on basis of no duty to disclose under CLRA, FAL and UCL - double check this.</w:t>
      </w:r>
    </w:p>
  </w:footnote>
  <w:footnote w:id="47">
    <w:p w:rsidR="0029208F" w:rsidRDefault="0029208F">
      <w:pPr>
        <w:pStyle w:val="FootnoteText"/>
      </w:pPr>
      <w:r>
        <w:rPr>
          <w:rStyle w:val="FootnoteReference"/>
        </w:rPr>
        <w:footnoteRef/>
      </w:r>
      <w:r>
        <w:t xml:space="preserve"> </w:t>
      </w:r>
      <w:r w:rsidR="002F48BD" w:rsidRPr="00D81DB0">
        <w:rPr>
          <w:i/>
        </w:rPr>
        <w:t>McCoy v Nestle</w:t>
      </w:r>
      <w:r w:rsidR="002F48BD">
        <w:rPr>
          <w:i/>
        </w:rPr>
        <w:t xml:space="preserve"> United States Inc., </w:t>
      </w:r>
      <w:r w:rsidR="002F48BD">
        <w:t xml:space="preserve">Case No. 15-cv-04451-JCS (N.D. Cal. Mar. 29, 2016) </w:t>
      </w:r>
      <w:r>
        <w:t>21</w:t>
      </w:r>
    </w:p>
  </w:footnote>
  <w:footnote w:id="48">
    <w:p w:rsidR="0029208F" w:rsidRDefault="0029208F">
      <w:pPr>
        <w:pStyle w:val="FootnoteText"/>
      </w:pPr>
      <w:r>
        <w:rPr>
          <w:rStyle w:val="FootnoteReference"/>
        </w:rPr>
        <w:footnoteRef/>
      </w:r>
      <w:r>
        <w:t xml:space="preserve"> </w:t>
      </w:r>
      <w:r w:rsidR="002F48BD" w:rsidRPr="00D81DB0">
        <w:rPr>
          <w:i/>
        </w:rPr>
        <w:t>McCoy v Nestle</w:t>
      </w:r>
      <w:r w:rsidR="002F48BD">
        <w:rPr>
          <w:i/>
        </w:rPr>
        <w:t xml:space="preserve"> United States Inc., </w:t>
      </w:r>
      <w:r w:rsidR="002F48BD">
        <w:t xml:space="preserve">Case No. 15-cv-04451-JCS (N.D. Cal. Mar. 29, 2016) </w:t>
      </w:r>
      <w:r>
        <w:t>22</w:t>
      </w:r>
    </w:p>
  </w:footnote>
  <w:footnote w:id="49">
    <w:p w:rsidR="0029208F" w:rsidRDefault="0029208F">
      <w:pPr>
        <w:pStyle w:val="FootnoteText"/>
      </w:pPr>
      <w:r>
        <w:rPr>
          <w:rStyle w:val="FootnoteReference"/>
        </w:rPr>
        <w:footnoteRef/>
      </w:r>
      <w:r>
        <w:t xml:space="preserve"> </w:t>
      </w:r>
      <w:r w:rsidR="002F48BD" w:rsidRPr="00D81DB0">
        <w:rPr>
          <w:i/>
        </w:rPr>
        <w:t>McCoy v Nestle</w:t>
      </w:r>
      <w:r w:rsidR="002F48BD">
        <w:rPr>
          <w:i/>
        </w:rPr>
        <w:t xml:space="preserve"> United States Inc., </w:t>
      </w:r>
      <w:r w:rsidR="002F48BD">
        <w:t xml:space="preserve">Case No. 15-cv-04451-JCS (N.D. Cal. Mar. 29, 2016) </w:t>
      </w:r>
      <w:r>
        <w:t>22</w:t>
      </w:r>
    </w:p>
  </w:footnote>
  <w:footnote w:id="50">
    <w:p w:rsidR="0029208F" w:rsidRDefault="0029208F">
      <w:pPr>
        <w:pStyle w:val="FootnoteText"/>
      </w:pPr>
      <w:r>
        <w:rPr>
          <w:rStyle w:val="FootnoteReference"/>
        </w:rPr>
        <w:footnoteRef/>
      </w:r>
      <w:r>
        <w:t xml:space="preserve"> </w:t>
      </w:r>
      <w:r w:rsidR="002F48BD" w:rsidRPr="00D81DB0">
        <w:rPr>
          <w:i/>
        </w:rPr>
        <w:t>McCoy v Nestle</w:t>
      </w:r>
      <w:r w:rsidR="002F48BD">
        <w:rPr>
          <w:i/>
        </w:rPr>
        <w:t xml:space="preserve"> United States Inc., </w:t>
      </w:r>
      <w:r w:rsidR="002F48BD">
        <w:t xml:space="preserve">Case No. 15-cv-04451-JCS (N.D. Cal. Mar. 29, 2016) </w:t>
      </w:r>
      <w:r w:rsidR="00BE4628">
        <w:t>22, 23</w:t>
      </w:r>
    </w:p>
  </w:footnote>
  <w:footnote w:id="51">
    <w:p w:rsidR="00BE4628" w:rsidRDefault="00423EA6" w:rsidP="00BE4628">
      <w:pPr>
        <w:autoSpaceDE w:val="0"/>
        <w:autoSpaceDN w:val="0"/>
        <w:adjustRightInd w:val="0"/>
      </w:pPr>
      <w:r>
        <w:rPr>
          <w:rStyle w:val="FootnoteReference"/>
        </w:rPr>
        <w:footnoteRef/>
      </w:r>
      <w:r>
        <w:t xml:space="preserve"> </w:t>
      </w:r>
      <w:r w:rsidR="00BE4628" w:rsidRPr="00EC0152">
        <w:rPr>
          <w:i/>
          <w:sz w:val="18"/>
          <w:szCs w:val="18"/>
        </w:rPr>
        <w:t>Barber v Nestle Inc., a Delaware Corporation; and Nestle Purina Petcare Co., a Missouri Corporation</w:t>
      </w:r>
      <w:r w:rsidR="00F1433B" w:rsidRPr="00EC0152">
        <w:rPr>
          <w:i/>
          <w:sz w:val="18"/>
          <w:szCs w:val="18"/>
        </w:rPr>
        <w:t>,</w:t>
      </w:r>
      <w:r w:rsidR="00BE4628" w:rsidRPr="00EC0152">
        <w:rPr>
          <w:i/>
          <w:sz w:val="18"/>
          <w:szCs w:val="18"/>
        </w:rPr>
        <w:t xml:space="preserve"> </w:t>
      </w:r>
      <w:r w:rsidR="00BE4628" w:rsidRPr="00EC0152">
        <w:rPr>
          <w:sz w:val="18"/>
          <w:szCs w:val="18"/>
        </w:rPr>
        <w:t xml:space="preserve">Case No. 16-55041, US Circuit Court of Appeals, 9th Circuit, filed </w:t>
      </w:r>
      <w:r w:rsidR="00EC0152" w:rsidRPr="00EC0152">
        <w:rPr>
          <w:sz w:val="18"/>
          <w:szCs w:val="18"/>
        </w:rPr>
        <w:t xml:space="preserve">7 January </w:t>
      </w:r>
      <w:r w:rsidR="00BE4628" w:rsidRPr="00EC0152">
        <w:rPr>
          <w:sz w:val="18"/>
          <w:szCs w:val="18"/>
        </w:rPr>
        <w:t xml:space="preserve">2016; </w:t>
      </w:r>
      <w:r w:rsidR="00BE4628" w:rsidRPr="00EC0152">
        <w:rPr>
          <w:i/>
          <w:sz w:val="18"/>
          <w:szCs w:val="18"/>
        </w:rPr>
        <w:t xml:space="preserve">Wirth, et al, v Mars Inc., et al., </w:t>
      </w:r>
      <w:r w:rsidR="00EC0152" w:rsidRPr="00EC0152">
        <w:rPr>
          <w:sz w:val="18"/>
          <w:szCs w:val="18"/>
        </w:rPr>
        <w:t xml:space="preserve">Case No. 16-55280, US Circuit Court of Appeals, 9th Circuit, </w:t>
      </w:r>
      <w:r w:rsidR="00BE4628" w:rsidRPr="00EC0152">
        <w:rPr>
          <w:sz w:val="18"/>
          <w:szCs w:val="18"/>
        </w:rPr>
        <w:t>filed 25 February 2016</w:t>
      </w:r>
      <w:r w:rsidR="00EC0152" w:rsidRPr="00EC0152">
        <w:rPr>
          <w:sz w:val="18"/>
          <w:szCs w:val="18"/>
        </w:rPr>
        <w:t xml:space="preserve">; </w:t>
      </w:r>
      <w:r w:rsidR="00EC0152" w:rsidRPr="00EC0152">
        <w:rPr>
          <w:i/>
          <w:sz w:val="18"/>
          <w:szCs w:val="18"/>
        </w:rPr>
        <w:t xml:space="preserve">Hodsdon v Mars Inc., et al., </w:t>
      </w:r>
      <w:r w:rsidR="00EC0152" w:rsidRPr="00EC0152">
        <w:rPr>
          <w:sz w:val="18"/>
          <w:szCs w:val="18"/>
        </w:rPr>
        <w:t xml:space="preserve">Case No. 16-15444, US Circuit Court of Appeals, 9th Circuit, filed 16 March 2016; </w:t>
      </w:r>
      <w:r w:rsidR="00EC0152" w:rsidRPr="00EC0152">
        <w:rPr>
          <w:i/>
          <w:sz w:val="18"/>
          <w:szCs w:val="18"/>
        </w:rPr>
        <w:t xml:space="preserve">McCoy v Nestle United States Inc., </w:t>
      </w:r>
      <w:r w:rsidR="00EC0152" w:rsidRPr="00EC0152">
        <w:rPr>
          <w:sz w:val="18"/>
          <w:szCs w:val="18"/>
        </w:rPr>
        <w:t>Case No. 16-15794, US Circuit Court of Appeals, 9th Circuit, filed 29 April 2016</w:t>
      </w:r>
    </w:p>
    <w:p w:rsidR="00423EA6" w:rsidRPr="00F1433B" w:rsidRDefault="00423EA6" w:rsidP="00BE4628">
      <w:pPr>
        <w:pStyle w:val="FootnoteText"/>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08F" w:rsidRDefault="002920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08F" w:rsidRDefault="002920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08F" w:rsidRDefault="00292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D0699E"/>
    <w:lvl w:ilvl="0">
      <w:start w:val="1"/>
      <w:numFmt w:val="decimal"/>
      <w:lvlText w:val="%1."/>
      <w:lvlJc w:val="left"/>
      <w:pPr>
        <w:tabs>
          <w:tab w:val="num" w:pos="1492"/>
        </w:tabs>
        <w:ind w:left="1492" w:hanging="360"/>
      </w:pPr>
    </w:lvl>
  </w:abstractNum>
  <w:abstractNum w:abstractNumId="1">
    <w:nsid w:val="FFFFFF80"/>
    <w:multiLevelType w:val="singleLevel"/>
    <w:tmpl w:val="2892EC1C"/>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F3E64986"/>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7EA86EB8"/>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0C2899AE"/>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6CBCF2EC"/>
    <w:lvl w:ilvl="0">
      <w:start w:val="1"/>
      <w:numFmt w:val="bullet"/>
      <w:lvlText w:val=""/>
      <w:lvlJc w:val="left"/>
      <w:pPr>
        <w:tabs>
          <w:tab w:val="num" w:pos="360"/>
        </w:tabs>
        <w:ind w:left="360" w:hanging="360"/>
      </w:pPr>
      <w:rPr>
        <w:rFonts w:ascii="Symbol" w:hAnsi="Symbol" w:hint="default"/>
      </w:rPr>
    </w:lvl>
  </w:abstractNum>
  <w:abstractNum w:abstractNumId="6">
    <w:nsid w:val="003B1238"/>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pStyle w:val="SchH7"/>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nsid w:val="099F52AB"/>
    <w:multiLevelType w:val="multilevel"/>
    <w:tmpl w:val="D70EC034"/>
    <w:numStyleLink w:val="BMSchedules"/>
  </w:abstractNum>
  <w:abstractNum w:abstractNumId="9">
    <w:nsid w:val="18A8275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8B645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F451C4C"/>
    <w:multiLevelType w:val="multilevel"/>
    <w:tmpl w:val="7B24B224"/>
    <w:styleLink w:val="BMHeadings"/>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09"/>
        </w:tabs>
        <w:ind w:left="709" w:hanging="709"/>
      </w:pPr>
      <w:rPr>
        <w:rFonts w:hint="default"/>
      </w:rPr>
    </w:lvl>
    <w:lvl w:ilvl="2">
      <w:start w:val="1"/>
      <w:numFmt w:val="decimal"/>
      <w:pStyle w:val="Heading3"/>
      <w:lvlText w:val="%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upperLetter"/>
      <w:pStyle w:val="Heading6"/>
      <w:lvlText w:val="(%6)"/>
      <w:lvlJc w:val="left"/>
      <w:pPr>
        <w:tabs>
          <w:tab w:val="num" w:pos="2835"/>
        </w:tabs>
        <w:ind w:left="2835" w:hanging="709"/>
      </w:pPr>
      <w:rPr>
        <w:rFonts w:hint="default"/>
      </w:rPr>
    </w:lvl>
    <w:lvl w:ilvl="6">
      <w:start w:val="1"/>
      <w:numFmt w:val="decimal"/>
      <w:pStyle w:val="Heading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nsid w:val="32DE1DBB"/>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389D1BF3"/>
    <w:multiLevelType w:val="multilevel"/>
    <w:tmpl w:val="7B24B224"/>
    <w:numStyleLink w:val="BMHeadings"/>
  </w:abstractNum>
  <w:abstractNum w:abstractNumId="16">
    <w:nsid w:val="395A75B2"/>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3B6376C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FAF549D"/>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nsid w:val="43A3161B"/>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460B69D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6D17B1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FC3910"/>
    <w:multiLevelType w:val="multilevel"/>
    <w:tmpl w:val="7B24B224"/>
    <w:numStyleLink w:val="BMHeadings"/>
  </w:abstractNum>
  <w:abstractNum w:abstractNumId="24">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5">
    <w:nsid w:val="534C62B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E6500C9"/>
    <w:multiLevelType w:val="multilevel"/>
    <w:tmpl w:val="D158B1E2"/>
    <w:lvl w:ilvl="0">
      <w:start w:val="1"/>
      <w:numFmt w:val="none"/>
      <w:pStyle w:val="TableHeadings"/>
      <w:suff w:val="nothing"/>
      <w:lvlText w:val="%1"/>
      <w:lvlJc w:val="left"/>
      <w:pPr>
        <w:ind w:left="0" w:firstLine="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94"/>
        </w:tabs>
        <w:ind w:left="794" w:hanging="437"/>
      </w:pPr>
      <w:rPr>
        <w:rFonts w:hint="default"/>
      </w:rPr>
    </w:lvl>
    <w:lvl w:ilvl="3">
      <w:start w:val="1"/>
      <w:numFmt w:val="decimal"/>
      <w:lvlText w:val="%2.%3.%4"/>
      <w:lvlJc w:val="left"/>
      <w:pPr>
        <w:tabs>
          <w:tab w:val="num" w:pos="1361"/>
        </w:tabs>
        <w:ind w:left="1361" w:hanging="567"/>
      </w:pPr>
      <w:rPr>
        <w:rFonts w:hint="default"/>
      </w:rPr>
    </w:lvl>
    <w:lvl w:ilvl="4">
      <w:start w:val="1"/>
      <w:numFmt w:val="lowerRoman"/>
      <w:lvlText w:val="(%5)"/>
      <w:lvlJc w:val="left"/>
      <w:pPr>
        <w:tabs>
          <w:tab w:val="num" w:pos="992"/>
        </w:tabs>
        <w:ind w:left="992" w:hanging="992"/>
      </w:pPr>
      <w:rPr>
        <w:rFonts w:hint="default"/>
      </w:rPr>
    </w:lvl>
    <w:lvl w:ilvl="5">
      <w:start w:val="1"/>
      <w:numFmt w:val="upperLetter"/>
      <w:lvlText w:val="(%6)"/>
      <w:lvlJc w:val="left"/>
      <w:pPr>
        <w:tabs>
          <w:tab w:val="num" w:pos="992"/>
        </w:tabs>
        <w:ind w:left="992" w:hanging="992"/>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28">
    <w:nsid w:val="622B59AD"/>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nsid w:val="689866F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D1D4F60"/>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nsid w:val="740771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633669C"/>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nsid w:val="78977BB2"/>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12"/>
  </w:num>
  <w:num w:numId="3">
    <w:abstractNumId w:val="13"/>
  </w:num>
  <w:num w:numId="4">
    <w:abstractNumId w:val="19"/>
  </w:num>
  <w:num w:numId="5">
    <w:abstractNumId w:val="7"/>
  </w:num>
  <w:num w:numId="6">
    <w:abstractNumId w:val="24"/>
  </w:num>
  <w:num w:numId="7">
    <w:abstractNumId w:val="22"/>
  </w:num>
  <w:num w:numId="8">
    <w:abstractNumId w:val="21"/>
  </w:num>
  <w:num w:numId="9">
    <w:abstractNumId w:val="33"/>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9"/>
  </w:num>
  <w:num w:numId="17">
    <w:abstractNumId w:val="10"/>
  </w:num>
  <w:num w:numId="18">
    <w:abstractNumId w:val="32"/>
  </w:num>
  <w:num w:numId="19">
    <w:abstractNumId w:val="9"/>
  </w:num>
  <w:num w:numId="20">
    <w:abstractNumId w:val="25"/>
  </w:num>
  <w:num w:numId="21">
    <w:abstractNumId w:val="17"/>
  </w:num>
  <w:num w:numId="22">
    <w:abstractNumId w:val="31"/>
  </w:num>
  <w:num w:numId="23">
    <w:abstractNumId w:val="18"/>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1"/>
  </w:num>
  <w:num w:numId="31">
    <w:abstractNumId w:val="27"/>
  </w:num>
  <w:num w:numId="32">
    <w:abstractNumId w:val="23"/>
  </w:num>
  <w:num w:numId="33">
    <w:abstractNumId w:val="8"/>
  </w:num>
  <w:num w:numId="34">
    <w:abstractNumId w:val="6"/>
  </w:num>
  <w:num w:numId="35">
    <w:abstractNumId w:val="30"/>
  </w:num>
  <w:num w:numId="36">
    <w:abstractNumId w:val="28"/>
  </w:num>
  <w:num w:numId="37">
    <w:abstractNumId w:val="14"/>
  </w:num>
  <w:num w:numId="38">
    <w:abstractNumId w:val="20"/>
  </w:num>
  <w:num w:numId="3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6"/>
  <w:drawingGridHorizontalSpacing w:val="16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Reference" w:val="-v1\"/>
    <w:docVar w:name="OfficeIni" w:val="Melbourne.ini"/>
    <w:docVar w:name="ReferenceFieldsConverted" w:val="True"/>
    <w:docVar w:name="Version" w:val="2.10.7"/>
  </w:docVars>
  <w:rsids>
    <w:rsidRoot w:val="008A6043"/>
    <w:rsid w:val="00001597"/>
    <w:rsid w:val="00002665"/>
    <w:rsid w:val="00006CE8"/>
    <w:rsid w:val="00012E3A"/>
    <w:rsid w:val="0001376F"/>
    <w:rsid w:val="00013E43"/>
    <w:rsid w:val="00014A14"/>
    <w:rsid w:val="00035D72"/>
    <w:rsid w:val="00041A98"/>
    <w:rsid w:val="0004768C"/>
    <w:rsid w:val="00047967"/>
    <w:rsid w:val="00050C72"/>
    <w:rsid w:val="00053E15"/>
    <w:rsid w:val="000554CF"/>
    <w:rsid w:val="00063312"/>
    <w:rsid w:val="00063C09"/>
    <w:rsid w:val="0006526C"/>
    <w:rsid w:val="000672A7"/>
    <w:rsid w:val="00067418"/>
    <w:rsid w:val="0007108A"/>
    <w:rsid w:val="000714D1"/>
    <w:rsid w:val="00072AF1"/>
    <w:rsid w:val="000750BE"/>
    <w:rsid w:val="00076C3D"/>
    <w:rsid w:val="0007782A"/>
    <w:rsid w:val="00077942"/>
    <w:rsid w:val="00084574"/>
    <w:rsid w:val="0009149B"/>
    <w:rsid w:val="00096778"/>
    <w:rsid w:val="000A0473"/>
    <w:rsid w:val="000A1E17"/>
    <w:rsid w:val="000A7D91"/>
    <w:rsid w:val="000B0EBD"/>
    <w:rsid w:val="000B32D9"/>
    <w:rsid w:val="000B420D"/>
    <w:rsid w:val="000B60EA"/>
    <w:rsid w:val="000B668A"/>
    <w:rsid w:val="000C1103"/>
    <w:rsid w:val="000C713E"/>
    <w:rsid w:val="000D05B0"/>
    <w:rsid w:val="000D287D"/>
    <w:rsid w:val="000D457B"/>
    <w:rsid w:val="000D4AC7"/>
    <w:rsid w:val="000E10D3"/>
    <w:rsid w:val="000E1F50"/>
    <w:rsid w:val="000E2765"/>
    <w:rsid w:val="000E5D64"/>
    <w:rsid w:val="000F0430"/>
    <w:rsid w:val="001006C4"/>
    <w:rsid w:val="00100B0F"/>
    <w:rsid w:val="0011546B"/>
    <w:rsid w:val="001244EF"/>
    <w:rsid w:val="00125135"/>
    <w:rsid w:val="001362B7"/>
    <w:rsid w:val="00136869"/>
    <w:rsid w:val="00143F3F"/>
    <w:rsid w:val="00145B6E"/>
    <w:rsid w:val="001513E0"/>
    <w:rsid w:val="001517E4"/>
    <w:rsid w:val="00153008"/>
    <w:rsid w:val="00157631"/>
    <w:rsid w:val="00160F13"/>
    <w:rsid w:val="00172F4C"/>
    <w:rsid w:val="0017344C"/>
    <w:rsid w:val="00173FA0"/>
    <w:rsid w:val="001747EA"/>
    <w:rsid w:val="00177D6E"/>
    <w:rsid w:val="00181BD5"/>
    <w:rsid w:val="00182941"/>
    <w:rsid w:val="00182EA2"/>
    <w:rsid w:val="00187810"/>
    <w:rsid w:val="001912A3"/>
    <w:rsid w:val="00196323"/>
    <w:rsid w:val="001970FE"/>
    <w:rsid w:val="001A100E"/>
    <w:rsid w:val="001A162C"/>
    <w:rsid w:val="001A3390"/>
    <w:rsid w:val="001A36A4"/>
    <w:rsid w:val="001A43E5"/>
    <w:rsid w:val="001A536C"/>
    <w:rsid w:val="001A5A47"/>
    <w:rsid w:val="001B4E5E"/>
    <w:rsid w:val="001C00F1"/>
    <w:rsid w:val="001C163D"/>
    <w:rsid w:val="001D1291"/>
    <w:rsid w:val="001D23DA"/>
    <w:rsid w:val="001D564F"/>
    <w:rsid w:val="001D7E94"/>
    <w:rsid w:val="001E0035"/>
    <w:rsid w:val="001F4767"/>
    <w:rsid w:val="001F6E45"/>
    <w:rsid w:val="001F7853"/>
    <w:rsid w:val="00200226"/>
    <w:rsid w:val="00201BE2"/>
    <w:rsid w:val="00201C06"/>
    <w:rsid w:val="002055D0"/>
    <w:rsid w:val="0020645D"/>
    <w:rsid w:val="00206FD8"/>
    <w:rsid w:val="00207040"/>
    <w:rsid w:val="00211730"/>
    <w:rsid w:val="002131F2"/>
    <w:rsid w:val="00217314"/>
    <w:rsid w:val="002251F1"/>
    <w:rsid w:val="00230D1B"/>
    <w:rsid w:val="00234991"/>
    <w:rsid w:val="002376EE"/>
    <w:rsid w:val="002377D6"/>
    <w:rsid w:val="002438C2"/>
    <w:rsid w:val="00246C97"/>
    <w:rsid w:val="00253DE3"/>
    <w:rsid w:val="00255F94"/>
    <w:rsid w:val="0025748C"/>
    <w:rsid w:val="00262824"/>
    <w:rsid w:val="00265E24"/>
    <w:rsid w:val="00266729"/>
    <w:rsid w:val="00274887"/>
    <w:rsid w:val="002805CD"/>
    <w:rsid w:val="00282861"/>
    <w:rsid w:val="00282DB3"/>
    <w:rsid w:val="00283DC1"/>
    <w:rsid w:val="00284C6D"/>
    <w:rsid w:val="00286A36"/>
    <w:rsid w:val="0029208F"/>
    <w:rsid w:val="0029373F"/>
    <w:rsid w:val="00295315"/>
    <w:rsid w:val="0029597A"/>
    <w:rsid w:val="0029748A"/>
    <w:rsid w:val="002A0806"/>
    <w:rsid w:val="002A111B"/>
    <w:rsid w:val="002A18FD"/>
    <w:rsid w:val="002A252B"/>
    <w:rsid w:val="002A4A82"/>
    <w:rsid w:val="002B006C"/>
    <w:rsid w:val="002B2979"/>
    <w:rsid w:val="002B2FAD"/>
    <w:rsid w:val="002B3CED"/>
    <w:rsid w:val="002B4965"/>
    <w:rsid w:val="002B4BD2"/>
    <w:rsid w:val="002B4FF0"/>
    <w:rsid w:val="002B5F24"/>
    <w:rsid w:val="002B7045"/>
    <w:rsid w:val="002B7C9A"/>
    <w:rsid w:val="002C0298"/>
    <w:rsid w:val="002C3E77"/>
    <w:rsid w:val="002C7BE2"/>
    <w:rsid w:val="002D1A47"/>
    <w:rsid w:val="002D22C6"/>
    <w:rsid w:val="002D47B8"/>
    <w:rsid w:val="002D51E3"/>
    <w:rsid w:val="002D6124"/>
    <w:rsid w:val="002E3B45"/>
    <w:rsid w:val="002E5308"/>
    <w:rsid w:val="002F28D4"/>
    <w:rsid w:val="002F48BD"/>
    <w:rsid w:val="002F6300"/>
    <w:rsid w:val="002F6391"/>
    <w:rsid w:val="00301932"/>
    <w:rsid w:val="003022A1"/>
    <w:rsid w:val="003039CA"/>
    <w:rsid w:val="00306F0E"/>
    <w:rsid w:val="00307208"/>
    <w:rsid w:val="00312192"/>
    <w:rsid w:val="00312BF9"/>
    <w:rsid w:val="00341316"/>
    <w:rsid w:val="0035700E"/>
    <w:rsid w:val="00357BA9"/>
    <w:rsid w:val="00365F00"/>
    <w:rsid w:val="00374BA2"/>
    <w:rsid w:val="00374D09"/>
    <w:rsid w:val="00375AF6"/>
    <w:rsid w:val="00375D47"/>
    <w:rsid w:val="00375E2B"/>
    <w:rsid w:val="00377943"/>
    <w:rsid w:val="003801EE"/>
    <w:rsid w:val="003818BE"/>
    <w:rsid w:val="003835B8"/>
    <w:rsid w:val="003862B0"/>
    <w:rsid w:val="0039719E"/>
    <w:rsid w:val="003A00AA"/>
    <w:rsid w:val="003A38F4"/>
    <w:rsid w:val="003A3B2E"/>
    <w:rsid w:val="003A789E"/>
    <w:rsid w:val="003A7E7C"/>
    <w:rsid w:val="003B05C3"/>
    <w:rsid w:val="003B1EF4"/>
    <w:rsid w:val="003B3991"/>
    <w:rsid w:val="003B61A2"/>
    <w:rsid w:val="003B7AFB"/>
    <w:rsid w:val="003C4401"/>
    <w:rsid w:val="003D338B"/>
    <w:rsid w:val="003D3C4B"/>
    <w:rsid w:val="003E291D"/>
    <w:rsid w:val="003E3752"/>
    <w:rsid w:val="003E39DD"/>
    <w:rsid w:val="003E3F35"/>
    <w:rsid w:val="003E5C5C"/>
    <w:rsid w:val="003E6C69"/>
    <w:rsid w:val="003F14EA"/>
    <w:rsid w:val="00402B60"/>
    <w:rsid w:val="004045C2"/>
    <w:rsid w:val="004114D6"/>
    <w:rsid w:val="00415AD9"/>
    <w:rsid w:val="004214AE"/>
    <w:rsid w:val="00423EA6"/>
    <w:rsid w:val="0042608F"/>
    <w:rsid w:val="00431B6B"/>
    <w:rsid w:val="004327B9"/>
    <w:rsid w:val="00432806"/>
    <w:rsid w:val="0043481D"/>
    <w:rsid w:val="00437174"/>
    <w:rsid w:val="00440940"/>
    <w:rsid w:val="00441248"/>
    <w:rsid w:val="004439F5"/>
    <w:rsid w:val="00444F1D"/>
    <w:rsid w:val="00446553"/>
    <w:rsid w:val="004475ED"/>
    <w:rsid w:val="004512DD"/>
    <w:rsid w:val="00452302"/>
    <w:rsid w:val="00455C40"/>
    <w:rsid w:val="00456F2F"/>
    <w:rsid w:val="00457014"/>
    <w:rsid w:val="004616AA"/>
    <w:rsid w:val="004617F0"/>
    <w:rsid w:val="00465672"/>
    <w:rsid w:val="00465869"/>
    <w:rsid w:val="00465A23"/>
    <w:rsid w:val="00467ED8"/>
    <w:rsid w:val="004750DE"/>
    <w:rsid w:val="004752AD"/>
    <w:rsid w:val="00475BA3"/>
    <w:rsid w:val="004768AB"/>
    <w:rsid w:val="00476E54"/>
    <w:rsid w:val="0048132B"/>
    <w:rsid w:val="00483B53"/>
    <w:rsid w:val="00487096"/>
    <w:rsid w:val="00492477"/>
    <w:rsid w:val="00496A86"/>
    <w:rsid w:val="004A2062"/>
    <w:rsid w:val="004A2CA3"/>
    <w:rsid w:val="004A525F"/>
    <w:rsid w:val="004A5ECE"/>
    <w:rsid w:val="004A60C0"/>
    <w:rsid w:val="004B3B00"/>
    <w:rsid w:val="004B56E7"/>
    <w:rsid w:val="004C0E42"/>
    <w:rsid w:val="004C0ED2"/>
    <w:rsid w:val="004C27F1"/>
    <w:rsid w:val="004C470D"/>
    <w:rsid w:val="004C7FB2"/>
    <w:rsid w:val="004D16BE"/>
    <w:rsid w:val="004D65B5"/>
    <w:rsid w:val="004D7077"/>
    <w:rsid w:val="004E065A"/>
    <w:rsid w:val="004E17D5"/>
    <w:rsid w:val="004E1CC7"/>
    <w:rsid w:val="004E3AB4"/>
    <w:rsid w:val="004E3FF2"/>
    <w:rsid w:val="004E4601"/>
    <w:rsid w:val="004F0A37"/>
    <w:rsid w:val="004F11AA"/>
    <w:rsid w:val="004F4362"/>
    <w:rsid w:val="004F7F78"/>
    <w:rsid w:val="00510E05"/>
    <w:rsid w:val="00511430"/>
    <w:rsid w:val="00515017"/>
    <w:rsid w:val="00517958"/>
    <w:rsid w:val="0052149E"/>
    <w:rsid w:val="00526F54"/>
    <w:rsid w:val="005350CA"/>
    <w:rsid w:val="0054205F"/>
    <w:rsid w:val="005425F3"/>
    <w:rsid w:val="00544109"/>
    <w:rsid w:val="0054653D"/>
    <w:rsid w:val="00547A0B"/>
    <w:rsid w:val="00551168"/>
    <w:rsid w:val="00551B4B"/>
    <w:rsid w:val="00555011"/>
    <w:rsid w:val="00557E85"/>
    <w:rsid w:val="00562755"/>
    <w:rsid w:val="0056619A"/>
    <w:rsid w:val="0057176E"/>
    <w:rsid w:val="00572953"/>
    <w:rsid w:val="0057297D"/>
    <w:rsid w:val="00573D03"/>
    <w:rsid w:val="00575711"/>
    <w:rsid w:val="005811B2"/>
    <w:rsid w:val="00582CF2"/>
    <w:rsid w:val="0058372E"/>
    <w:rsid w:val="005851C8"/>
    <w:rsid w:val="005852DE"/>
    <w:rsid w:val="0058669D"/>
    <w:rsid w:val="0058673C"/>
    <w:rsid w:val="00593A8A"/>
    <w:rsid w:val="00595069"/>
    <w:rsid w:val="0059557F"/>
    <w:rsid w:val="00595A80"/>
    <w:rsid w:val="005A5923"/>
    <w:rsid w:val="005B1A90"/>
    <w:rsid w:val="005B597D"/>
    <w:rsid w:val="005B60F2"/>
    <w:rsid w:val="005C3F45"/>
    <w:rsid w:val="005C535B"/>
    <w:rsid w:val="005C56C7"/>
    <w:rsid w:val="005D10C6"/>
    <w:rsid w:val="005D1693"/>
    <w:rsid w:val="005D22DD"/>
    <w:rsid w:val="005D3EA5"/>
    <w:rsid w:val="005D4B7E"/>
    <w:rsid w:val="005D51A3"/>
    <w:rsid w:val="005D59AE"/>
    <w:rsid w:val="005E2CEF"/>
    <w:rsid w:val="005E5FD4"/>
    <w:rsid w:val="005E62C3"/>
    <w:rsid w:val="005E6CAD"/>
    <w:rsid w:val="005F3859"/>
    <w:rsid w:val="00602C07"/>
    <w:rsid w:val="0060480D"/>
    <w:rsid w:val="00604A42"/>
    <w:rsid w:val="0060670D"/>
    <w:rsid w:val="0061453E"/>
    <w:rsid w:val="0061515A"/>
    <w:rsid w:val="00615834"/>
    <w:rsid w:val="00623817"/>
    <w:rsid w:val="00623BCF"/>
    <w:rsid w:val="006265CE"/>
    <w:rsid w:val="00627233"/>
    <w:rsid w:val="006313A1"/>
    <w:rsid w:val="00637A76"/>
    <w:rsid w:val="00643063"/>
    <w:rsid w:val="006434FA"/>
    <w:rsid w:val="0064659A"/>
    <w:rsid w:val="00650346"/>
    <w:rsid w:val="00652C47"/>
    <w:rsid w:val="00660D90"/>
    <w:rsid w:val="00663EC5"/>
    <w:rsid w:val="00674B25"/>
    <w:rsid w:val="00681995"/>
    <w:rsid w:val="0068241D"/>
    <w:rsid w:val="0068541B"/>
    <w:rsid w:val="006859A2"/>
    <w:rsid w:val="006904BA"/>
    <w:rsid w:val="00691DF5"/>
    <w:rsid w:val="006932FA"/>
    <w:rsid w:val="00696B1F"/>
    <w:rsid w:val="006A2DA7"/>
    <w:rsid w:val="006A2DDB"/>
    <w:rsid w:val="006A6A60"/>
    <w:rsid w:val="006B2AD8"/>
    <w:rsid w:val="006B3645"/>
    <w:rsid w:val="006B46E2"/>
    <w:rsid w:val="006B55F3"/>
    <w:rsid w:val="006B61F4"/>
    <w:rsid w:val="006B7CC2"/>
    <w:rsid w:val="006C026B"/>
    <w:rsid w:val="006C750A"/>
    <w:rsid w:val="006C7D8B"/>
    <w:rsid w:val="006D101C"/>
    <w:rsid w:val="006D2E0F"/>
    <w:rsid w:val="006D563B"/>
    <w:rsid w:val="006D7DD9"/>
    <w:rsid w:val="006E01C3"/>
    <w:rsid w:val="006E2B21"/>
    <w:rsid w:val="006E4175"/>
    <w:rsid w:val="006F51EB"/>
    <w:rsid w:val="00702B57"/>
    <w:rsid w:val="007031E9"/>
    <w:rsid w:val="007069B5"/>
    <w:rsid w:val="00707500"/>
    <w:rsid w:val="00710B2C"/>
    <w:rsid w:val="007173B1"/>
    <w:rsid w:val="00724780"/>
    <w:rsid w:val="007248BA"/>
    <w:rsid w:val="00726606"/>
    <w:rsid w:val="00735721"/>
    <w:rsid w:val="00736203"/>
    <w:rsid w:val="0073783F"/>
    <w:rsid w:val="007427AA"/>
    <w:rsid w:val="00746D76"/>
    <w:rsid w:val="00751B89"/>
    <w:rsid w:val="0075240A"/>
    <w:rsid w:val="0075271A"/>
    <w:rsid w:val="00752D5B"/>
    <w:rsid w:val="00753D6B"/>
    <w:rsid w:val="007559AD"/>
    <w:rsid w:val="00755E3B"/>
    <w:rsid w:val="007569B5"/>
    <w:rsid w:val="00763A92"/>
    <w:rsid w:val="00764B12"/>
    <w:rsid w:val="00764E26"/>
    <w:rsid w:val="007657B8"/>
    <w:rsid w:val="00767829"/>
    <w:rsid w:val="007705B8"/>
    <w:rsid w:val="00772EA1"/>
    <w:rsid w:val="007740BB"/>
    <w:rsid w:val="007749A9"/>
    <w:rsid w:val="00785FC1"/>
    <w:rsid w:val="0078720F"/>
    <w:rsid w:val="00792466"/>
    <w:rsid w:val="007977EA"/>
    <w:rsid w:val="007A20BD"/>
    <w:rsid w:val="007A2C73"/>
    <w:rsid w:val="007A6681"/>
    <w:rsid w:val="007A691F"/>
    <w:rsid w:val="007C2A33"/>
    <w:rsid w:val="007D4879"/>
    <w:rsid w:val="007D4CAB"/>
    <w:rsid w:val="007E640D"/>
    <w:rsid w:val="007E6604"/>
    <w:rsid w:val="007F00F3"/>
    <w:rsid w:val="007F215B"/>
    <w:rsid w:val="007F5E2A"/>
    <w:rsid w:val="008171BE"/>
    <w:rsid w:val="0081743D"/>
    <w:rsid w:val="00820AF6"/>
    <w:rsid w:val="0082229E"/>
    <w:rsid w:val="00835727"/>
    <w:rsid w:val="00836701"/>
    <w:rsid w:val="0083742B"/>
    <w:rsid w:val="00852527"/>
    <w:rsid w:val="00852C00"/>
    <w:rsid w:val="00853DDE"/>
    <w:rsid w:val="008545FE"/>
    <w:rsid w:val="008547F5"/>
    <w:rsid w:val="008614D0"/>
    <w:rsid w:val="00861C57"/>
    <w:rsid w:val="0086212B"/>
    <w:rsid w:val="0086668F"/>
    <w:rsid w:val="0087037A"/>
    <w:rsid w:val="008745C7"/>
    <w:rsid w:val="008749AF"/>
    <w:rsid w:val="0087690B"/>
    <w:rsid w:val="00877082"/>
    <w:rsid w:val="00883260"/>
    <w:rsid w:val="00885709"/>
    <w:rsid w:val="0089402A"/>
    <w:rsid w:val="008A0099"/>
    <w:rsid w:val="008A1A46"/>
    <w:rsid w:val="008A2551"/>
    <w:rsid w:val="008A3EA0"/>
    <w:rsid w:val="008A4FFE"/>
    <w:rsid w:val="008A6043"/>
    <w:rsid w:val="008A7491"/>
    <w:rsid w:val="008B06DB"/>
    <w:rsid w:val="008B40E6"/>
    <w:rsid w:val="008C2928"/>
    <w:rsid w:val="008C74EE"/>
    <w:rsid w:val="008D4D9B"/>
    <w:rsid w:val="008D5893"/>
    <w:rsid w:val="008E0044"/>
    <w:rsid w:val="008E030A"/>
    <w:rsid w:val="008E0A28"/>
    <w:rsid w:val="008E1303"/>
    <w:rsid w:val="008E2490"/>
    <w:rsid w:val="008E591F"/>
    <w:rsid w:val="008E73CA"/>
    <w:rsid w:val="008F0CB2"/>
    <w:rsid w:val="008F7565"/>
    <w:rsid w:val="00901486"/>
    <w:rsid w:val="00904124"/>
    <w:rsid w:val="00906D38"/>
    <w:rsid w:val="009112A5"/>
    <w:rsid w:val="00915637"/>
    <w:rsid w:val="00915C1E"/>
    <w:rsid w:val="009169FE"/>
    <w:rsid w:val="00917F6C"/>
    <w:rsid w:val="009231E9"/>
    <w:rsid w:val="009233E9"/>
    <w:rsid w:val="00924AB7"/>
    <w:rsid w:val="00925325"/>
    <w:rsid w:val="0092543A"/>
    <w:rsid w:val="00925863"/>
    <w:rsid w:val="00927F2B"/>
    <w:rsid w:val="00936072"/>
    <w:rsid w:val="009377FC"/>
    <w:rsid w:val="009379AF"/>
    <w:rsid w:val="009444A4"/>
    <w:rsid w:val="009470E3"/>
    <w:rsid w:val="00947ECA"/>
    <w:rsid w:val="009509DD"/>
    <w:rsid w:val="0095173E"/>
    <w:rsid w:val="00957E3C"/>
    <w:rsid w:val="00962698"/>
    <w:rsid w:val="00966675"/>
    <w:rsid w:val="009668DB"/>
    <w:rsid w:val="009703F9"/>
    <w:rsid w:val="00972C41"/>
    <w:rsid w:val="009734CD"/>
    <w:rsid w:val="009762A0"/>
    <w:rsid w:val="009763E2"/>
    <w:rsid w:val="009777CA"/>
    <w:rsid w:val="00982AFC"/>
    <w:rsid w:val="00983F10"/>
    <w:rsid w:val="00986DF6"/>
    <w:rsid w:val="00987247"/>
    <w:rsid w:val="0099320B"/>
    <w:rsid w:val="009934CD"/>
    <w:rsid w:val="00993B9F"/>
    <w:rsid w:val="009A122A"/>
    <w:rsid w:val="009A272C"/>
    <w:rsid w:val="009A7958"/>
    <w:rsid w:val="009B1C9C"/>
    <w:rsid w:val="009B49C8"/>
    <w:rsid w:val="009C003C"/>
    <w:rsid w:val="009C3AB6"/>
    <w:rsid w:val="009C46B6"/>
    <w:rsid w:val="009C7699"/>
    <w:rsid w:val="009D0021"/>
    <w:rsid w:val="009D4CBA"/>
    <w:rsid w:val="009D5BC3"/>
    <w:rsid w:val="009D5EFE"/>
    <w:rsid w:val="009D715D"/>
    <w:rsid w:val="009E4AB0"/>
    <w:rsid w:val="009E540B"/>
    <w:rsid w:val="009F4B5E"/>
    <w:rsid w:val="009F6D09"/>
    <w:rsid w:val="00A00522"/>
    <w:rsid w:val="00A027BB"/>
    <w:rsid w:val="00A1167B"/>
    <w:rsid w:val="00A15C20"/>
    <w:rsid w:val="00A20E65"/>
    <w:rsid w:val="00A21551"/>
    <w:rsid w:val="00A238D8"/>
    <w:rsid w:val="00A23A40"/>
    <w:rsid w:val="00A268A1"/>
    <w:rsid w:val="00A323DA"/>
    <w:rsid w:val="00A4494A"/>
    <w:rsid w:val="00A4573F"/>
    <w:rsid w:val="00A51EE3"/>
    <w:rsid w:val="00A5246F"/>
    <w:rsid w:val="00A55DEB"/>
    <w:rsid w:val="00A63D37"/>
    <w:rsid w:val="00A6426A"/>
    <w:rsid w:val="00A653F4"/>
    <w:rsid w:val="00A66174"/>
    <w:rsid w:val="00A76BC7"/>
    <w:rsid w:val="00A770D9"/>
    <w:rsid w:val="00A81A03"/>
    <w:rsid w:val="00A832CB"/>
    <w:rsid w:val="00A86AE0"/>
    <w:rsid w:val="00A86D46"/>
    <w:rsid w:val="00A8758B"/>
    <w:rsid w:val="00A92B51"/>
    <w:rsid w:val="00A93DC6"/>
    <w:rsid w:val="00A95826"/>
    <w:rsid w:val="00AA6831"/>
    <w:rsid w:val="00AB1244"/>
    <w:rsid w:val="00AB549D"/>
    <w:rsid w:val="00AB7B27"/>
    <w:rsid w:val="00AD5827"/>
    <w:rsid w:val="00AD7D7F"/>
    <w:rsid w:val="00AE1103"/>
    <w:rsid w:val="00AE35F0"/>
    <w:rsid w:val="00AE4978"/>
    <w:rsid w:val="00AE7D7A"/>
    <w:rsid w:val="00AF26D6"/>
    <w:rsid w:val="00B07AB4"/>
    <w:rsid w:val="00B12927"/>
    <w:rsid w:val="00B140F3"/>
    <w:rsid w:val="00B15EB0"/>
    <w:rsid w:val="00B15FCC"/>
    <w:rsid w:val="00B20523"/>
    <w:rsid w:val="00B23D9D"/>
    <w:rsid w:val="00B33F2C"/>
    <w:rsid w:val="00B408EA"/>
    <w:rsid w:val="00B41316"/>
    <w:rsid w:val="00B4545A"/>
    <w:rsid w:val="00B46F1C"/>
    <w:rsid w:val="00B47581"/>
    <w:rsid w:val="00B50987"/>
    <w:rsid w:val="00B52295"/>
    <w:rsid w:val="00B52B5F"/>
    <w:rsid w:val="00B56164"/>
    <w:rsid w:val="00B56788"/>
    <w:rsid w:val="00B64749"/>
    <w:rsid w:val="00B64F0E"/>
    <w:rsid w:val="00B658D3"/>
    <w:rsid w:val="00B659F9"/>
    <w:rsid w:val="00B801CD"/>
    <w:rsid w:val="00B817C3"/>
    <w:rsid w:val="00B91AD5"/>
    <w:rsid w:val="00B92D18"/>
    <w:rsid w:val="00B95FA0"/>
    <w:rsid w:val="00B97759"/>
    <w:rsid w:val="00BA7823"/>
    <w:rsid w:val="00BB0659"/>
    <w:rsid w:val="00BB2F2F"/>
    <w:rsid w:val="00BB664E"/>
    <w:rsid w:val="00BC5A9E"/>
    <w:rsid w:val="00BD2EC3"/>
    <w:rsid w:val="00BD597D"/>
    <w:rsid w:val="00BD6692"/>
    <w:rsid w:val="00BD6FA4"/>
    <w:rsid w:val="00BE1611"/>
    <w:rsid w:val="00BE4628"/>
    <w:rsid w:val="00BE6950"/>
    <w:rsid w:val="00BE75DB"/>
    <w:rsid w:val="00BF172D"/>
    <w:rsid w:val="00BF3ADA"/>
    <w:rsid w:val="00BF6177"/>
    <w:rsid w:val="00BF768E"/>
    <w:rsid w:val="00BF7995"/>
    <w:rsid w:val="00C0078F"/>
    <w:rsid w:val="00C0444C"/>
    <w:rsid w:val="00C054E1"/>
    <w:rsid w:val="00C111E1"/>
    <w:rsid w:val="00C11C77"/>
    <w:rsid w:val="00C1354C"/>
    <w:rsid w:val="00C276BC"/>
    <w:rsid w:val="00C32A59"/>
    <w:rsid w:val="00C33050"/>
    <w:rsid w:val="00C347ED"/>
    <w:rsid w:val="00C3533E"/>
    <w:rsid w:val="00C369AA"/>
    <w:rsid w:val="00C36E70"/>
    <w:rsid w:val="00C40631"/>
    <w:rsid w:val="00C406F1"/>
    <w:rsid w:val="00C40F0A"/>
    <w:rsid w:val="00C41696"/>
    <w:rsid w:val="00C45683"/>
    <w:rsid w:val="00C45FB3"/>
    <w:rsid w:val="00C466CA"/>
    <w:rsid w:val="00C50A4C"/>
    <w:rsid w:val="00C5341B"/>
    <w:rsid w:val="00C53694"/>
    <w:rsid w:val="00C54B5C"/>
    <w:rsid w:val="00C61929"/>
    <w:rsid w:val="00C669FD"/>
    <w:rsid w:val="00C670EA"/>
    <w:rsid w:val="00C67EAB"/>
    <w:rsid w:val="00C70B23"/>
    <w:rsid w:val="00C756C9"/>
    <w:rsid w:val="00C77E5D"/>
    <w:rsid w:val="00C93A4D"/>
    <w:rsid w:val="00CA1097"/>
    <w:rsid w:val="00CA364E"/>
    <w:rsid w:val="00CA4064"/>
    <w:rsid w:val="00CA6473"/>
    <w:rsid w:val="00CA7A5F"/>
    <w:rsid w:val="00CA7A85"/>
    <w:rsid w:val="00CB04C4"/>
    <w:rsid w:val="00CB4C3A"/>
    <w:rsid w:val="00CB529A"/>
    <w:rsid w:val="00CC6203"/>
    <w:rsid w:val="00CD2966"/>
    <w:rsid w:val="00CD3263"/>
    <w:rsid w:val="00CD6845"/>
    <w:rsid w:val="00CD70D9"/>
    <w:rsid w:val="00CD7207"/>
    <w:rsid w:val="00CE05F0"/>
    <w:rsid w:val="00CE0F21"/>
    <w:rsid w:val="00CE307E"/>
    <w:rsid w:val="00CF1E29"/>
    <w:rsid w:val="00CF2479"/>
    <w:rsid w:val="00CF3A27"/>
    <w:rsid w:val="00CF3B30"/>
    <w:rsid w:val="00CF4B20"/>
    <w:rsid w:val="00CF6AF6"/>
    <w:rsid w:val="00D00752"/>
    <w:rsid w:val="00D01537"/>
    <w:rsid w:val="00D04E49"/>
    <w:rsid w:val="00D06AB0"/>
    <w:rsid w:val="00D12992"/>
    <w:rsid w:val="00D12E93"/>
    <w:rsid w:val="00D15A1C"/>
    <w:rsid w:val="00D169E7"/>
    <w:rsid w:val="00D207C1"/>
    <w:rsid w:val="00D24BF4"/>
    <w:rsid w:val="00D35474"/>
    <w:rsid w:val="00D4370A"/>
    <w:rsid w:val="00D44BBF"/>
    <w:rsid w:val="00D53BA1"/>
    <w:rsid w:val="00D542F7"/>
    <w:rsid w:val="00D55D08"/>
    <w:rsid w:val="00D60736"/>
    <w:rsid w:val="00D623C8"/>
    <w:rsid w:val="00D64E5E"/>
    <w:rsid w:val="00D70C5C"/>
    <w:rsid w:val="00D75BB9"/>
    <w:rsid w:val="00D81DB0"/>
    <w:rsid w:val="00D8406C"/>
    <w:rsid w:val="00D864F6"/>
    <w:rsid w:val="00D87288"/>
    <w:rsid w:val="00D91699"/>
    <w:rsid w:val="00D920F7"/>
    <w:rsid w:val="00D92AAF"/>
    <w:rsid w:val="00D93129"/>
    <w:rsid w:val="00D951A6"/>
    <w:rsid w:val="00DA0F30"/>
    <w:rsid w:val="00DA0FF0"/>
    <w:rsid w:val="00DA1599"/>
    <w:rsid w:val="00DB043F"/>
    <w:rsid w:val="00DB0E5A"/>
    <w:rsid w:val="00DB1E25"/>
    <w:rsid w:val="00DB44BD"/>
    <w:rsid w:val="00DB5CF4"/>
    <w:rsid w:val="00DC2E9A"/>
    <w:rsid w:val="00DD0235"/>
    <w:rsid w:val="00DD0FC8"/>
    <w:rsid w:val="00DD2972"/>
    <w:rsid w:val="00DD53C8"/>
    <w:rsid w:val="00DD6D08"/>
    <w:rsid w:val="00DD7773"/>
    <w:rsid w:val="00DE2488"/>
    <w:rsid w:val="00DE4E12"/>
    <w:rsid w:val="00DE528B"/>
    <w:rsid w:val="00DE6474"/>
    <w:rsid w:val="00E02142"/>
    <w:rsid w:val="00E071E4"/>
    <w:rsid w:val="00E143B1"/>
    <w:rsid w:val="00E17218"/>
    <w:rsid w:val="00E22E25"/>
    <w:rsid w:val="00E24124"/>
    <w:rsid w:val="00E27F37"/>
    <w:rsid w:val="00E354A8"/>
    <w:rsid w:val="00E37E33"/>
    <w:rsid w:val="00E417E1"/>
    <w:rsid w:val="00E423E1"/>
    <w:rsid w:val="00E478B8"/>
    <w:rsid w:val="00E54150"/>
    <w:rsid w:val="00E61E57"/>
    <w:rsid w:val="00E62142"/>
    <w:rsid w:val="00E62F66"/>
    <w:rsid w:val="00E64F83"/>
    <w:rsid w:val="00E65D74"/>
    <w:rsid w:val="00E6615D"/>
    <w:rsid w:val="00E72867"/>
    <w:rsid w:val="00E811EE"/>
    <w:rsid w:val="00E82FA4"/>
    <w:rsid w:val="00E839C9"/>
    <w:rsid w:val="00E9054A"/>
    <w:rsid w:val="00E9077C"/>
    <w:rsid w:val="00E91535"/>
    <w:rsid w:val="00E92876"/>
    <w:rsid w:val="00EA034A"/>
    <w:rsid w:val="00EA0770"/>
    <w:rsid w:val="00EA3E4F"/>
    <w:rsid w:val="00EB3F97"/>
    <w:rsid w:val="00EB43D8"/>
    <w:rsid w:val="00EB6296"/>
    <w:rsid w:val="00EB7ED6"/>
    <w:rsid w:val="00EC0152"/>
    <w:rsid w:val="00EC1F35"/>
    <w:rsid w:val="00EC2974"/>
    <w:rsid w:val="00EC541F"/>
    <w:rsid w:val="00EC6574"/>
    <w:rsid w:val="00EC7D5E"/>
    <w:rsid w:val="00ED72D1"/>
    <w:rsid w:val="00ED72D6"/>
    <w:rsid w:val="00ED771B"/>
    <w:rsid w:val="00EE32F1"/>
    <w:rsid w:val="00EE6220"/>
    <w:rsid w:val="00EF7831"/>
    <w:rsid w:val="00F02DB0"/>
    <w:rsid w:val="00F0412D"/>
    <w:rsid w:val="00F06154"/>
    <w:rsid w:val="00F1433B"/>
    <w:rsid w:val="00F20B3C"/>
    <w:rsid w:val="00F20BCD"/>
    <w:rsid w:val="00F21022"/>
    <w:rsid w:val="00F216E1"/>
    <w:rsid w:val="00F27170"/>
    <w:rsid w:val="00F32D43"/>
    <w:rsid w:val="00F40864"/>
    <w:rsid w:val="00F418D6"/>
    <w:rsid w:val="00F442D9"/>
    <w:rsid w:val="00F449BF"/>
    <w:rsid w:val="00F5235D"/>
    <w:rsid w:val="00F53D04"/>
    <w:rsid w:val="00F55255"/>
    <w:rsid w:val="00F5737C"/>
    <w:rsid w:val="00F6125A"/>
    <w:rsid w:val="00F657B1"/>
    <w:rsid w:val="00F65EE4"/>
    <w:rsid w:val="00F66BA7"/>
    <w:rsid w:val="00F67295"/>
    <w:rsid w:val="00F67D4B"/>
    <w:rsid w:val="00F72741"/>
    <w:rsid w:val="00F7501E"/>
    <w:rsid w:val="00F77326"/>
    <w:rsid w:val="00F77862"/>
    <w:rsid w:val="00F80533"/>
    <w:rsid w:val="00F8199D"/>
    <w:rsid w:val="00F81C49"/>
    <w:rsid w:val="00F8210B"/>
    <w:rsid w:val="00F835F7"/>
    <w:rsid w:val="00F83B3C"/>
    <w:rsid w:val="00F91C96"/>
    <w:rsid w:val="00F91F97"/>
    <w:rsid w:val="00F92608"/>
    <w:rsid w:val="00F93C79"/>
    <w:rsid w:val="00F97405"/>
    <w:rsid w:val="00FA11B2"/>
    <w:rsid w:val="00FA2706"/>
    <w:rsid w:val="00FA5F24"/>
    <w:rsid w:val="00FA611E"/>
    <w:rsid w:val="00FA64A0"/>
    <w:rsid w:val="00FB1F69"/>
    <w:rsid w:val="00FB25E9"/>
    <w:rsid w:val="00FB6A06"/>
    <w:rsid w:val="00FC2F8B"/>
    <w:rsid w:val="00FC308C"/>
    <w:rsid w:val="00FC6BEC"/>
    <w:rsid w:val="00FD12F1"/>
    <w:rsid w:val="00FD2952"/>
    <w:rsid w:val="00FD2AD5"/>
    <w:rsid w:val="00FD3BF8"/>
    <w:rsid w:val="00FD3CB2"/>
    <w:rsid w:val="00FD4918"/>
    <w:rsid w:val="00FE0C2A"/>
    <w:rsid w:val="00FE22BB"/>
    <w:rsid w:val="00FE3268"/>
    <w:rsid w:val="00FE44AD"/>
    <w:rsid w:val="00FE7673"/>
    <w:rsid w:val="00FF0B53"/>
    <w:rsid w:val="00FF3AD5"/>
    <w:rsid w:val="00FF405C"/>
    <w:rsid w:val="00FF4C07"/>
    <w:rsid w:val="00FF636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AU" w:eastAsia="zh-CN" w:bidi="ar-SA"/>
      </w:rPr>
    </w:rPrDefault>
    <w:pPrDefault>
      <w:pPr>
        <w:spacing w:after="200" w:line="2" w:lineRule="auto"/>
      </w:pPr>
    </w:pPrDefault>
  </w:docDefaults>
  <w:latentStyles w:defLockedState="0" w:defUIPriority="0" w:defSemiHidden="1" w:defUnhideWhenUsed="1" w:defQFormat="0" w:count="267">
    <w:lsdException w:name="Normal" w:semiHidden="0" w:uiPriority="11"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6"/>
    <w:lsdException w:name="caption" w:qFormat="1"/>
    <w:lsdException w:name="footnote reference" w:uiPriority="6"/>
    <w:lsdException w:name="List Number" w:semiHidden="0" w:uiPriority="7" w:unhideWhenUsed="0" w:qFormat="1"/>
    <w:lsdException w:name="List 4" w:unhideWhenUsed="0"/>
    <w:lsdException w:name="List 5" w:unhideWhenUsed="0"/>
    <w:lsdException w:name="List Number 2" w:uiPriority="7" w:qFormat="1"/>
    <w:lsdException w:name="List Number 3" w:uiPriority="7" w:qFormat="1"/>
    <w:lsdException w:name="List Number 4" w:uiPriority="7" w:qFormat="1"/>
    <w:lsdException w:name="Title" w:semiHidden="0" w:unhideWhenUsed="0" w:qFormat="1"/>
    <w:lsdException w:name="Default Paragraph Font" w:uiPriority="1"/>
    <w:lsdException w:name="Body Text" w:qFormat="1"/>
    <w:lsdException w:name="Subtitle" w:unhideWhenUsed="0" w:qFormat="1"/>
    <w:lsdException w:name="Salutation" w:unhideWhenUsed="0"/>
    <w:lsdException w:name="Date" w:unhideWhenUsed="0"/>
    <w:lsdException w:name="Body Text First Indent" w:semiHidden="0" w:uiPriority="6" w:unhideWhenUsed="0"/>
    <w:lsdException w:name="Hyperlink" w:uiPriority="6"/>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6"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1"/>
    <w:rsid w:val="00CE0F21"/>
    <w:pPr>
      <w:spacing w:after="0" w:line="240" w:lineRule="auto"/>
    </w:pPr>
    <w:rPr>
      <w:rFonts w:eastAsiaTheme="minorEastAsia"/>
      <w:szCs w:val="28"/>
    </w:rPr>
  </w:style>
  <w:style w:type="paragraph" w:styleId="Heading1">
    <w:name w:val="heading 1"/>
    <w:basedOn w:val="Normal"/>
    <w:next w:val="BodyText"/>
    <w:qFormat/>
    <w:rsid w:val="009762A0"/>
    <w:pPr>
      <w:keepNext/>
      <w:numPr>
        <w:numId w:val="32"/>
      </w:numPr>
      <w:spacing w:after="180" w:line="260" w:lineRule="atLeast"/>
      <w:outlineLvl w:val="0"/>
    </w:pPr>
    <w:rPr>
      <w:rFonts w:asciiTheme="majorHAnsi" w:eastAsiaTheme="majorEastAsia" w:hAnsiTheme="majorHAnsi" w:cstheme="majorHAnsi"/>
      <w:b/>
      <w:bCs/>
    </w:rPr>
  </w:style>
  <w:style w:type="paragraph" w:styleId="Heading2">
    <w:name w:val="heading 2"/>
    <w:basedOn w:val="Normal"/>
    <w:next w:val="BodyText"/>
    <w:qFormat/>
    <w:rsid w:val="009762A0"/>
    <w:pPr>
      <w:keepNext/>
      <w:numPr>
        <w:ilvl w:val="1"/>
        <w:numId w:val="32"/>
      </w:numPr>
      <w:spacing w:after="180" w:line="260" w:lineRule="atLeast"/>
      <w:outlineLvl w:val="1"/>
    </w:pPr>
    <w:rPr>
      <w:rFonts w:asciiTheme="majorHAnsi" w:eastAsiaTheme="majorEastAsia" w:hAnsiTheme="majorHAnsi" w:cstheme="majorHAnsi"/>
      <w:b/>
      <w:bCs/>
    </w:rPr>
  </w:style>
  <w:style w:type="paragraph" w:styleId="Heading3">
    <w:name w:val="heading 3"/>
    <w:basedOn w:val="Normal"/>
    <w:qFormat/>
    <w:rsid w:val="009762A0"/>
    <w:pPr>
      <w:numPr>
        <w:ilvl w:val="2"/>
        <w:numId w:val="32"/>
      </w:numPr>
      <w:spacing w:after="180" w:line="260" w:lineRule="atLeast"/>
      <w:outlineLvl w:val="2"/>
    </w:pPr>
  </w:style>
  <w:style w:type="paragraph" w:styleId="Heading4">
    <w:name w:val="heading 4"/>
    <w:basedOn w:val="Normal"/>
    <w:qFormat/>
    <w:rsid w:val="009762A0"/>
    <w:pPr>
      <w:numPr>
        <w:ilvl w:val="3"/>
        <w:numId w:val="32"/>
      </w:numPr>
      <w:spacing w:after="180" w:line="260" w:lineRule="atLeast"/>
      <w:outlineLvl w:val="3"/>
    </w:pPr>
  </w:style>
  <w:style w:type="paragraph" w:styleId="Heading5">
    <w:name w:val="heading 5"/>
    <w:basedOn w:val="Normal"/>
    <w:qFormat/>
    <w:rsid w:val="009762A0"/>
    <w:pPr>
      <w:numPr>
        <w:ilvl w:val="4"/>
        <w:numId w:val="32"/>
      </w:numPr>
      <w:spacing w:after="180" w:line="260" w:lineRule="atLeast"/>
      <w:outlineLvl w:val="4"/>
    </w:pPr>
  </w:style>
  <w:style w:type="paragraph" w:styleId="Heading6">
    <w:name w:val="heading 6"/>
    <w:basedOn w:val="Normal"/>
    <w:qFormat/>
    <w:rsid w:val="009762A0"/>
    <w:pPr>
      <w:numPr>
        <w:ilvl w:val="5"/>
        <w:numId w:val="32"/>
      </w:numPr>
      <w:spacing w:after="180" w:line="260" w:lineRule="atLeast"/>
      <w:outlineLvl w:val="5"/>
    </w:pPr>
  </w:style>
  <w:style w:type="paragraph" w:styleId="Heading7">
    <w:name w:val="heading 7"/>
    <w:basedOn w:val="Normal"/>
    <w:link w:val="Heading7Char"/>
    <w:qFormat/>
    <w:rsid w:val="009762A0"/>
    <w:pPr>
      <w:numPr>
        <w:ilvl w:val="6"/>
        <w:numId w:val="32"/>
      </w:numPr>
      <w:spacing w:after="180" w:line="260" w:lineRule="atLeas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MKAddressInfo">
    <w:name w:val="BMK Address Info"/>
    <w:link w:val="BMKAddressInfoChar"/>
    <w:semiHidden/>
    <w:rsid w:val="009762A0"/>
    <w:pPr>
      <w:spacing w:after="0" w:line="240" w:lineRule="auto"/>
    </w:pPr>
    <w:rPr>
      <w:rFonts w:ascii="Arial" w:hAnsi="Arial"/>
      <w:bCs/>
      <w:noProof/>
      <w:sz w:val="16"/>
    </w:rPr>
  </w:style>
  <w:style w:type="paragraph" w:customStyle="1" w:styleId="BMKCities">
    <w:name w:val="BMK Cities"/>
    <w:semiHidden/>
    <w:rsid w:val="009762A0"/>
    <w:pPr>
      <w:spacing w:after="0" w:line="240" w:lineRule="auto"/>
    </w:pPr>
    <w:rPr>
      <w:rFonts w:ascii="Arial" w:hAnsi="Arial"/>
      <w:noProof/>
      <w:spacing w:val="2"/>
      <w:sz w:val="11"/>
      <w:szCs w:val="11"/>
    </w:rPr>
  </w:style>
  <w:style w:type="paragraph" w:customStyle="1" w:styleId="BMKDeliveryPhrase">
    <w:name w:val="BMK Delivery Phrase"/>
    <w:basedOn w:val="BMKAddressInfo"/>
    <w:semiHidden/>
    <w:rsid w:val="009762A0"/>
    <w:pPr>
      <w:framePr w:w="2943" w:h="1734" w:hRule="exact" w:wrap="around" w:vAnchor="text" w:hAnchor="page" w:x="8533" w:y="208"/>
      <w:ind w:left="57"/>
    </w:pPr>
    <w:rPr>
      <w:b/>
    </w:rPr>
  </w:style>
  <w:style w:type="paragraph" w:customStyle="1" w:styleId="BMKLegalNoticePhrase">
    <w:name w:val="BMK Legal Notice Phrase"/>
    <w:basedOn w:val="Normal"/>
    <w:semiHidden/>
    <w:rsid w:val="009762A0"/>
    <w:pPr>
      <w:spacing w:before="260" w:after="180" w:line="260" w:lineRule="atLeast"/>
    </w:pPr>
    <w:rPr>
      <w:rFonts w:asciiTheme="majorHAnsi" w:eastAsiaTheme="majorEastAsia" w:hAnsiTheme="majorHAnsi" w:cstheme="majorHAnsi"/>
      <w:b/>
      <w:caps/>
    </w:rPr>
  </w:style>
  <w:style w:type="paragraph" w:customStyle="1" w:styleId="BMKMemberFirmName">
    <w:name w:val="BMK Member Firm Name"/>
    <w:basedOn w:val="BMKAddressInfo"/>
    <w:next w:val="BMKAddressInfo"/>
    <w:link w:val="BMKMemberFirmNameChar"/>
    <w:semiHidden/>
    <w:rsid w:val="009762A0"/>
    <w:rPr>
      <w:b/>
    </w:rPr>
  </w:style>
  <w:style w:type="paragraph" w:customStyle="1" w:styleId="BMKRegions">
    <w:name w:val="BMK Regions"/>
    <w:basedOn w:val="BMKCities"/>
    <w:next w:val="BMKCities"/>
    <w:semiHidden/>
    <w:rsid w:val="009762A0"/>
    <w:rPr>
      <w:rFonts w:ascii="Arial Black" w:hAnsi="Arial Black"/>
      <w:szCs w:val="24"/>
    </w:rPr>
  </w:style>
  <w:style w:type="paragraph" w:customStyle="1" w:styleId="BMKMultiOffice">
    <w:name w:val="BMK Multi Office"/>
    <w:basedOn w:val="BMKRegions"/>
    <w:next w:val="Normal"/>
    <w:semiHidden/>
    <w:rsid w:val="009762A0"/>
  </w:style>
  <w:style w:type="paragraph" w:customStyle="1" w:styleId="BMKMultiOfficeAddress">
    <w:name w:val="BMK Multi Office Address"/>
    <w:basedOn w:val="BMKCities"/>
    <w:semiHidden/>
    <w:rsid w:val="009762A0"/>
  </w:style>
  <w:style w:type="paragraph" w:customStyle="1" w:styleId="BMKPartnerList">
    <w:name w:val="BMK Partner List"/>
    <w:basedOn w:val="BMKCities"/>
    <w:semiHidden/>
    <w:rsid w:val="009762A0"/>
    <w:pPr>
      <w:adjustRightInd w:val="0"/>
      <w:snapToGrid w:val="0"/>
      <w:spacing w:after="20"/>
    </w:pPr>
    <w:rPr>
      <w:rFonts w:cs="Arial"/>
      <w:caps/>
      <w:spacing w:val="0"/>
      <w:sz w:val="9"/>
      <w:szCs w:val="12"/>
    </w:rPr>
  </w:style>
  <w:style w:type="paragraph" w:customStyle="1" w:styleId="BMKQualifier">
    <w:name w:val="BMK Qualifier"/>
    <w:semiHidden/>
    <w:rsid w:val="009762A0"/>
    <w:pPr>
      <w:spacing w:line="170" w:lineRule="atLeast"/>
    </w:pPr>
    <w:rPr>
      <w:caps/>
      <w:noProof/>
      <w:sz w:val="13"/>
      <w:szCs w:val="13"/>
    </w:rPr>
  </w:style>
  <w:style w:type="paragraph" w:customStyle="1" w:styleId="BMKRefInfo">
    <w:name w:val="BMK Ref Info"/>
    <w:basedOn w:val="BMKAddressInfo"/>
    <w:semiHidden/>
    <w:rsid w:val="009762A0"/>
    <w:pPr>
      <w:framePr w:w="2943" w:h="1734" w:hRule="exact" w:wrap="around" w:vAnchor="text" w:hAnchor="page" w:x="8533" w:y="208"/>
      <w:ind w:left="57"/>
    </w:pPr>
  </w:style>
  <w:style w:type="paragraph" w:customStyle="1" w:styleId="BMKRecipient1">
    <w:name w:val="BMK Recipient1"/>
    <w:basedOn w:val="Normal"/>
    <w:semiHidden/>
    <w:rsid w:val="009762A0"/>
    <w:pPr>
      <w:spacing w:line="260" w:lineRule="atLeast"/>
    </w:pPr>
  </w:style>
  <w:style w:type="paragraph" w:styleId="Footer">
    <w:name w:val="footer"/>
    <w:basedOn w:val="Normal"/>
    <w:link w:val="FooterChar"/>
    <w:rsid w:val="009762A0"/>
    <w:pPr>
      <w:tabs>
        <w:tab w:val="right" w:pos="9350"/>
      </w:tabs>
      <w:spacing w:line="200" w:lineRule="atLeast"/>
    </w:pPr>
    <w:rPr>
      <w:rFonts w:asciiTheme="majorHAnsi" w:eastAsiaTheme="majorEastAsia" w:hAnsiTheme="majorHAnsi" w:cstheme="majorHAnsi"/>
      <w:noProof/>
      <w:sz w:val="16"/>
      <w:szCs w:val="22"/>
    </w:rPr>
  </w:style>
  <w:style w:type="character" w:styleId="FootnoteReference">
    <w:name w:val="footnote reference"/>
    <w:uiPriority w:val="6"/>
    <w:semiHidden/>
    <w:rsid w:val="009762A0"/>
    <w:rPr>
      <w:vertAlign w:val="superscript"/>
    </w:rPr>
  </w:style>
  <w:style w:type="paragraph" w:styleId="Header">
    <w:name w:val="header"/>
    <w:basedOn w:val="Normal"/>
    <w:semiHidden/>
    <w:rsid w:val="009762A0"/>
  </w:style>
  <w:style w:type="paragraph" w:styleId="ListNumber">
    <w:name w:val="List Number"/>
    <w:basedOn w:val="Normal"/>
    <w:uiPriority w:val="7"/>
    <w:qFormat/>
    <w:rsid w:val="009762A0"/>
    <w:pPr>
      <w:numPr>
        <w:numId w:val="4"/>
      </w:numPr>
      <w:spacing w:after="180" w:line="260" w:lineRule="atLeast"/>
    </w:pPr>
  </w:style>
  <w:style w:type="paragraph" w:styleId="FootnoteText">
    <w:name w:val="footnote text"/>
    <w:basedOn w:val="Normal"/>
    <w:uiPriority w:val="6"/>
    <w:semiHidden/>
    <w:rsid w:val="009762A0"/>
    <w:rPr>
      <w:sz w:val="18"/>
      <w:szCs w:val="20"/>
    </w:rPr>
  </w:style>
  <w:style w:type="paragraph" w:customStyle="1" w:styleId="Bullet1">
    <w:name w:val="Bullet 1"/>
    <w:basedOn w:val="Normal"/>
    <w:uiPriority w:val="8"/>
    <w:qFormat/>
    <w:rsid w:val="009762A0"/>
    <w:pPr>
      <w:numPr>
        <w:numId w:val="1"/>
      </w:numPr>
      <w:spacing w:after="180" w:line="260" w:lineRule="atLeast"/>
    </w:pPr>
  </w:style>
  <w:style w:type="paragraph" w:customStyle="1" w:styleId="BMKSubject">
    <w:name w:val="BMK Subject"/>
    <w:basedOn w:val="Normal"/>
    <w:semiHidden/>
    <w:rsid w:val="009762A0"/>
    <w:pPr>
      <w:spacing w:line="260" w:lineRule="atLeast"/>
    </w:pPr>
    <w:rPr>
      <w:rFonts w:asciiTheme="majorHAnsi" w:eastAsiaTheme="majorEastAsia" w:hAnsiTheme="majorHAnsi" w:cstheme="majorHAnsi"/>
      <w:b/>
      <w:bCs/>
    </w:rPr>
  </w:style>
  <w:style w:type="character" w:customStyle="1" w:styleId="BMKAddressInfoChar">
    <w:name w:val="BMK Address Info Char"/>
    <w:link w:val="BMKAddressInfo"/>
    <w:semiHidden/>
    <w:rsid w:val="009762A0"/>
    <w:rPr>
      <w:rFonts w:ascii="Arial" w:hAnsi="Arial"/>
      <w:bCs/>
      <w:noProof/>
      <w:sz w:val="16"/>
    </w:rPr>
  </w:style>
  <w:style w:type="paragraph" w:customStyle="1" w:styleId="BMKPrivacyText">
    <w:name w:val="BMK Privacy Text"/>
    <w:basedOn w:val="Footer"/>
    <w:link w:val="BMKPrivacyTextChar"/>
    <w:semiHidden/>
    <w:rsid w:val="009762A0"/>
  </w:style>
  <w:style w:type="paragraph" w:customStyle="1" w:styleId="OtherContact">
    <w:name w:val="OtherContact"/>
    <w:basedOn w:val="Normal"/>
    <w:semiHidden/>
    <w:rsid w:val="009762A0"/>
    <w:rPr>
      <w:rFonts w:asciiTheme="majorHAnsi" w:eastAsiaTheme="majorEastAsia" w:hAnsiTheme="majorHAnsi" w:cstheme="majorHAnsi"/>
      <w:sz w:val="16"/>
    </w:rPr>
  </w:style>
  <w:style w:type="paragraph" w:customStyle="1" w:styleId="Bullet2">
    <w:name w:val="Bullet 2"/>
    <w:basedOn w:val="Normal"/>
    <w:uiPriority w:val="8"/>
    <w:qFormat/>
    <w:rsid w:val="009762A0"/>
    <w:pPr>
      <w:numPr>
        <w:numId w:val="2"/>
      </w:numPr>
      <w:spacing w:line="260" w:lineRule="atLeast"/>
    </w:pPr>
  </w:style>
  <w:style w:type="character" w:customStyle="1" w:styleId="Definition">
    <w:name w:val="Definition"/>
    <w:basedOn w:val="DefaultParagraphFont"/>
    <w:uiPriority w:val="3"/>
    <w:rsid w:val="009762A0"/>
    <w:rPr>
      <w:b/>
      <w:bCs/>
      <w:i w:val="0"/>
      <w:szCs w:val="28"/>
    </w:rPr>
  </w:style>
  <w:style w:type="character" w:styleId="PageNumber">
    <w:name w:val="page number"/>
    <w:basedOn w:val="DefaultParagraphFont"/>
    <w:semiHidden/>
    <w:rsid w:val="009762A0"/>
    <w:rPr>
      <w:szCs w:val="16"/>
    </w:rPr>
  </w:style>
  <w:style w:type="paragraph" w:customStyle="1" w:styleId="LetterDetail">
    <w:name w:val="LetterDetail"/>
    <w:basedOn w:val="Normal"/>
    <w:semiHidden/>
    <w:rsid w:val="009762A0"/>
    <w:pPr>
      <w:spacing w:line="260" w:lineRule="atLeast"/>
    </w:pPr>
  </w:style>
  <w:style w:type="paragraph" w:customStyle="1" w:styleId="BMKLetterCaption">
    <w:name w:val="BMK LetterCaption"/>
    <w:basedOn w:val="BMKLegalNoticePhrase"/>
    <w:next w:val="NormalSingle"/>
    <w:semiHidden/>
    <w:rsid w:val="009762A0"/>
    <w:pPr>
      <w:spacing w:before="0"/>
    </w:pPr>
  </w:style>
  <w:style w:type="paragraph" w:customStyle="1" w:styleId="BMKco-brand">
    <w:name w:val="BMK co-brand"/>
    <w:semiHidden/>
    <w:rsid w:val="009762A0"/>
    <w:pPr>
      <w:spacing w:line="170" w:lineRule="atLeast"/>
    </w:pPr>
    <w:rPr>
      <w:caps/>
      <w:sz w:val="13"/>
    </w:rPr>
  </w:style>
  <w:style w:type="character" w:customStyle="1" w:styleId="Highlight">
    <w:name w:val="Highlight"/>
    <w:semiHidden/>
    <w:rsid w:val="009762A0"/>
    <w:rPr>
      <w:rFonts w:asciiTheme="majorHAnsi" w:eastAsiaTheme="majorEastAsia" w:hAnsiTheme="majorHAnsi" w:cstheme="majorHAnsi"/>
      <w:b/>
    </w:rPr>
  </w:style>
  <w:style w:type="paragraph" w:customStyle="1" w:styleId="TableText">
    <w:name w:val="Table Text"/>
    <w:basedOn w:val="Normal"/>
    <w:uiPriority w:val="6"/>
    <w:semiHidden/>
    <w:rsid w:val="009762A0"/>
    <w:pPr>
      <w:tabs>
        <w:tab w:val="right" w:pos="9072"/>
      </w:tabs>
      <w:spacing w:after="180" w:line="260" w:lineRule="atLeast"/>
    </w:pPr>
  </w:style>
  <w:style w:type="paragraph" w:customStyle="1" w:styleId="TableHeading">
    <w:name w:val="Table Heading"/>
    <w:basedOn w:val="Normal"/>
    <w:next w:val="Normal"/>
    <w:uiPriority w:val="8"/>
    <w:semiHidden/>
    <w:rsid w:val="009762A0"/>
    <w:pPr>
      <w:spacing w:before="120" w:after="120" w:line="240" w:lineRule="atLeast"/>
    </w:pPr>
    <w:rPr>
      <w:rFonts w:ascii="Arial" w:hAnsi="Arial"/>
      <w:caps/>
      <w:sz w:val="16"/>
      <w:szCs w:val="22"/>
    </w:rPr>
  </w:style>
  <w:style w:type="paragraph" w:styleId="ListNumber2">
    <w:name w:val="List Number 2"/>
    <w:basedOn w:val="Normal"/>
    <w:uiPriority w:val="7"/>
    <w:qFormat/>
    <w:rsid w:val="009762A0"/>
    <w:pPr>
      <w:numPr>
        <w:ilvl w:val="1"/>
        <w:numId w:val="4"/>
      </w:numPr>
      <w:spacing w:after="180" w:line="260" w:lineRule="atLeast"/>
    </w:pPr>
  </w:style>
  <w:style w:type="paragraph" w:styleId="ListNumber3">
    <w:name w:val="List Number 3"/>
    <w:basedOn w:val="Normal"/>
    <w:uiPriority w:val="7"/>
    <w:qFormat/>
    <w:rsid w:val="009762A0"/>
    <w:pPr>
      <w:numPr>
        <w:ilvl w:val="2"/>
        <w:numId w:val="4"/>
      </w:numPr>
      <w:spacing w:after="180" w:line="260" w:lineRule="atLeast"/>
    </w:pPr>
  </w:style>
  <w:style w:type="paragraph" w:styleId="ListNumber4">
    <w:name w:val="List Number 4"/>
    <w:basedOn w:val="Normal"/>
    <w:uiPriority w:val="7"/>
    <w:qFormat/>
    <w:rsid w:val="009762A0"/>
    <w:pPr>
      <w:numPr>
        <w:ilvl w:val="3"/>
        <w:numId w:val="4"/>
      </w:numPr>
      <w:spacing w:after="180" w:line="260" w:lineRule="atLeast"/>
    </w:pPr>
  </w:style>
  <w:style w:type="paragraph" w:styleId="BodyText">
    <w:name w:val="Body Text"/>
    <w:basedOn w:val="Normal"/>
    <w:qFormat/>
    <w:rsid w:val="009762A0"/>
    <w:pPr>
      <w:spacing w:after="180" w:line="260" w:lineRule="atLeast"/>
    </w:pPr>
  </w:style>
  <w:style w:type="paragraph" w:customStyle="1" w:styleId="NormalSingle">
    <w:name w:val="Normal Single"/>
    <w:basedOn w:val="Normal"/>
    <w:uiPriority w:val="6"/>
    <w:semiHidden/>
    <w:rsid w:val="009762A0"/>
    <w:pPr>
      <w:spacing w:line="0" w:lineRule="atLeast"/>
    </w:pPr>
  </w:style>
  <w:style w:type="character" w:styleId="Emphasis">
    <w:name w:val="Emphasis"/>
    <w:semiHidden/>
    <w:rsid w:val="009762A0"/>
    <w:rPr>
      <w:i/>
      <w:iCs/>
    </w:rPr>
  </w:style>
  <w:style w:type="character" w:customStyle="1" w:styleId="BMKMemberFirmNameChar">
    <w:name w:val="BMK Member Firm Name Char"/>
    <w:link w:val="BMKMemberFirmName"/>
    <w:semiHidden/>
    <w:rsid w:val="009762A0"/>
    <w:rPr>
      <w:rFonts w:ascii="Arial" w:hAnsi="Arial"/>
      <w:b/>
      <w:bCs/>
      <w:noProof/>
      <w:sz w:val="16"/>
    </w:rPr>
  </w:style>
  <w:style w:type="paragraph" w:customStyle="1" w:styleId="BMKDocumentNameHK">
    <w:name w:val="BMK Document Name HK"/>
    <w:basedOn w:val="Normal"/>
    <w:next w:val="BMKMemberFirmName"/>
    <w:semiHidden/>
    <w:rsid w:val="009762A0"/>
    <w:pPr>
      <w:spacing w:line="200" w:lineRule="atLeast"/>
    </w:pPr>
    <w:rPr>
      <w:rFonts w:ascii="Arial Black" w:eastAsiaTheme="majorEastAsia" w:hAnsi="Arial Black" w:cstheme="majorHAnsi"/>
      <w:noProof/>
      <w:sz w:val="18"/>
      <w:szCs w:val="32"/>
    </w:rPr>
  </w:style>
  <w:style w:type="paragraph" w:styleId="NormalWeb">
    <w:name w:val="Normal (Web)"/>
    <w:basedOn w:val="Normal"/>
    <w:semiHidden/>
    <w:rsid w:val="009762A0"/>
    <w:rPr>
      <w:sz w:val="24"/>
      <w:szCs w:val="24"/>
    </w:rPr>
  </w:style>
  <w:style w:type="character" w:customStyle="1" w:styleId="FooterChar">
    <w:name w:val="Footer Char"/>
    <w:link w:val="Footer"/>
    <w:rsid w:val="009762A0"/>
    <w:rPr>
      <w:rFonts w:asciiTheme="majorHAnsi" w:eastAsiaTheme="majorEastAsia" w:hAnsiTheme="majorHAnsi" w:cstheme="majorHAnsi"/>
      <w:noProof/>
      <w:sz w:val="16"/>
    </w:rPr>
  </w:style>
  <w:style w:type="paragraph" w:customStyle="1" w:styleId="BMKDocumentName">
    <w:name w:val="BMK Document Name"/>
    <w:basedOn w:val="Normal"/>
    <w:next w:val="Normal"/>
    <w:semiHidden/>
    <w:rsid w:val="009762A0"/>
    <w:pPr>
      <w:tabs>
        <w:tab w:val="left" w:pos="2761"/>
        <w:tab w:val="left" w:pos="3470"/>
        <w:tab w:val="left" w:pos="4179"/>
        <w:tab w:val="left" w:pos="4888"/>
        <w:tab w:val="right" w:pos="9849"/>
      </w:tabs>
      <w:spacing w:line="200" w:lineRule="atLeast"/>
    </w:pPr>
    <w:rPr>
      <w:rFonts w:ascii="Arial Black" w:hAnsi="Arial Black"/>
      <w:bCs/>
      <w:noProof/>
      <w:sz w:val="18"/>
    </w:rPr>
  </w:style>
  <w:style w:type="paragraph" w:customStyle="1" w:styleId="BMKHeaderLogoSHI">
    <w:name w:val="BMKHeaderLogoSHI"/>
    <w:semiHidden/>
    <w:rsid w:val="009762A0"/>
    <w:pPr>
      <w:tabs>
        <w:tab w:val="left" w:pos="709"/>
        <w:tab w:val="left" w:pos="1418"/>
        <w:tab w:val="left" w:pos="2126"/>
        <w:tab w:val="left" w:pos="2835"/>
        <w:tab w:val="right" w:pos="7876"/>
      </w:tabs>
      <w:spacing w:after="140" w:line="260" w:lineRule="atLeast"/>
    </w:pPr>
    <w:rPr>
      <w:rFonts w:eastAsiaTheme="minorEastAsia" w:cstheme="minorHAnsi"/>
      <w:szCs w:val="24"/>
    </w:rPr>
  </w:style>
  <w:style w:type="paragraph" w:customStyle="1" w:styleId="BMKPrivacyTitle">
    <w:name w:val="BMK Privacy Title"/>
    <w:basedOn w:val="Normal"/>
    <w:semiHidden/>
    <w:rsid w:val="009762A0"/>
    <w:pPr>
      <w:spacing w:before="260" w:after="140" w:line="240" w:lineRule="atLeast"/>
    </w:pPr>
    <w:rPr>
      <w:rFonts w:ascii="Arial Black" w:hAnsi="Arial Black"/>
      <w:sz w:val="18"/>
    </w:rPr>
  </w:style>
  <w:style w:type="character" w:customStyle="1" w:styleId="BMKPrivacyTextChar">
    <w:name w:val="BMK Privacy Text Char"/>
    <w:link w:val="BMKPrivacyText"/>
    <w:semiHidden/>
    <w:rsid w:val="009762A0"/>
    <w:rPr>
      <w:rFonts w:asciiTheme="majorHAnsi" w:eastAsiaTheme="majorEastAsia" w:hAnsiTheme="majorHAnsi" w:cstheme="majorHAnsi"/>
      <w:noProof/>
      <w:sz w:val="16"/>
    </w:rPr>
  </w:style>
  <w:style w:type="paragraph" w:styleId="BodyTextFirstIndent">
    <w:name w:val="Body Text First Indent"/>
    <w:basedOn w:val="BodyText"/>
    <w:uiPriority w:val="6"/>
    <w:semiHidden/>
    <w:rsid w:val="009762A0"/>
    <w:pPr>
      <w:spacing w:after="120" w:line="240" w:lineRule="auto"/>
      <w:ind w:firstLine="210"/>
    </w:pPr>
  </w:style>
  <w:style w:type="paragraph" w:customStyle="1" w:styleId="FooterIndent">
    <w:name w:val="Footer Indent"/>
    <w:basedOn w:val="Footer"/>
    <w:semiHidden/>
    <w:rsid w:val="009762A0"/>
    <w:pPr>
      <w:ind w:left="1208"/>
    </w:pPr>
  </w:style>
  <w:style w:type="paragraph" w:customStyle="1" w:styleId="BMKCitiesSpace">
    <w:name w:val="BMK Cities Space"/>
    <w:basedOn w:val="BMKCities"/>
    <w:semiHidden/>
    <w:rsid w:val="009762A0"/>
  </w:style>
  <w:style w:type="character" w:styleId="Hyperlink">
    <w:name w:val="Hyperlink"/>
    <w:uiPriority w:val="6"/>
    <w:semiHidden/>
    <w:rsid w:val="009762A0"/>
    <w:rPr>
      <w:color w:val="0000FF"/>
      <w:u w:val="single"/>
    </w:rPr>
  </w:style>
  <w:style w:type="paragraph" w:customStyle="1" w:styleId="BMKSalutation">
    <w:name w:val="BMK Salutation"/>
    <w:basedOn w:val="Normal"/>
    <w:semiHidden/>
    <w:rsid w:val="009762A0"/>
    <w:pPr>
      <w:spacing w:line="260" w:lineRule="atLeast"/>
    </w:pPr>
  </w:style>
  <w:style w:type="paragraph" w:customStyle="1" w:styleId="BMKDate">
    <w:name w:val="BMKDate"/>
    <w:basedOn w:val="Normal"/>
    <w:semiHidden/>
    <w:rsid w:val="009762A0"/>
    <w:pPr>
      <w:spacing w:line="260" w:lineRule="atLeast"/>
    </w:pPr>
  </w:style>
  <w:style w:type="paragraph" w:customStyle="1" w:styleId="BMKAddress1">
    <w:name w:val="BMK Address1"/>
    <w:basedOn w:val="Normal"/>
    <w:semiHidden/>
    <w:rsid w:val="009762A0"/>
    <w:pPr>
      <w:spacing w:line="260" w:lineRule="atLeast"/>
    </w:pPr>
  </w:style>
  <w:style w:type="paragraph" w:customStyle="1" w:styleId="BMKAttention">
    <w:name w:val="BMK Attention"/>
    <w:basedOn w:val="Normal"/>
    <w:semiHidden/>
    <w:rsid w:val="009762A0"/>
    <w:pPr>
      <w:spacing w:line="260" w:lineRule="atLeast"/>
    </w:pPr>
  </w:style>
  <w:style w:type="paragraph" w:customStyle="1" w:styleId="BMKSubtitle">
    <w:name w:val="BMK Subtitle"/>
    <w:basedOn w:val="Normal"/>
    <w:next w:val="BodyText"/>
    <w:semiHidden/>
    <w:rsid w:val="009762A0"/>
    <w:pPr>
      <w:spacing w:after="180" w:line="260" w:lineRule="atLeast"/>
    </w:pPr>
    <w:rPr>
      <w:rFonts w:asciiTheme="majorHAnsi" w:eastAsiaTheme="majorEastAsia" w:hAnsiTheme="majorHAnsi" w:cstheme="majorHAnsi"/>
      <w:sz w:val="32"/>
    </w:rPr>
  </w:style>
  <w:style w:type="paragraph" w:customStyle="1" w:styleId="BMKTitle">
    <w:name w:val="BMK Title"/>
    <w:basedOn w:val="Normal"/>
    <w:next w:val="BodyText"/>
    <w:semiHidden/>
    <w:rsid w:val="009762A0"/>
    <w:pPr>
      <w:spacing w:after="180" w:line="260" w:lineRule="atLeast"/>
    </w:pPr>
    <w:rPr>
      <w:rFonts w:asciiTheme="majorHAnsi" w:eastAsiaTheme="majorEastAsia" w:hAnsiTheme="majorHAnsi" w:cstheme="majorHAnsi"/>
      <w:sz w:val="48"/>
    </w:rPr>
  </w:style>
  <w:style w:type="character" w:styleId="BookTitle">
    <w:name w:val="Book Title"/>
    <w:basedOn w:val="DefaultParagraphFont"/>
    <w:uiPriority w:val="33"/>
    <w:semiHidden/>
    <w:rsid w:val="009762A0"/>
    <w:rPr>
      <w:b/>
      <w:bCs/>
      <w:smallCaps/>
      <w:spacing w:val="5"/>
    </w:rPr>
  </w:style>
  <w:style w:type="character" w:styleId="Strong">
    <w:name w:val="Strong"/>
    <w:basedOn w:val="DefaultParagraphFont"/>
    <w:semiHidden/>
    <w:rsid w:val="009762A0"/>
    <w:rPr>
      <w:b/>
      <w:bCs/>
    </w:rPr>
  </w:style>
  <w:style w:type="character" w:styleId="SubtleEmphasis">
    <w:name w:val="Subtle Emphasis"/>
    <w:basedOn w:val="DefaultParagraphFont"/>
    <w:uiPriority w:val="19"/>
    <w:semiHidden/>
    <w:rsid w:val="009762A0"/>
    <w:rPr>
      <w:i/>
      <w:iCs/>
      <w:color w:val="808080" w:themeColor="text1" w:themeTint="7F"/>
    </w:rPr>
  </w:style>
  <w:style w:type="character" w:styleId="SubtleReference">
    <w:name w:val="Subtle Reference"/>
    <w:basedOn w:val="DefaultParagraphFont"/>
    <w:uiPriority w:val="31"/>
    <w:semiHidden/>
    <w:rsid w:val="009762A0"/>
    <w:rPr>
      <w:smallCaps/>
      <w:color w:val="AE132A" w:themeColor="accent2"/>
      <w:u w:val="single"/>
    </w:rPr>
  </w:style>
  <w:style w:type="paragraph" w:styleId="NoSpacing">
    <w:name w:val="No Spacing"/>
    <w:uiPriority w:val="6"/>
    <w:semiHidden/>
    <w:rsid w:val="009762A0"/>
    <w:pPr>
      <w:tabs>
        <w:tab w:val="left" w:pos="709"/>
        <w:tab w:val="left" w:pos="1418"/>
        <w:tab w:val="left" w:pos="2126"/>
        <w:tab w:val="left" w:pos="2835"/>
        <w:tab w:val="right" w:pos="7876"/>
      </w:tabs>
    </w:pPr>
    <w:rPr>
      <w:rFonts w:eastAsiaTheme="minorEastAsia" w:cstheme="minorHAnsi"/>
      <w:szCs w:val="24"/>
    </w:rPr>
  </w:style>
  <w:style w:type="character" w:styleId="IntenseEmphasis">
    <w:name w:val="Intense Emphasis"/>
    <w:basedOn w:val="DefaultParagraphFont"/>
    <w:uiPriority w:val="21"/>
    <w:semiHidden/>
    <w:rsid w:val="009762A0"/>
    <w:rPr>
      <w:b/>
      <w:bCs/>
      <w:i/>
      <w:iCs/>
      <w:color w:val="EE3135" w:themeColor="accent1"/>
    </w:rPr>
  </w:style>
  <w:style w:type="paragraph" w:styleId="IntenseQuote">
    <w:name w:val="Intense Quote"/>
    <w:basedOn w:val="Normal"/>
    <w:next w:val="Normal"/>
    <w:link w:val="IntenseQuoteChar"/>
    <w:uiPriority w:val="30"/>
    <w:semiHidden/>
    <w:rsid w:val="009762A0"/>
    <w:pPr>
      <w:pBdr>
        <w:bottom w:val="single" w:sz="4" w:space="4" w:color="EE3135" w:themeColor="accent1"/>
      </w:pBdr>
      <w:spacing w:before="200" w:after="280"/>
      <w:ind w:left="936" w:right="936"/>
    </w:pPr>
    <w:rPr>
      <w:b/>
      <w:bCs/>
      <w:i/>
      <w:iCs/>
      <w:color w:val="EE3135" w:themeColor="accent1"/>
    </w:rPr>
  </w:style>
  <w:style w:type="character" w:customStyle="1" w:styleId="IntenseQuoteChar">
    <w:name w:val="Intense Quote Char"/>
    <w:basedOn w:val="DefaultParagraphFont"/>
    <w:link w:val="IntenseQuote"/>
    <w:uiPriority w:val="30"/>
    <w:semiHidden/>
    <w:rsid w:val="009762A0"/>
    <w:rPr>
      <w:rFonts w:eastAsiaTheme="minorEastAsia"/>
      <w:b/>
      <w:bCs/>
      <w:i/>
      <w:iCs/>
      <w:color w:val="EE3135" w:themeColor="accent1"/>
      <w:szCs w:val="28"/>
    </w:rPr>
  </w:style>
  <w:style w:type="paragraph" w:styleId="Quote">
    <w:name w:val="Quote"/>
    <w:basedOn w:val="Normal"/>
    <w:next w:val="Normal"/>
    <w:link w:val="QuoteChar"/>
    <w:uiPriority w:val="29"/>
    <w:semiHidden/>
    <w:rsid w:val="009762A0"/>
    <w:rPr>
      <w:i/>
      <w:iCs/>
      <w:color w:val="000000" w:themeColor="text1"/>
    </w:rPr>
  </w:style>
  <w:style w:type="character" w:customStyle="1" w:styleId="QuoteChar">
    <w:name w:val="Quote Char"/>
    <w:basedOn w:val="DefaultParagraphFont"/>
    <w:link w:val="Quote"/>
    <w:uiPriority w:val="29"/>
    <w:semiHidden/>
    <w:rsid w:val="009762A0"/>
    <w:rPr>
      <w:rFonts w:eastAsiaTheme="minorEastAsia"/>
      <w:i/>
      <w:iCs/>
      <w:color w:val="000000" w:themeColor="text1"/>
      <w:szCs w:val="28"/>
    </w:rPr>
  </w:style>
  <w:style w:type="character" w:styleId="IntenseReference">
    <w:name w:val="Intense Reference"/>
    <w:basedOn w:val="DefaultParagraphFont"/>
    <w:uiPriority w:val="32"/>
    <w:semiHidden/>
    <w:rsid w:val="009762A0"/>
    <w:rPr>
      <w:b/>
      <w:bCs/>
      <w:smallCaps/>
      <w:color w:val="AE132A" w:themeColor="accent2"/>
      <w:spacing w:val="5"/>
      <w:u w:val="single"/>
    </w:rPr>
  </w:style>
  <w:style w:type="paragraph" w:styleId="ListParagraph">
    <w:name w:val="List Paragraph"/>
    <w:basedOn w:val="Normal"/>
    <w:uiPriority w:val="34"/>
    <w:semiHidden/>
    <w:rsid w:val="009762A0"/>
    <w:pPr>
      <w:ind w:left="720"/>
      <w:contextualSpacing/>
    </w:pPr>
  </w:style>
  <w:style w:type="paragraph" w:customStyle="1" w:styleId="SubHeading">
    <w:name w:val="Sub Heading"/>
    <w:basedOn w:val="Normal"/>
    <w:next w:val="BodyText"/>
    <w:rsid w:val="009762A0"/>
    <w:pPr>
      <w:keepNext/>
      <w:spacing w:after="180" w:line="260" w:lineRule="atLeast"/>
    </w:pPr>
    <w:rPr>
      <w:rFonts w:asciiTheme="majorHAnsi" w:eastAsiaTheme="majorEastAsia" w:hAnsiTheme="majorHAnsi" w:cstheme="majorHAnsi"/>
      <w:b/>
      <w:bCs/>
    </w:rPr>
  </w:style>
  <w:style w:type="paragraph" w:customStyle="1" w:styleId="Da">
    <w:name w:val="D(a)"/>
    <w:basedOn w:val="Normal"/>
    <w:uiPriority w:val="4"/>
    <w:rsid w:val="009762A0"/>
    <w:pPr>
      <w:numPr>
        <w:ilvl w:val="1"/>
        <w:numId w:val="6"/>
      </w:numPr>
      <w:spacing w:after="180" w:line="260" w:lineRule="atLeast"/>
    </w:pPr>
  </w:style>
  <w:style w:type="paragraph" w:customStyle="1" w:styleId="DA0">
    <w:name w:val="D(A)"/>
    <w:basedOn w:val="Normal"/>
    <w:uiPriority w:val="6"/>
    <w:rsid w:val="009762A0"/>
    <w:pPr>
      <w:numPr>
        <w:ilvl w:val="3"/>
        <w:numId w:val="6"/>
      </w:numPr>
      <w:spacing w:after="180" w:line="260" w:lineRule="atLeast"/>
    </w:pPr>
  </w:style>
  <w:style w:type="paragraph" w:customStyle="1" w:styleId="Di">
    <w:name w:val="D(i)"/>
    <w:basedOn w:val="Normal"/>
    <w:uiPriority w:val="5"/>
    <w:rsid w:val="009762A0"/>
    <w:pPr>
      <w:numPr>
        <w:ilvl w:val="2"/>
        <w:numId w:val="6"/>
      </w:numPr>
      <w:spacing w:after="180" w:line="260" w:lineRule="atLeast"/>
    </w:pPr>
  </w:style>
  <w:style w:type="paragraph" w:customStyle="1" w:styleId="DefinitionParagraph">
    <w:name w:val="Definition Paragraph"/>
    <w:basedOn w:val="Normal"/>
    <w:uiPriority w:val="2"/>
    <w:rsid w:val="009762A0"/>
    <w:pPr>
      <w:numPr>
        <w:numId w:val="6"/>
      </w:numPr>
      <w:spacing w:after="180" w:line="260" w:lineRule="atLeast"/>
    </w:pPr>
  </w:style>
  <w:style w:type="paragraph" w:customStyle="1" w:styleId="SchH1">
    <w:name w:val="SchH1"/>
    <w:basedOn w:val="Normal"/>
    <w:next w:val="BodyText"/>
    <w:uiPriority w:val="6"/>
    <w:rsid w:val="009762A0"/>
    <w:pPr>
      <w:keepNext/>
      <w:numPr>
        <w:numId w:val="33"/>
      </w:numPr>
      <w:spacing w:after="180" w:line="260" w:lineRule="atLeast"/>
    </w:pPr>
    <w:rPr>
      <w:rFonts w:asciiTheme="majorHAnsi" w:eastAsiaTheme="majorEastAsia" w:hAnsiTheme="majorHAnsi" w:cstheme="majorHAnsi"/>
      <w:b/>
      <w:bCs/>
    </w:rPr>
  </w:style>
  <w:style w:type="paragraph" w:customStyle="1" w:styleId="SchH2">
    <w:name w:val="SchH2"/>
    <w:basedOn w:val="Normal"/>
    <w:next w:val="BodyText"/>
    <w:uiPriority w:val="6"/>
    <w:rsid w:val="009762A0"/>
    <w:pPr>
      <w:keepNext/>
      <w:numPr>
        <w:ilvl w:val="1"/>
        <w:numId w:val="33"/>
      </w:numPr>
      <w:spacing w:after="180" w:line="260" w:lineRule="atLeast"/>
    </w:pPr>
    <w:rPr>
      <w:rFonts w:asciiTheme="majorHAnsi" w:eastAsiaTheme="majorEastAsia" w:hAnsiTheme="majorHAnsi" w:cstheme="majorHAnsi"/>
      <w:b/>
      <w:bCs/>
    </w:rPr>
  </w:style>
  <w:style w:type="paragraph" w:customStyle="1" w:styleId="SchH3">
    <w:name w:val="SchH3"/>
    <w:basedOn w:val="Normal"/>
    <w:uiPriority w:val="6"/>
    <w:rsid w:val="009762A0"/>
    <w:pPr>
      <w:numPr>
        <w:ilvl w:val="2"/>
        <w:numId w:val="33"/>
      </w:numPr>
      <w:spacing w:after="180" w:line="260" w:lineRule="atLeast"/>
    </w:pPr>
  </w:style>
  <w:style w:type="paragraph" w:customStyle="1" w:styleId="SchH4">
    <w:name w:val="SchH4"/>
    <w:basedOn w:val="Normal"/>
    <w:uiPriority w:val="6"/>
    <w:rsid w:val="009762A0"/>
    <w:pPr>
      <w:numPr>
        <w:ilvl w:val="3"/>
        <w:numId w:val="33"/>
      </w:numPr>
      <w:spacing w:after="180" w:line="260" w:lineRule="atLeast"/>
    </w:pPr>
  </w:style>
  <w:style w:type="paragraph" w:customStyle="1" w:styleId="SchH5">
    <w:name w:val="SchH5"/>
    <w:basedOn w:val="Normal"/>
    <w:uiPriority w:val="6"/>
    <w:rsid w:val="009762A0"/>
    <w:pPr>
      <w:numPr>
        <w:ilvl w:val="4"/>
        <w:numId w:val="33"/>
      </w:numPr>
      <w:spacing w:after="180" w:line="260" w:lineRule="atLeast"/>
    </w:pPr>
  </w:style>
  <w:style w:type="paragraph" w:customStyle="1" w:styleId="SchH6">
    <w:name w:val="SchH6"/>
    <w:basedOn w:val="Normal"/>
    <w:uiPriority w:val="6"/>
    <w:rsid w:val="009762A0"/>
    <w:pPr>
      <w:numPr>
        <w:ilvl w:val="5"/>
        <w:numId w:val="33"/>
      </w:numPr>
      <w:spacing w:after="180" w:line="260" w:lineRule="atLeast"/>
    </w:pPr>
  </w:style>
  <w:style w:type="paragraph" w:customStyle="1" w:styleId="SchSH">
    <w:name w:val="SchSH"/>
    <w:basedOn w:val="Normal"/>
    <w:next w:val="BodyText"/>
    <w:uiPriority w:val="6"/>
    <w:rsid w:val="009762A0"/>
    <w:pPr>
      <w:keepNext/>
      <w:spacing w:after="180" w:line="260" w:lineRule="atLeast"/>
    </w:pPr>
    <w:rPr>
      <w:rFonts w:asciiTheme="majorHAnsi" w:eastAsiaTheme="majorEastAsia" w:hAnsiTheme="majorHAnsi" w:cstheme="majorHAnsi"/>
      <w:b/>
    </w:rPr>
  </w:style>
  <w:style w:type="paragraph" w:styleId="TOC1">
    <w:name w:val="toc 1"/>
    <w:basedOn w:val="Normal"/>
    <w:next w:val="Normal"/>
    <w:autoRedefine/>
    <w:uiPriority w:val="39"/>
    <w:semiHidden/>
    <w:rsid w:val="009762A0"/>
    <w:pPr>
      <w:spacing w:before="180" w:line="260" w:lineRule="atLeast"/>
      <w:ind w:left="562" w:right="288" w:hanging="562"/>
    </w:pPr>
    <w:rPr>
      <w:rFonts w:asciiTheme="majorHAnsi" w:eastAsiaTheme="majorEastAsia" w:hAnsiTheme="majorHAnsi" w:cstheme="majorHAnsi"/>
      <w:b/>
    </w:rPr>
  </w:style>
  <w:style w:type="paragraph" w:styleId="TOC2">
    <w:name w:val="toc 2"/>
    <w:basedOn w:val="Normal"/>
    <w:next w:val="Normal"/>
    <w:autoRedefine/>
    <w:uiPriority w:val="39"/>
    <w:semiHidden/>
    <w:rsid w:val="009762A0"/>
    <w:pPr>
      <w:spacing w:before="180" w:line="260" w:lineRule="atLeast"/>
      <w:ind w:left="1124" w:right="288" w:hanging="562"/>
    </w:pPr>
    <w:rPr>
      <w:rFonts w:asciiTheme="majorHAnsi" w:eastAsiaTheme="majorEastAsia" w:hAnsiTheme="majorHAnsi" w:cstheme="majorHAnsi"/>
      <w:b/>
    </w:rPr>
  </w:style>
  <w:style w:type="paragraph" w:styleId="TOC3">
    <w:name w:val="toc 3"/>
    <w:basedOn w:val="Normal"/>
    <w:next w:val="Normal"/>
    <w:autoRedefine/>
    <w:uiPriority w:val="39"/>
    <w:semiHidden/>
    <w:rsid w:val="009762A0"/>
    <w:pPr>
      <w:spacing w:before="180" w:line="260" w:lineRule="atLeast"/>
      <w:ind w:left="1700" w:right="288" w:hanging="562"/>
    </w:pPr>
    <w:rPr>
      <w:rFonts w:asciiTheme="majorHAnsi" w:eastAsiaTheme="majorEastAsia" w:hAnsiTheme="majorHAnsi" w:cstheme="majorHAnsi"/>
      <w:b/>
    </w:rPr>
  </w:style>
  <w:style w:type="paragraph" w:styleId="TOC4">
    <w:name w:val="toc 4"/>
    <w:basedOn w:val="Normal"/>
    <w:next w:val="Normal"/>
    <w:autoRedefine/>
    <w:semiHidden/>
    <w:rsid w:val="009762A0"/>
    <w:pPr>
      <w:spacing w:line="260" w:lineRule="atLeast"/>
      <w:ind w:left="1418"/>
    </w:pPr>
    <w:rPr>
      <w:rFonts w:asciiTheme="majorHAnsi" w:eastAsiaTheme="majorEastAsia" w:hAnsiTheme="majorHAnsi" w:cstheme="majorHAnsi"/>
      <w:szCs w:val="20"/>
    </w:rPr>
  </w:style>
  <w:style w:type="numbering" w:customStyle="1" w:styleId="BMHeadings">
    <w:name w:val="B&amp;M Headings"/>
    <w:uiPriority w:val="99"/>
    <w:rsid w:val="009762A0"/>
    <w:pPr>
      <w:numPr>
        <w:numId w:val="3"/>
      </w:numPr>
    </w:pPr>
  </w:style>
  <w:style w:type="numbering" w:customStyle="1" w:styleId="BMListNumbers">
    <w:name w:val="B&amp;M List Numbers"/>
    <w:uiPriority w:val="99"/>
    <w:rsid w:val="009762A0"/>
    <w:pPr>
      <w:numPr>
        <w:numId w:val="4"/>
      </w:numPr>
    </w:pPr>
  </w:style>
  <w:style w:type="numbering" w:customStyle="1" w:styleId="BMSchedules">
    <w:name w:val="B&amp;M Schedules"/>
    <w:uiPriority w:val="99"/>
    <w:rsid w:val="009762A0"/>
    <w:pPr>
      <w:numPr>
        <w:numId w:val="5"/>
      </w:numPr>
    </w:pPr>
  </w:style>
  <w:style w:type="numbering" w:customStyle="1" w:styleId="BMDefinitions">
    <w:name w:val="B&amp;M Definitions"/>
    <w:uiPriority w:val="99"/>
    <w:rsid w:val="009762A0"/>
    <w:pPr>
      <w:numPr>
        <w:numId w:val="6"/>
      </w:numPr>
    </w:pPr>
  </w:style>
  <w:style w:type="paragraph" w:customStyle="1" w:styleId="TOCHeading">
    <w:name w:val="TOCHeading"/>
    <w:basedOn w:val="Normal"/>
    <w:next w:val="BodyText"/>
    <w:uiPriority w:val="11"/>
    <w:semiHidden/>
    <w:rsid w:val="009762A0"/>
    <w:pPr>
      <w:pBdr>
        <w:bottom w:val="single" w:sz="4" w:space="9" w:color="auto"/>
      </w:pBdr>
      <w:spacing w:after="180" w:line="260" w:lineRule="exact"/>
    </w:pPr>
    <w:rPr>
      <w:rFonts w:asciiTheme="majorHAnsi" w:eastAsiaTheme="majorEastAsia" w:hAnsiTheme="majorHAnsi" w:cstheme="majorHAnsi"/>
      <w:b/>
      <w:bCs/>
      <w:sz w:val="24"/>
    </w:rPr>
  </w:style>
  <w:style w:type="paragraph" w:styleId="TOC5">
    <w:name w:val="toc 5"/>
    <w:basedOn w:val="Normal"/>
    <w:next w:val="Normal"/>
    <w:autoRedefine/>
    <w:semiHidden/>
    <w:rsid w:val="009762A0"/>
    <w:pPr>
      <w:spacing w:after="100"/>
      <w:ind w:left="880"/>
    </w:pPr>
  </w:style>
  <w:style w:type="paragraph" w:styleId="TOC6">
    <w:name w:val="toc 6"/>
    <w:basedOn w:val="Normal"/>
    <w:next w:val="Normal"/>
    <w:autoRedefine/>
    <w:semiHidden/>
    <w:rsid w:val="009762A0"/>
    <w:pPr>
      <w:spacing w:after="100"/>
      <w:ind w:left="1100"/>
    </w:pPr>
  </w:style>
  <w:style w:type="paragraph" w:styleId="TOC7">
    <w:name w:val="toc 7"/>
    <w:basedOn w:val="Normal"/>
    <w:next w:val="Normal"/>
    <w:autoRedefine/>
    <w:semiHidden/>
    <w:rsid w:val="009762A0"/>
    <w:pPr>
      <w:spacing w:after="100"/>
      <w:ind w:left="1320"/>
    </w:pPr>
  </w:style>
  <w:style w:type="paragraph" w:styleId="TOC8">
    <w:name w:val="toc 8"/>
    <w:basedOn w:val="Normal"/>
    <w:next w:val="Normal"/>
    <w:autoRedefine/>
    <w:semiHidden/>
    <w:rsid w:val="009762A0"/>
    <w:pPr>
      <w:spacing w:after="100"/>
      <w:ind w:left="1540"/>
    </w:pPr>
  </w:style>
  <w:style w:type="paragraph" w:styleId="TOC9">
    <w:name w:val="toc 9"/>
    <w:basedOn w:val="Normal"/>
    <w:next w:val="Normal"/>
    <w:autoRedefine/>
    <w:semiHidden/>
    <w:rsid w:val="009762A0"/>
    <w:pPr>
      <w:spacing w:after="100"/>
      <w:ind w:left="1760"/>
    </w:pPr>
  </w:style>
  <w:style w:type="character" w:customStyle="1" w:styleId="Heading7Char">
    <w:name w:val="Heading 7 Char"/>
    <w:basedOn w:val="DefaultParagraphFont"/>
    <w:link w:val="Heading7"/>
    <w:rsid w:val="009762A0"/>
    <w:rPr>
      <w:rFonts w:eastAsiaTheme="minorEastAsia"/>
      <w:szCs w:val="28"/>
    </w:rPr>
  </w:style>
  <w:style w:type="paragraph" w:customStyle="1" w:styleId="Recital">
    <w:name w:val="Recital"/>
    <w:basedOn w:val="Normal"/>
    <w:uiPriority w:val="7"/>
    <w:rsid w:val="009762A0"/>
    <w:pPr>
      <w:numPr>
        <w:numId w:val="30"/>
      </w:numPr>
      <w:spacing w:after="180" w:line="260" w:lineRule="atLeast"/>
    </w:pPr>
    <w:rPr>
      <w:rFonts w:cs="Times New Roman"/>
    </w:rPr>
  </w:style>
  <w:style w:type="character" w:customStyle="1" w:styleId="DMReference">
    <w:name w:val="DMReference"/>
    <w:basedOn w:val="FooterChar"/>
    <w:semiHidden/>
    <w:rsid w:val="009762A0"/>
    <w:rPr>
      <w:rFonts w:asciiTheme="majorHAnsi" w:eastAsiaTheme="majorEastAsia" w:hAnsiTheme="majorHAnsi" w:cstheme="majorHAnsi"/>
      <w:noProof/>
      <w:sz w:val="16"/>
      <w:szCs w:val="16"/>
    </w:rPr>
  </w:style>
  <w:style w:type="paragraph" w:styleId="BodyTextIndent">
    <w:name w:val="Body Text Indent"/>
    <w:basedOn w:val="Normal"/>
    <w:link w:val="BodyTextIndentChar"/>
    <w:rsid w:val="009762A0"/>
    <w:pPr>
      <w:spacing w:after="180" w:line="260" w:lineRule="exact"/>
      <w:ind w:left="709"/>
    </w:pPr>
  </w:style>
  <w:style w:type="character" w:customStyle="1" w:styleId="BodyTextIndentChar">
    <w:name w:val="Body Text Indent Char"/>
    <w:basedOn w:val="DefaultParagraphFont"/>
    <w:link w:val="BodyTextIndent"/>
    <w:rsid w:val="009762A0"/>
    <w:rPr>
      <w:rFonts w:eastAsiaTheme="minorEastAsia"/>
      <w:szCs w:val="28"/>
    </w:rPr>
  </w:style>
  <w:style w:type="paragraph" w:customStyle="1" w:styleId="BodyTextIndent4">
    <w:name w:val="Body Text Indent 4"/>
    <w:basedOn w:val="BodyTextIndent"/>
    <w:qFormat/>
    <w:rsid w:val="009762A0"/>
    <w:pPr>
      <w:numPr>
        <w:ilvl w:val="2"/>
      </w:numPr>
      <w:spacing w:line="260" w:lineRule="atLeast"/>
      <w:ind w:left="1418"/>
    </w:pPr>
    <w:rPr>
      <w:rFonts w:cs="Times New Roman"/>
    </w:rPr>
  </w:style>
  <w:style w:type="paragraph" w:customStyle="1" w:styleId="BodyTextIndent5">
    <w:name w:val="Body Text Indent 5"/>
    <w:basedOn w:val="BodyTextIndent4"/>
    <w:qFormat/>
    <w:rsid w:val="009762A0"/>
    <w:pPr>
      <w:numPr>
        <w:ilvl w:val="3"/>
      </w:numPr>
      <w:ind w:left="2126"/>
    </w:pPr>
  </w:style>
  <w:style w:type="paragraph" w:customStyle="1" w:styleId="BodyTextIndent6">
    <w:name w:val="Body Text Indent 6"/>
    <w:basedOn w:val="BodyTextIndent5"/>
    <w:qFormat/>
    <w:rsid w:val="009762A0"/>
    <w:pPr>
      <w:numPr>
        <w:ilvl w:val="4"/>
      </w:numPr>
      <w:ind w:left="2835"/>
    </w:pPr>
  </w:style>
  <w:style w:type="paragraph" w:customStyle="1" w:styleId="TableCopy">
    <w:name w:val="Table Copy"/>
    <w:basedOn w:val="Normal"/>
    <w:uiPriority w:val="8"/>
    <w:semiHidden/>
    <w:rsid w:val="009762A0"/>
    <w:pPr>
      <w:spacing w:before="120" w:after="120" w:line="240" w:lineRule="atLeast"/>
    </w:pPr>
    <w:rPr>
      <w:rFonts w:ascii="Arial" w:hAnsi="Arial"/>
      <w:color w:val="5F5F5F"/>
      <w:sz w:val="20"/>
      <w:szCs w:val="26"/>
    </w:rPr>
  </w:style>
  <w:style w:type="paragraph" w:customStyle="1" w:styleId="TableHeadings">
    <w:name w:val="Table Headings"/>
    <w:basedOn w:val="Normal"/>
    <w:uiPriority w:val="8"/>
    <w:semiHidden/>
    <w:rsid w:val="009762A0"/>
    <w:pPr>
      <w:numPr>
        <w:numId w:val="31"/>
      </w:numPr>
      <w:spacing w:before="120" w:after="60" w:line="240" w:lineRule="atLeast"/>
    </w:pPr>
    <w:rPr>
      <w:rFonts w:ascii="Arial" w:hAnsi="Arial"/>
      <w:b/>
      <w:sz w:val="20"/>
      <w:szCs w:val="26"/>
    </w:rPr>
  </w:style>
  <w:style w:type="paragraph" w:customStyle="1" w:styleId="SchH7">
    <w:name w:val="SchH7"/>
    <w:basedOn w:val="Normal"/>
    <w:uiPriority w:val="6"/>
    <w:rsid w:val="009762A0"/>
    <w:pPr>
      <w:numPr>
        <w:ilvl w:val="6"/>
        <w:numId w:val="33"/>
      </w:numPr>
      <w:spacing w:after="180" w:line="260" w:lineRule="atLeast"/>
    </w:pPr>
  </w:style>
  <w:style w:type="character" w:styleId="PlaceholderText">
    <w:name w:val="Placeholder Text"/>
    <w:basedOn w:val="DefaultParagraphFont"/>
    <w:uiPriority w:val="99"/>
    <w:semiHidden/>
    <w:rsid w:val="009762A0"/>
    <w:rPr>
      <w:color w:val="C2C3C4" w:themeColor="background2"/>
    </w:rPr>
  </w:style>
  <w:style w:type="character" w:styleId="FollowedHyperlink">
    <w:name w:val="FollowedHyperlink"/>
    <w:basedOn w:val="DefaultParagraphFont"/>
    <w:unhideWhenUsed/>
    <w:rsid w:val="009762A0"/>
    <w:rPr>
      <w:color w:val="800080"/>
      <w:u w:val="single"/>
    </w:rPr>
  </w:style>
  <w:style w:type="paragraph" w:styleId="TOCHeading0">
    <w:name w:val="TOC Heading"/>
    <w:basedOn w:val="Heading1"/>
    <w:next w:val="Normal"/>
    <w:uiPriority w:val="39"/>
    <w:semiHidden/>
    <w:unhideWhenUsed/>
    <w:qFormat/>
    <w:rsid w:val="009762A0"/>
    <w:pPr>
      <w:keepLines/>
      <w:numPr>
        <w:numId w:val="0"/>
      </w:numPr>
      <w:spacing w:before="480" w:after="0" w:line="240" w:lineRule="auto"/>
      <w:outlineLvl w:val="9"/>
    </w:pPr>
    <w:rPr>
      <w:rFonts w:cstheme="majorBidi"/>
      <w:color w:val="AE132A" w:themeColor="accent2"/>
      <w:sz w:val="28"/>
    </w:rPr>
  </w:style>
  <w:style w:type="table" w:customStyle="1" w:styleId="TableHorizontalShaded">
    <w:name w:val="Table Horizontal Shaded"/>
    <w:basedOn w:val="TableNormal"/>
    <w:rsid w:val="00C054E1"/>
    <w:pPr>
      <w:spacing w:after="0" w:line="240" w:lineRule="auto"/>
    </w:pPr>
    <w:rPr>
      <w:rFonts w:ascii="Arial" w:eastAsia="Times New Roman" w:hAnsi="Arial" w:cs="Times New Roman"/>
      <w:sz w:val="20"/>
      <w:szCs w:val="20"/>
    </w:rPr>
    <w:tblPr>
      <w:tblInd w:w="113" w:type="dxa"/>
      <w:tblBorders>
        <w:top w:val="single" w:sz="4" w:space="0" w:color="002856" w:themeColor="accent4"/>
        <w:bottom w:val="single" w:sz="4" w:space="0" w:color="002856" w:themeColor="accent4"/>
        <w:insideH w:val="single" w:sz="4" w:space="0" w:color="002856" w:themeColor="accent4"/>
        <w:insideV w:val="single" w:sz="4" w:space="0" w:color="002856" w:themeColor="accent4"/>
      </w:tblBorders>
      <w:tblCellMar>
        <w:bottom w:w="57" w:type="dxa"/>
        <w:right w:w="57" w:type="dxa"/>
      </w:tblCellMar>
    </w:tblPr>
    <w:tcPr>
      <w:shd w:val="clear" w:color="auto" w:fill="auto"/>
    </w:tcPr>
    <w:tblStylePr w:type="firstRow">
      <w:rPr>
        <w:b w:val="0"/>
        <w:color w:val="FFFFFF"/>
      </w:rPr>
      <w:tblPr/>
      <w:tcPr>
        <w:tcBorders>
          <w:insideV w:val="single" w:sz="4" w:space="0" w:color="FFFFFF" w:themeColor="background1"/>
        </w:tcBorders>
        <w:shd w:val="clear" w:color="auto" w:fill="002856" w:themeFill="accent4"/>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AU" w:eastAsia="zh-CN" w:bidi="ar-SA"/>
      </w:rPr>
    </w:rPrDefault>
    <w:pPrDefault>
      <w:pPr>
        <w:spacing w:after="200" w:line="2" w:lineRule="auto"/>
      </w:pPr>
    </w:pPrDefault>
  </w:docDefaults>
  <w:latentStyles w:defLockedState="0" w:defUIPriority="0" w:defSemiHidden="1" w:defUnhideWhenUsed="1" w:defQFormat="0" w:count="267">
    <w:lsdException w:name="Normal" w:semiHidden="0" w:uiPriority="11"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6"/>
    <w:lsdException w:name="caption" w:qFormat="1"/>
    <w:lsdException w:name="footnote reference" w:uiPriority="6"/>
    <w:lsdException w:name="List Number" w:semiHidden="0" w:uiPriority="7" w:unhideWhenUsed="0" w:qFormat="1"/>
    <w:lsdException w:name="List 4" w:unhideWhenUsed="0"/>
    <w:lsdException w:name="List 5" w:unhideWhenUsed="0"/>
    <w:lsdException w:name="List Number 2" w:uiPriority="7" w:qFormat="1"/>
    <w:lsdException w:name="List Number 3" w:uiPriority="7" w:qFormat="1"/>
    <w:lsdException w:name="List Number 4" w:uiPriority="7" w:qFormat="1"/>
    <w:lsdException w:name="Title" w:semiHidden="0" w:unhideWhenUsed="0" w:qFormat="1"/>
    <w:lsdException w:name="Default Paragraph Font" w:uiPriority="1"/>
    <w:lsdException w:name="Body Text" w:qFormat="1"/>
    <w:lsdException w:name="Subtitle" w:unhideWhenUsed="0" w:qFormat="1"/>
    <w:lsdException w:name="Salutation" w:unhideWhenUsed="0"/>
    <w:lsdException w:name="Date" w:unhideWhenUsed="0"/>
    <w:lsdException w:name="Body Text First Indent" w:semiHidden="0" w:uiPriority="6" w:unhideWhenUsed="0"/>
    <w:lsdException w:name="Hyperlink" w:uiPriority="6"/>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6"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1"/>
    <w:rsid w:val="00CE0F21"/>
    <w:pPr>
      <w:spacing w:after="0" w:line="240" w:lineRule="auto"/>
    </w:pPr>
    <w:rPr>
      <w:rFonts w:eastAsiaTheme="minorEastAsia"/>
      <w:szCs w:val="28"/>
    </w:rPr>
  </w:style>
  <w:style w:type="paragraph" w:styleId="Heading1">
    <w:name w:val="heading 1"/>
    <w:basedOn w:val="Normal"/>
    <w:next w:val="BodyText"/>
    <w:qFormat/>
    <w:rsid w:val="009762A0"/>
    <w:pPr>
      <w:keepNext/>
      <w:numPr>
        <w:numId w:val="32"/>
      </w:numPr>
      <w:spacing w:after="180" w:line="260" w:lineRule="atLeast"/>
      <w:outlineLvl w:val="0"/>
    </w:pPr>
    <w:rPr>
      <w:rFonts w:asciiTheme="majorHAnsi" w:eastAsiaTheme="majorEastAsia" w:hAnsiTheme="majorHAnsi" w:cstheme="majorHAnsi"/>
      <w:b/>
      <w:bCs/>
    </w:rPr>
  </w:style>
  <w:style w:type="paragraph" w:styleId="Heading2">
    <w:name w:val="heading 2"/>
    <w:basedOn w:val="Normal"/>
    <w:next w:val="BodyText"/>
    <w:qFormat/>
    <w:rsid w:val="009762A0"/>
    <w:pPr>
      <w:keepNext/>
      <w:numPr>
        <w:ilvl w:val="1"/>
        <w:numId w:val="32"/>
      </w:numPr>
      <w:spacing w:after="180" w:line="260" w:lineRule="atLeast"/>
      <w:outlineLvl w:val="1"/>
    </w:pPr>
    <w:rPr>
      <w:rFonts w:asciiTheme="majorHAnsi" w:eastAsiaTheme="majorEastAsia" w:hAnsiTheme="majorHAnsi" w:cstheme="majorHAnsi"/>
      <w:b/>
      <w:bCs/>
    </w:rPr>
  </w:style>
  <w:style w:type="paragraph" w:styleId="Heading3">
    <w:name w:val="heading 3"/>
    <w:basedOn w:val="Normal"/>
    <w:qFormat/>
    <w:rsid w:val="009762A0"/>
    <w:pPr>
      <w:numPr>
        <w:ilvl w:val="2"/>
        <w:numId w:val="32"/>
      </w:numPr>
      <w:spacing w:after="180" w:line="260" w:lineRule="atLeast"/>
      <w:outlineLvl w:val="2"/>
    </w:pPr>
  </w:style>
  <w:style w:type="paragraph" w:styleId="Heading4">
    <w:name w:val="heading 4"/>
    <w:basedOn w:val="Normal"/>
    <w:qFormat/>
    <w:rsid w:val="009762A0"/>
    <w:pPr>
      <w:numPr>
        <w:ilvl w:val="3"/>
        <w:numId w:val="32"/>
      </w:numPr>
      <w:spacing w:after="180" w:line="260" w:lineRule="atLeast"/>
      <w:outlineLvl w:val="3"/>
    </w:pPr>
  </w:style>
  <w:style w:type="paragraph" w:styleId="Heading5">
    <w:name w:val="heading 5"/>
    <w:basedOn w:val="Normal"/>
    <w:qFormat/>
    <w:rsid w:val="009762A0"/>
    <w:pPr>
      <w:numPr>
        <w:ilvl w:val="4"/>
        <w:numId w:val="32"/>
      </w:numPr>
      <w:spacing w:after="180" w:line="260" w:lineRule="atLeast"/>
      <w:outlineLvl w:val="4"/>
    </w:pPr>
  </w:style>
  <w:style w:type="paragraph" w:styleId="Heading6">
    <w:name w:val="heading 6"/>
    <w:basedOn w:val="Normal"/>
    <w:qFormat/>
    <w:rsid w:val="009762A0"/>
    <w:pPr>
      <w:numPr>
        <w:ilvl w:val="5"/>
        <w:numId w:val="32"/>
      </w:numPr>
      <w:spacing w:after="180" w:line="260" w:lineRule="atLeast"/>
      <w:outlineLvl w:val="5"/>
    </w:pPr>
  </w:style>
  <w:style w:type="paragraph" w:styleId="Heading7">
    <w:name w:val="heading 7"/>
    <w:basedOn w:val="Normal"/>
    <w:link w:val="Heading7Char"/>
    <w:qFormat/>
    <w:rsid w:val="009762A0"/>
    <w:pPr>
      <w:numPr>
        <w:ilvl w:val="6"/>
        <w:numId w:val="32"/>
      </w:numPr>
      <w:spacing w:after="180" w:line="260" w:lineRule="atLeas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MKAddressInfo">
    <w:name w:val="BMK Address Info"/>
    <w:link w:val="BMKAddressInfoChar"/>
    <w:semiHidden/>
    <w:rsid w:val="009762A0"/>
    <w:pPr>
      <w:spacing w:after="0" w:line="240" w:lineRule="auto"/>
    </w:pPr>
    <w:rPr>
      <w:rFonts w:ascii="Arial" w:hAnsi="Arial"/>
      <w:bCs/>
      <w:noProof/>
      <w:sz w:val="16"/>
    </w:rPr>
  </w:style>
  <w:style w:type="paragraph" w:customStyle="1" w:styleId="BMKCities">
    <w:name w:val="BMK Cities"/>
    <w:semiHidden/>
    <w:rsid w:val="009762A0"/>
    <w:pPr>
      <w:spacing w:after="0" w:line="240" w:lineRule="auto"/>
    </w:pPr>
    <w:rPr>
      <w:rFonts w:ascii="Arial" w:hAnsi="Arial"/>
      <w:noProof/>
      <w:spacing w:val="2"/>
      <w:sz w:val="11"/>
      <w:szCs w:val="11"/>
    </w:rPr>
  </w:style>
  <w:style w:type="paragraph" w:customStyle="1" w:styleId="BMKDeliveryPhrase">
    <w:name w:val="BMK Delivery Phrase"/>
    <w:basedOn w:val="BMKAddressInfo"/>
    <w:semiHidden/>
    <w:rsid w:val="009762A0"/>
    <w:pPr>
      <w:framePr w:w="2943" w:h="1734" w:hRule="exact" w:wrap="around" w:vAnchor="text" w:hAnchor="page" w:x="8533" w:y="208"/>
      <w:ind w:left="57"/>
    </w:pPr>
    <w:rPr>
      <w:b/>
    </w:rPr>
  </w:style>
  <w:style w:type="paragraph" w:customStyle="1" w:styleId="BMKLegalNoticePhrase">
    <w:name w:val="BMK Legal Notice Phrase"/>
    <w:basedOn w:val="Normal"/>
    <w:semiHidden/>
    <w:rsid w:val="009762A0"/>
    <w:pPr>
      <w:spacing w:before="260" w:after="180" w:line="260" w:lineRule="atLeast"/>
    </w:pPr>
    <w:rPr>
      <w:rFonts w:asciiTheme="majorHAnsi" w:eastAsiaTheme="majorEastAsia" w:hAnsiTheme="majorHAnsi" w:cstheme="majorHAnsi"/>
      <w:b/>
      <w:caps/>
    </w:rPr>
  </w:style>
  <w:style w:type="paragraph" w:customStyle="1" w:styleId="BMKMemberFirmName">
    <w:name w:val="BMK Member Firm Name"/>
    <w:basedOn w:val="BMKAddressInfo"/>
    <w:next w:val="BMKAddressInfo"/>
    <w:link w:val="BMKMemberFirmNameChar"/>
    <w:semiHidden/>
    <w:rsid w:val="009762A0"/>
    <w:rPr>
      <w:b/>
    </w:rPr>
  </w:style>
  <w:style w:type="paragraph" w:customStyle="1" w:styleId="BMKRegions">
    <w:name w:val="BMK Regions"/>
    <w:basedOn w:val="BMKCities"/>
    <w:next w:val="BMKCities"/>
    <w:semiHidden/>
    <w:rsid w:val="009762A0"/>
    <w:rPr>
      <w:rFonts w:ascii="Arial Black" w:hAnsi="Arial Black"/>
      <w:szCs w:val="24"/>
    </w:rPr>
  </w:style>
  <w:style w:type="paragraph" w:customStyle="1" w:styleId="BMKMultiOffice">
    <w:name w:val="BMK Multi Office"/>
    <w:basedOn w:val="BMKRegions"/>
    <w:next w:val="Normal"/>
    <w:semiHidden/>
    <w:rsid w:val="009762A0"/>
  </w:style>
  <w:style w:type="paragraph" w:customStyle="1" w:styleId="BMKMultiOfficeAddress">
    <w:name w:val="BMK Multi Office Address"/>
    <w:basedOn w:val="BMKCities"/>
    <w:semiHidden/>
    <w:rsid w:val="009762A0"/>
  </w:style>
  <w:style w:type="paragraph" w:customStyle="1" w:styleId="BMKPartnerList">
    <w:name w:val="BMK Partner List"/>
    <w:basedOn w:val="BMKCities"/>
    <w:semiHidden/>
    <w:rsid w:val="009762A0"/>
    <w:pPr>
      <w:adjustRightInd w:val="0"/>
      <w:snapToGrid w:val="0"/>
      <w:spacing w:after="20"/>
    </w:pPr>
    <w:rPr>
      <w:rFonts w:cs="Arial"/>
      <w:caps/>
      <w:spacing w:val="0"/>
      <w:sz w:val="9"/>
      <w:szCs w:val="12"/>
    </w:rPr>
  </w:style>
  <w:style w:type="paragraph" w:customStyle="1" w:styleId="BMKQualifier">
    <w:name w:val="BMK Qualifier"/>
    <w:semiHidden/>
    <w:rsid w:val="009762A0"/>
    <w:pPr>
      <w:spacing w:line="170" w:lineRule="atLeast"/>
    </w:pPr>
    <w:rPr>
      <w:caps/>
      <w:noProof/>
      <w:sz w:val="13"/>
      <w:szCs w:val="13"/>
    </w:rPr>
  </w:style>
  <w:style w:type="paragraph" w:customStyle="1" w:styleId="BMKRefInfo">
    <w:name w:val="BMK Ref Info"/>
    <w:basedOn w:val="BMKAddressInfo"/>
    <w:semiHidden/>
    <w:rsid w:val="009762A0"/>
    <w:pPr>
      <w:framePr w:w="2943" w:h="1734" w:hRule="exact" w:wrap="around" w:vAnchor="text" w:hAnchor="page" w:x="8533" w:y="208"/>
      <w:ind w:left="57"/>
    </w:pPr>
  </w:style>
  <w:style w:type="paragraph" w:customStyle="1" w:styleId="BMKRecipient1">
    <w:name w:val="BMK Recipient1"/>
    <w:basedOn w:val="Normal"/>
    <w:semiHidden/>
    <w:rsid w:val="009762A0"/>
    <w:pPr>
      <w:spacing w:line="260" w:lineRule="atLeast"/>
    </w:pPr>
  </w:style>
  <w:style w:type="paragraph" w:styleId="Footer">
    <w:name w:val="footer"/>
    <w:basedOn w:val="Normal"/>
    <w:link w:val="FooterChar"/>
    <w:rsid w:val="009762A0"/>
    <w:pPr>
      <w:tabs>
        <w:tab w:val="right" w:pos="9350"/>
      </w:tabs>
      <w:spacing w:line="200" w:lineRule="atLeast"/>
    </w:pPr>
    <w:rPr>
      <w:rFonts w:asciiTheme="majorHAnsi" w:eastAsiaTheme="majorEastAsia" w:hAnsiTheme="majorHAnsi" w:cstheme="majorHAnsi"/>
      <w:noProof/>
      <w:sz w:val="16"/>
      <w:szCs w:val="22"/>
    </w:rPr>
  </w:style>
  <w:style w:type="character" w:styleId="FootnoteReference">
    <w:name w:val="footnote reference"/>
    <w:uiPriority w:val="6"/>
    <w:semiHidden/>
    <w:rsid w:val="009762A0"/>
    <w:rPr>
      <w:vertAlign w:val="superscript"/>
    </w:rPr>
  </w:style>
  <w:style w:type="paragraph" w:styleId="Header">
    <w:name w:val="header"/>
    <w:basedOn w:val="Normal"/>
    <w:semiHidden/>
    <w:rsid w:val="009762A0"/>
  </w:style>
  <w:style w:type="paragraph" w:styleId="ListNumber">
    <w:name w:val="List Number"/>
    <w:basedOn w:val="Normal"/>
    <w:uiPriority w:val="7"/>
    <w:qFormat/>
    <w:rsid w:val="009762A0"/>
    <w:pPr>
      <w:numPr>
        <w:numId w:val="4"/>
      </w:numPr>
      <w:spacing w:after="180" w:line="260" w:lineRule="atLeast"/>
    </w:pPr>
  </w:style>
  <w:style w:type="paragraph" w:styleId="FootnoteText">
    <w:name w:val="footnote text"/>
    <w:basedOn w:val="Normal"/>
    <w:uiPriority w:val="6"/>
    <w:semiHidden/>
    <w:rsid w:val="009762A0"/>
    <w:rPr>
      <w:sz w:val="18"/>
      <w:szCs w:val="20"/>
    </w:rPr>
  </w:style>
  <w:style w:type="paragraph" w:customStyle="1" w:styleId="Bullet1">
    <w:name w:val="Bullet 1"/>
    <w:basedOn w:val="Normal"/>
    <w:uiPriority w:val="8"/>
    <w:qFormat/>
    <w:rsid w:val="009762A0"/>
    <w:pPr>
      <w:numPr>
        <w:numId w:val="1"/>
      </w:numPr>
      <w:spacing w:after="180" w:line="260" w:lineRule="atLeast"/>
    </w:pPr>
  </w:style>
  <w:style w:type="paragraph" w:customStyle="1" w:styleId="BMKSubject">
    <w:name w:val="BMK Subject"/>
    <w:basedOn w:val="Normal"/>
    <w:semiHidden/>
    <w:rsid w:val="009762A0"/>
    <w:pPr>
      <w:spacing w:line="260" w:lineRule="atLeast"/>
    </w:pPr>
    <w:rPr>
      <w:rFonts w:asciiTheme="majorHAnsi" w:eastAsiaTheme="majorEastAsia" w:hAnsiTheme="majorHAnsi" w:cstheme="majorHAnsi"/>
      <w:b/>
      <w:bCs/>
    </w:rPr>
  </w:style>
  <w:style w:type="character" w:customStyle="1" w:styleId="BMKAddressInfoChar">
    <w:name w:val="BMK Address Info Char"/>
    <w:link w:val="BMKAddressInfo"/>
    <w:semiHidden/>
    <w:rsid w:val="009762A0"/>
    <w:rPr>
      <w:rFonts w:ascii="Arial" w:hAnsi="Arial"/>
      <w:bCs/>
      <w:noProof/>
      <w:sz w:val="16"/>
    </w:rPr>
  </w:style>
  <w:style w:type="paragraph" w:customStyle="1" w:styleId="BMKPrivacyText">
    <w:name w:val="BMK Privacy Text"/>
    <w:basedOn w:val="Footer"/>
    <w:link w:val="BMKPrivacyTextChar"/>
    <w:semiHidden/>
    <w:rsid w:val="009762A0"/>
  </w:style>
  <w:style w:type="paragraph" w:customStyle="1" w:styleId="OtherContact">
    <w:name w:val="OtherContact"/>
    <w:basedOn w:val="Normal"/>
    <w:semiHidden/>
    <w:rsid w:val="009762A0"/>
    <w:rPr>
      <w:rFonts w:asciiTheme="majorHAnsi" w:eastAsiaTheme="majorEastAsia" w:hAnsiTheme="majorHAnsi" w:cstheme="majorHAnsi"/>
      <w:sz w:val="16"/>
    </w:rPr>
  </w:style>
  <w:style w:type="paragraph" w:customStyle="1" w:styleId="Bullet2">
    <w:name w:val="Bullet 2"/>
    <w:basedOn w:val="Normal"/>
    <w:uiPriority w:val="8"/>
    <w:qFormat/>
    <w:rsid w:val="009762A0"/>
    <w:pPr>
      <w:numPr>
        <w:numId w:val="2"/>
      </w:numPr>
      <w:spacing w:line="260" w:lineRule="atLeast"/>
    </w:pPr>
  </w:style>
  <w:style w:type="character" w:customStyle="1" w:styleId="Definition">
    <w:name w:val="Definition"/>
    <w:basedOn w:val="DefaultParagraphFont"/>
    <w:uiPriority w:val="3"/>
    <w:rsid w:val="009762A0"/>
    <w:rPr>
      <w:b/>
      <w:bCs/>
      <w:i w:val="0"/>
      <w:szCs w:val="28"/>
    </w:rPr>
  </w:style>
  <w:style w:type="character" w:styleId="PageNumber">
    <w:name w:val="page number"/>
    <w:basedOn w:val="DefaultParagraphFont"/>
    <w:semiHidden/>
    <w:rsid w:val="009762A0"/>
    <w:rPr>
      <w:szCs w:val="16"/>
    </w:rPr>
  </w:style>
  <w:style w:type="paragraph" w:customStyle="1" w:styleId="LetterDetail">
    <w:name w:val="LetterDetail"/>
    <w:basedOn w:val="Normal"/>
    <w:semiHidden/>
    <w:rsid w:val="009762A0"/>
    <w:pPr>
      <w:spacing w:line="260" w:lineRule="atLeast"/>
    </w:pPr>
  </w:style>
  <w:style w:type="paragraph" w:customStyle="1" w:styleId="BMKLetterCaption">
    <w:name w:val="BMK LetterCaption"/>
    <w:basedOn w:val="BMKLegalNoticePhrase"/>
    <w:next w:val="NormalSingle"/>
    <w:semiHidden/>
    <w:rsid w:val="009762A0"/>
    <w:pPr>
      <w:spacing w:before="0"/>
    </w:pPr>
  </w:style>
  <w:style w:type="paragraph" w:customStyle="1" w:styleId="BMKco-brand">
    <w:name w:val="BMK co-brand"/>
    <w:semiHidden/>
    <w:rsid w:val="009762A0"/>
    <w:pPr>
      <w:spacing w:line="170" w:lineRule="atLeast"/>
    </w:pPr>
    <w:rPr>
      <w:caps/>
      <w:sz w:val="13"/>
    </w:rPr>
  </w:style>
  <w:style w:type="character" w:customStyle="1" w:styleId="Highlight">
    <w:name w:val="Highlight"/>
    <w:semiHidden/>
    <w:rsid w:val="009762A0"/>
    <w:rPr>
      <w:rFonts w:asciiTheme="majorHAnsi" w:eastAsiaTheme="majorEastAsia" w:hAnsiTheme="majorHAnsi" w:cstheme="majorHAnsi"/>
      <w:b/>
    </w:rPr>
  </w:style>
  <w:style w:type="paragraph" w:customStyle="1" w:styleId="TableText">
    <w:name w:val="Table Text"/>
    <w:basedOn w:val="Normal"/>
    <w:uiPriority w:val="6"/>
    <w:semiHidden/>
    <w:rsid w:val="009762A0"/>
    <w:pPr>
      <w:tabs>
        <w:tab w:val="right" w:pos="9072"/>
      </w:tabs>
      <w:spacing w:after="180" w:line="260" w:lineRule="atLeast"/>
    </w:pPr>
  </w:style>
  <w:style w:type="paragraph" w:customStyle="1" w:styleId="TableHeading">
    <w:name w:val="Table Heading"/>
    <w:basedOn w:val="Normal"/>
    <w:next w:val="Normal"/>
    <w:uiPriority w:val="8"/>
    <w:semiHidden/>
    <w:rsid w:val="009762A0"/>
    <w:pPr>
      <w:spacing w:before="120" w:after="120" w:line="240" w:lineRule="atLeast"/>
    </w:pPr>
    <w:rPr>
      <w:rFonts w:ascii="Arial" w:hAnsi="Arial"/>
      <w:caps/>
      <w:sz w:val="16"/>
      <w:szCs w:val="22"/>
    </w:rPr>
  </w:style>
  <w:style w:type="paragraph" w:styleId="ListNumber2">
    <w:name w:val="List Number 2"/>
    <w:basedOn w:val="Normal"/>
    <w:uiPriority w:val="7"/>
    <w:qFormat/>
    <w:rsid w:val="009762A0"/>
    <w:pPr>
      <w:numPr>
        <w:ilvl w:val="1"/>
        <w:numId w:val="4"/>
      </w:numPr>
      <w:spacing w:after="180" w:line="260" w:lineRule="atLeast"/>
    </w:pPr>
  </w:style>
  <w:style w:type="paragraph" w:styleId="ListNumber3">
    <w:name w:val="List Number 3"/>
    <w:basedOn w:val="Normal"/>
    <w:uiPriority w:val="7"/>
    <w:qFormat/>
    <w:rsid w:val="009762A0"/>
    <w:pPr>
      <w:numPr>
        <w:ilvl w:val="2"/>
        <w:numId w:val="4"/>
      </w:numPr>
      <w:spacing w:after="180" w:line="260" w:lineRule="atLeast"/>
    </w:pPr>
  </w:style>
  <w:style w:type="paragraph" w:styleId="ListNumber4">
    <w:name w:val="List Number 4"/>
    <w:basedOn w:val="Normal"/>
    <w:uiPriority w:val="7"/>
    <w:qFormat/>
    <w:rsid w:val="009762A0"/>
    <w:pPr>
      <w:numPr>
        <w:ilvl w:val="3"/>
        <w:numId w:val="4"/>
      </w:numPr>
      <w:spacing w:after="180" w:line="260" w:lineRule="atLeast"/>
    </w:pPr>
  </w:style>
  <w:style w:type="paragraph" w:styleId="BodyText">
    <w:name w:val="Body Text"/>
    <w:basedOn w:val="Normal"/>
    <w:qFormat/>
    <w:rsid w:val="009762A0"/>
    <w:pPr>
      <w:spacing w:after="180" w:line="260" w:lineRule="atLeast"/>
    </w:pPr>
  </w:style>
  <w:style w:type="paragraph" w:customStyle="1" w:styleId="NormalSingle">
    <w:name w:val="Normal Single"/>
    <w:basedOn w:val="Normal"/>
    <w:uiPriority w:val="6"/>
    <w:semiHidden/>
    <w:rsid w:val="009762A0"/>
    <w:pPr>
      <w:spacing w:line="0" w:lineRule="atLeast"/>
    </w:pPr>
  </w:style>
  <w:style w:type="character" w:styleId="Emphasis">
    <w:name w:val="Emphasis"/>
    <w:semiHidden/>
    <w:rsid w:val="009762A0"/>
    <w:rPr>
      <w:i/>
      <w:iCs/>
    </w:rPr>
  </w:style>
  <w:style w:type="character" w:customStyle="1" w:styleId="BMKMemberFirmNameChar">
    <w:name w:val="BMK Member Firm Name Char"/>
    <w:link w:val="BMKMemberFirmName"/>
    <w:semiHidden/>
    <w:rsid w:val="009762A0"/>
    <w:rPr>
      <w:rFonts w:ascii="Arial" w:hAnsi="Arial"/>
      <w:b/>
      <w:bCs/>
      <w:noProof/>
      <w:sz w:val="16"/>
    </w:rPr>
  </w:style>
  <w:style w:type="paragraph" w:customStyle="1" w:styleId="BMKDocumentNameHK">
    <w:name w:val="BMK Document Name HK"/>
    <w:basedOn w:val="Normal"/>
    <w:next w:val="BMKMemberFirmName"/>
    <w:semiHidden/>
    <w:rsid w:val="009762A0"/>
    <w:pPr>
      <w:spacing w:line="200" w:lineRule="atLeast"/>
    </w:pPr>
    <w:rPr>
      <w:rFonts w:ascii="Arial Black" w:eastAsiaTheme="majorEastAsia" w:hAnsi="Arial Black" w:cstheme="majorHAnsi"/>
      <w:noProof/>
      <w:sz w:val="18"/>
      <w:szCs w:val="32"/>
    </w:rPr>
  </w:style>
  <w:style w:type="paragraph" w:styleId="NormalWeb">
    <w:name w:val="Normal (Web)"/>
    <w:basedOn w:val="Normal"/>
    <w:semiHidden/>
    <w:rsid w:val="009762A0"/>
    <w:rPr>
      <w:sz w:val="24"/>
      <w:szCs w:val="24"/>
    </w:rPr>
  </w:style>
  <w:style w:type="character" w:customStyle="1" w:styleId="FooterChar">
    <w:name w:val="Footer Char"/>
    <w:link w:val="Footer"/>
    <w:rsid w:val="009762A0"/>
    <w:rPr>
      <w:rFonts w:asciiTheme="majorHAnsi" w:eastAsiaTheme="majorEastAsia" w:hAnsiTheme="majorHAnsi" w:cstheme="majorHAnsi"/>
      <w:noProof/>
      <w:sz w:val="16"/>
    </w:rPr>
  </w:style>
  <w:style w:type="paragraph" w:customStyle="1" w:styleId="BMKDocumentName">
    <w:name w:val="BMK Document Name"/>
    <w:basedOn w:val="Normal"/>
    <w:next w:val="Normal"/>
    <w:semiHidden/>
    <w:rsid w:val="009762A0"/>
    <w:pPr>
      <w:tabs>
        <w:tab w:val="left" w:pos="2761"/>
        <w:tab w:val="left" w:pos="3470"/>
        <w:tab w:val="left" w:pos="4179"/>
        <w:tab w:val="left" w:pos="4888"/>
        <w:tab w:val="right" w:pos="9849"/>
      </w:tabs>
      <w:spacing w:line="200" w:lineRule="atLeast"/>
    </w:pPr>
    <w:rPr>
      <w:rFonts w:ascii="Arial Black" w:hAnsi="Arial Black"/>
      <w:bCs/>
      <w:noProof/>
      <w:sz w:val="18"/>
    </w:rPr>
  </w:style>
  <w:style w:type="paragraph" w:customStyle="1" w:styleId="BMKHeaderLogoSHI">
    <w:name w:val="BMKHeaderLogoSHI"/>
    <w:semiHidden/>
    <w:rsid w:val="009762A0"/>
    <w:pPr>
      <w:tabs>
        <w:tab w:val="left" w:pos="709"/>
        <w:tab w:val="left" w:pos="1418"/>
        <w:tab w:val="left" w:pos="2126"/>
        <w:tab w:val="left" w:pos="2835"/>
        <w:tab w:val="right" w:pos="7876"/>
      </w:tabs>
      <w:spacing w:after="140" w:line="260" w:lineRule="atLeast"/>
    </w:pPr>
    <w:rPr>
      <w:rFonts w:eastAsiaTheme="minorEastAsia" w:cstheme="minorHAnsi"/>
      <w:szCs w:val="24"/>
    </w:rPr>
  </w:style>
  <w:style w:type="paragraph" w:customStyle="1" w:styleId="BMKPrivacyTitle">
    <w:name w:val="BMK Privacy Title"/>
    <w:basedOn w:val="Normal"/>
    <w:semiHidden/>
    <w:rsid w:val="009762A0"/>
    <w:pPr>
      <w:spacing w:before="260" w:after="140" w:line="240" w:lineRule="atLeast"/>
    </w:pPr>
    <w:rPr>
      <w:rFonts w:ascii="Arial Black" w:hAnsi="Arial Black"/>
      <w:sz w:val="18"/>
    </w:rPr>
  </w:style>
  <w:style w:type="character" w:customStyle="1" w:styleId="BMKPrivacyTextChar">
    <w:name w:val="BMK Privacy Text Char"/>
    <w:link w:val="BMKPrivacyText"/>
    <w:semiHidden/>
    <w:rsid w:val="009762A0"/>
    <w:rPr>
      <w:rFonts w:asciiTheme="majorHAnsi" w:eastAsiaTheme="majorEastAsia" w:hAnsiTheme="majorHAnsi" w:cstheme="majorHAnsi"/>
      <w:noProof/>
      <w:sz w:val="16"/>
    </w:rPr>
  </w:style>
  <w:style w:type="paragraph" w:styleId="BodyTextFirstIndent">
    <w:name w:val="Body Text First Indent"/>
    <w:basedOn w:val="BodyText"/>
    <w:uiPriority w:val="6"/>
    <w:semiHidden/>
    <w:rsid w:val="009762A0"/>
    <w:pPr>
      <w:spacing w:after="120" w:line="240" w:lineRule="auto"/>
      <w:ind w:firstLine="210"/>
    </w:pPr>
  </w:style>
  <w:style w:type="paragraph" w:customStyle="1" w:styleId="FooterIndent">
    <w:name w:val="Footer Indent"/>
    <w:basedOn w:val="Footer"/>
    <w:semiHidden/>
    <w:rsid w:val="009762A0"/>
    <w:pPr>
      <w:ind w:left="1208"/>
    </w:pPr>
  </w:style>
  <w:style w:type="paragraph" w:customStyle="1" w:styleId="BMKCitiesSpace">
    <w:name w:val="BMK Cities Space"/>
    <w:basedOn w:val="BMKCities"/>
    <w:semiHidden/>
    <w:rsid w:val="009762A0"/>
  </w:style>
  <w:style w:type="character" w:styleId="Hyperlink">
    <w:name w:val="Hyperlink"/>
    <w:uiPriority w:val="6"/>
    <w:semiHidden/>
    <w:rsid w:val="009762A0"/>
    <w:rPr>
      <w:color w:val="0000FF"/>
      <w:u w:val="single"/>
    </w:rPr>
  </w:style>
  <w:style w:type="paragraph" w:customStyle="1" w:styleId="BMKSalutation">
    <w:name w:val="BMK Salutation"/>
    <w:basedOn w:val="Normal"/>
    <w:semiHidden/>
    <w:rsid w:val="009762A0"/>
    <w:pPr>
      <w:spacing w:line="260" w:lineRule="atLeast"/>
    </w:pPr>
  </w:style>
  <w:style w:type="paragraph" w:customStyle="1" w:styleId="BMKDate">
    <w:name w:val="BMKDate"/>
    <w:basedOn w:val="Normal"/>
    <w:semiHidden/>
    <w:rsid w:val="009762A0"/>
    <w:pPr>
      <w:spacing w:line="260" w:lineRule="atLeast"/>
    </w:pPr>
  </w:style>
  <w:style w:type="paragraph" w:customStyle="1" w:styleId="BMKAddress1">
    <w:name w:val="BMK Address1"/>
    <w:basedOn w:val="Normal"/>
    <w:semiHidden/>
    <w:rsid w:val="009762A0"/>
    <w:pPr>
      <w:spacing w:line="260" w:lineRule="atLeast"/>
    </w:pPr>
  </w:style>
  <w:style w:type="paragraph" w:customStyle="1" w:styleId="BMKAttention">
    <w:name w:val="BMK Attention"/>
    <w:basedOn w:val="Normal"/>
    <w:semiHidden/>
    <w:rsid w:val="009762A0"/>
    <w:pPr>
      <w:spacing w:line="260" w:lineRule="atLeast"/>
    </w:pPr>
  </w:style>
  <w:style w:type="paragraph" w:customStyle="1" w:styleId="BMKSubtitle">
    <w:name w:val="BMK Subtitle"/>
    <w:basedOn w:val="Normal"/>
    <w:next w:val="BodyText"/>
    <w:semiHidden/>
    <w:rsid w:val="009762A0"/>
    <w:pPr>
      <w:spacing w:after="180" w:line="260" w:lineRule="atLeast"/>
    </w:pPr>
    <w:rPr>
      <w:rFonts w:asciiTheme="majorHAnsi" w:eastAsiaTheme="majorEastAsia" w:hAnsiTheme="majorHAnsi" w:cstheme="majorHAnsi"/>
      <w:sz w:val="32"/>
    </w:rPr>
  </w:style>
  <w:style w:type="paragraph" w:customStyle="1" w:styleId="BMKTitle">
    <w:name w:val="BMK Title"/>
    <w:basedOn w:val="Normal"/>
    <w:next w:val="BodyText"/>
    <w:semiHidden/>
    <w:rsid w:val="009762A0"/>
    <w:pPr>
      <w:spacing w:after="180" w:line="260" w:lineRule="atLeast"/>
    </w:pPr>
    <w:rPr>
      <w:rFonts w:asciiTheme="majorHAnsi" w:eastAsiaTheme="majorEastAsia" w:hAnsiTheme="majorHAnsi" w:cstheme="majorHAnsi"/>
      <w:sz w:val="48"/>
    </w:rPr>
  </w:style>
  <w:style w:type="character" w:styleId="BookTitle">
    <w:name w:val="Book Title"/>
    <w:basedOn w:val="DefaultParagraphFont"/>
    <w:uiPriority w:val="33"/>
    <w:semiHidden/>
    <w:rsid w:val="009762A0"/>
    <w:rPr>
      <w:b/>
      <w:bCs/>
      <w:smallCaps/>
      <w:spacing w:val="5"/>
    </w:rPr>
  </w:style>
  <w:style w:type="character" w:styleId="Strong">
    <w:name w:val="Strong"/>
    <w:basedOn w:val="DefaultParagraphFont"/>
    <w:semiHidden/>
    <w:rsid w:val="009762A0"/>
    <w:rPr>
      <w:b/>
      <w:bCs/>
    </w:rPr>
  </w:style>
  <w:style w:type="character" w:styleId="SubtleEmphasis">
    <w:name w:val="Subtle Emphasis"/>
    <w:basedOn w:val="DefaultParagraphFont"/>
    <w:uiPriority w:val="19"/>
    <w:semiHidden/>
    <w:rsid w:val="009762A0"/>
    <w:rPr>
      <w:i/>
      <w:iCs/>
      <w:color w:val="808080" w:themeColor="text1" w:themeTint="7F"/>
    </w:rPr>
  </w:style>
  <w:style w:type="character" w:styleId="SubtleReference">
    <w:name w:val="Subtle Reference"/>
    <w:basedOn w:val="DefaultParagraphFont"/>
    <w:uiPriority w:val="31"/>
    <w:semiHidden/>
    <w:rsid w:val="009762A0"/>
    <w:rPr>
      <w:smallCaps/>
      <w:color w:val="AE132A" w:themeColor="accent2"/>
      <w:u w:val="single"/>
    </w:rPr>
  </w:style>
  <w:style w:type="paragraph" w:styleId="NoSpacing">
    <w:name w:val="No Spacing"/>
    <w:uiPriority w:val="6"/>
    <w:semiHidden/>
    <w:rsid w:val="009762A0"/>
    <w:pPr>
      <w:tabs>
        <w:tab w:val="left" w:pos="709"/>
        <w:tab w:val="left" w:pos="1418"/>
        <w:tab w:val="left" w:pos="2126"/>
        <w:tab w:val="left" w:pos="2835"/>
        <w:tab w:val="right" w:pos="7876"/>
      </w:tabs>
    </w:pPr>
    <w:rPr>
      <w:rFonts w:eastAsiaTheme="minorEastAsia" w:cstheme="minorHAnsi"/>
      <w:szCs w:val="24"/>
    </w:rPr>
  </w:style>
  <w:style w:type="character" w:styleId="IntenseEmphasis">
    <w:name w:val="Intense Emphasis"/>
    <w:basedOn w:val="DefaultParagraphFont"/>
    <w:uiPriority w:val="21"/>
    <w:semiHidden/>
    <w:rsid w:val="009762A0"/>
    <w:rPr>
      <w:b/>
      <w:bCs/>
      <w:i/>
      <w:iCs/>
      <w:color w:val="EE3135" w:themeColor="accent1"/>
    </w:rPr>
  </w:style>
  <w:style w:type="paragraph" w:styleId="IntenseQuote">
    <w:name w:val="Intense Quote"/>
    <w:basedOn w:val="Normal"/>
    <w:next w:val="Normal"/>
    <w:link w:val="IntenseQuoteChar"/>
    <w:uiPriority w:val="30"/>
    <w:semiHidden/>
    <w:rsid w:val="009762A0"/>
    <w:pPr>
      <w:pBdr>
        <w:bottom w:val="single" w:sz="4" w:space="4" w:color="EE3135" w:themeColor="accent1"/>
      </w:pBdr>
      <w:spacing w:before="200" w:after="280"/>
      <w:ind w:left="936" w:right="936"/>
    </w:pPr>
    <w:rPr>
      <w:b/>
      <w:bCs/>
      <w:i/>
      <w:iCs/>
      <w:color w:val="EE3135" w:themeColor="accent1"/>
    </w:rPr>
  </w:style>
  <w:style w:type="character" w:customStyle="1" w:styleId="IntenseQuoteChar">
    <w:name w:val="Intense Quote Char"/>
    <w:basedOn w:val="DefaultParagraphFont"/>
    <w:link w:val="IntenseQuote"/>
    <w:uiPriority w:val="30"/>
    <w:semiHidden/>
    <w:rsid w:val="009762A0"/>
    <w:rPr>
      <w:rFonts w:eastAsiaTheme="minorEastAsia"/>
      <w:b/>
      <w:bCs/>
      <w:i/>
      <w:iCs/>
      <w:color w:val="EE3135" w:themeColor="accent1"/>
      <w:szCs w:val="28"/>
    </w:rPr>
  </w:style>
  <w:style w:type="paragraph" w:styleId="Quote">
    <w:name w:val="Quote"/>
    <w:basedOn w:val="Normal"/>
    <w:next w:val="Normal"/>
    <w:link w:val="QuoteChar"/>
    <w:uiPriority w:val="29"/>
    <w:semiHidden/>
    <w:rsid w:val="009762A0"/>
    <w:rPr>
      <w:i/>
      <w:iCs/>
      <w:color w:val="000000" w:themeColor="text1"/>
    </w:rPr>
  </w:style>
  <w:style w:type="character" w:customStyle="1" w:styleId="QuoteChar">
    <w:name w:val="Quote Char"/>
    <w:basedOn w:val="DefaultParagraphFont"/>
    <w:link w:val="Quote"/>
    <w:uiPriority w:val="29"/>
    <w:semiHidden/>
    <w:rsid w:val="009762A0"/>
    <w:rPr>
      <w:rFonts w:eastAsiaTheme="minorEastAsia"/>
      <w:i/>
      <w:iCs/>
      <w:color w:val="000000" w:themeColor="text1"/>
      <w:szCs w:val="28"/>
    </w:rPr>
  </w:style>
  <w:style w:type="character" w:styleId="IntenseReference">
    <w:name w:val="Intense Reference"/>
    <w:basedOn w:val="DefaultParagraphFont"/>
    <w:uiPriority w:val="32"/>
    <w:semiHidden/>
    <w:rsid w:val="009762A0"/>
    <w:rPr>
      <w:b/>
      <w:bCs/>
      <w:smallCaps/>
      <w:color w:val="AE132A" w:themeColor="accent2"/>
      <w:spacing w:val="5"/>
      <w:u w:val="single"/>
    </w:rPr>
  </w:style>
  <w:style w:type="paragraph" w:styleId="ListParagraph">
    <w:name w:val="List Paragraph"/>
    <w:basedOn w:val="Normal"/>
    <w:uiPriority w:val="34"/>
    <w:semiHidden/>
    <w:rsid w:val="009762A0"/>
    <w:pPr>
      <w:ind w:left="720"/>
      <w:contextualSpacing/>
    </w:pPr>
  </w:style>
  <w:style w:type="paragraph" w:customStyle="1" w:styleId="SubHeading">
    <w:name w:val="Sub Heading"/>
    <w:basedOn w:val="Normal"/>
    <w:next w:val="BodyText"/>
    <w:rsid w:val="009762A0"/>
    <w:pPr>
      <w:keepNext/>
      <w:spacing w:after="180" w:line="260" w:lineRule="atLeast"/>
    </w:pPr>
    <w:rPr>
      <w:rFonts w:asciiTheme="majorHAnsi" w:eastAsiaTheme="majorEastAsia" w:hAnsiTheme="majorHAnsi" w:cstheme="majorHAnsi"/>
      <w:b/>
      <w:bCs/>
    </w:rPr>
  </w:style>
  <w:style w:type="paragraph" w:customStyle="1" w:styleId="Da">
    <w:name w:val="D(a)"/>
    <w:basedOn w:val="Normal"/>
    <w:uiPriority w:val="4"/>
    <w:rsid w:val="009762A0"/>
    <w:pPr>
      <w:numPr>
        <w:ilvl w:val="1"/>
        <w:numId w:val="6"/>
      </w:numPr>
      <w:spacing w:after="180" w:line="260" w:lineRule="atLeast"/>
    </w:pPr>
  </w:style>
  <w:style w:type="paragraph" w:customStyle="1" w:styleId="DA0">
    <w:name w:val="D(A)"/>
    <w:basedOn w:val="Normal"/>
    <w:uiPriority w:val="6"/>
    <w:rsid w:val="009762A0"/>
    <w:pPr>
      <w:numPr>
        <w:ilvl w:val="3"/>
        <w:numId w:val="6"/>
      </w:numPr>
      <w:spacing w:after="180" w:line="260" w:lineRule="atLeast"/>
    </w:pPr>
  </w:style>
  <w:style w:type="paragraph" w:customStyle="1" w:styleId="Di">
    <w:name w:val="D(i)"/>
    <w:basedOn w:val="Normal"/>
    <w:uiPriority w:val="5"/>
    <w:rsid w:val="009762A0"/>
    <w:pPr>
      <w:numPr>
        <w:ilvl w:val="2"/>
        <w:numId w:val="6"/>
      </w:numPr>
      <w:spacing w:after="180" w:line="260" w:lineRule="atLeast"/>
    </w:pPr>
  </w:style>
  <w:style w:type="paragraph" w:customStyle="1" w:styleId="DefinitionParagraph">
    <w:name w:val="Definition Paragraph"/>
    <w:basedOn w:val="Normal"/>
    <w:uiPriority w:val="2"/>
    <w:rsid w:val="009762A0"/>
    <w:pPr>
      <w:numPr>
        <w:numId w:val="6"/>
      </w:numPr>
      <w:spacing w:after="180" w:line="260" w:lineRule="atLeast"/>
    </w:pPr>
  </w:style>
  <w:style w:type="paragraph" w:customStyle="1" w:styleId="SchH1">
    <w:name w:val="SchH1"/>
    <w:basedOn w:val="Normal"/>
    <w:next w:val="BodyText"/>
    <w:uiPriority w:val="6"/>
    <w:rsid w:val="009762A0"/>
    <w:pPr>
      <w:keepNext/>
      <w:numPr>
        <w:numId w:val="33"/>
      </w:numPr>
      <w:spacing w:after="180" w:line="260" w:lineRule="atLeast"/>
    </w:pPr>
    <w:rPr>
      <w:rFonts w:asciiTheme="majorHAnsi" w:eastAsiaTheme="majorEastAsia" w:hAnsiTheme="majorHAnsi" w:cstheme="majorHAnsi"/>
      <w:b/>
      <w:bCs/>
    </w:rPr>
  </w:style>
  <w:style w:type="paragraph" w:customStyle="1" w:styleId="SchH2">
    <w:name w:val="SchH2"/>
    <w:basedOn w:val="Normal"/>
    <w:next w:val="BodyText"/>
    <w:uiPriority w:val="6"/>
    <w:rsid w:val="009762A0"/>
    <w:pPr>
      <w:keepNext/>
      <w:numPr>
        <w:ilvl w:val="1"/>
        <w:numId w:val="33"/>
      </w:numPr>
      <w:spacing w:after="180" w:line="260" w:lineRule="atLeast"/>
    </w:pPr>
    <w:rPr>
      <w:rFonts w:asciiTheme="majorHAnsi" w:eastAsiaTheme="majorEastAsia" w:hAnsiTheme="majorHAnsi" w:cstheme="majorHAnsi"/>
      <w:b/>
      <w:bCs/>
    </w:rPr>
  </w:style>
  <w:style w:type="paragraph" w:customStyle="1" w:styleId="SchH3">
    <w:name w:val="SchH3"/>
    <w:basedOn w:val="Normal"/>
    <w:uiPriority w:val="6"/>
    <w:rsid w:val="009762A0"/>
    <w:pPr>
      <w:numPr>
        <w:ilvl w:val="2"/>
        <w:numId w:val="33"/>
      </w:numPr>
      <w:spacing w:after="180" w:line="260" w:lineRule="atLeast"/>
    </w:pPr>
  </w:style>
  <w:style w:type="paragraph" w:customStyle="1" w:styleId="SchH4">
    <w:name w:val="SchH4"/>
    <w:basedOn w:val="Normal"/>
    <w:uiPriority w:val="6"/>
    <w:rsid w:val="009762A0"/>
    <w:pPr>
      <w:numPr>
        <w:ilvl w:val="3"/>
        <w:numId w:val="33"/>
      </w:numPr>
      <w:spacing w:after="180" w:line="260" w:lineRule="atLeast"/>
    </w:pPr>
  </w:style>
  <w:style w:type="paragraph" w:customStyle="1" w:styleId="SchH5">
    <w:name w:val="SchH5"/>
    <w:basedOn w:val="Normal"/>
    <w:uiPriority w:val="6"/>
    <w:rsid w:val="009762A0"/>
    <w:pPr>
      <w:numPr>
        <w:ilvl w:val="4"/>
        <w:numId w:val="33"/>
      </w:numPr>
      <w:spacing w:after="180" w:line="260" w:lineRule="atLeast"/>
    </w:pPr>
  </w:style>
  <w:style w:type="paragraph" w:customStyle="1" w:styleId="SchH6">
    <w:name w:val="SchH6"/>
    <w:basedOn w:val="Normal"/>
    <w:uiPriority w:val="6"/>
    <w:rsid w:val="009762A0"/>
    <w:pPr>
      <w:numPr>
        <w:ilvl w:val="5"/>
        <w:numId w:val="33"/>
      </w:numPr>
      <w:spacing w:after="180" w:line="260" w:lineRule="atLeast"/>
    </w:pPr>
  </w:style>
  <w:style w:type="paragraph" w:customStyle="1" w:styleId="SchSH">
    <w:name w:val="SchSH"/>
    <w:basedOn w:val="Normal"/>
    <w:next w:val="BodyText"/>
    <w:uiPriority w:val="6"/>
    <w:rsid w:val="009762A0"/>
    <w:pPr>
      <w:keepNext/>
      <w:spacing w:after="180" w:line="260" w:lineRule="atLeast"/>
    </w:pPr>
    <w:rPr>
      <w:rFonts w:asciiTheme="majorHAnsi" w:eastAsiaTheme="majorEastAsia" w:hAnsiTheme="majorHAnsi" w:cstheme="majorHAnsi"/>
      <w:b/>
    </w:rPr>
  </w:style>
  <w:style w:type="paragraph" w:styleId="TOC1">
    <w:name w:val="toc 1"/>
    <w:basedOn w:val="Normal"/>
    <w:next w:val="Normal"/>
    <w:autoRedefine/>
    <w:uiPriority w:val="39"/>
    <w:semiHidden/>
    <w:rsid w:val="009762A0"/>
    <w:pPr>
      <w:spacing w:before="180" w:line="260" w:lineRule="atLeast"/>
      <w:ind w:left="562" w:right="288" w:hanging="562"/>
    </w:pPr>
    <w:rPr>
      <w:rFonts w:asciiTheme="majorHAnsi" w:eastAsiaTheme="majorEastAsia" w:hAnsiTheme="majorHAnsi" w:cstheme="majorHAnsi"/>
      <w:b/>
    </w:rPr>
  </w:style>
  <w:style w:type="paragraph" w:styleId="TOC2">
    <w:name w:val="toc 2"/>
    <w:basedOn w:val="Normal"/>
    <w:next w:val="Normal"/>
    <w:autoRedefine/>
    <w:uiPriority w:val="39"/>
    <w:semiHidden/>
    <w:rsid w:val="009762A0"/>
    <w:pPr>
      <w:spacing w:before="180" w:line="260" w:lineRule="atLeast"/>
      <w:ind w:left="1124" w:right="288" w:hanging="562"/>
    </w:pPr>
    <w:rPr>
      <w:rFonts w:asciiTheme="majorHAnsi" w:eastAsiaTheme="majorEastAsia" w:hAnsiTheme="majorHAnsi" w:cstheme="majorHAnsi"/>
      <w:b/>
    </w:rPr>
  </w:style>
  <w:style w:type="paragraph" w:styleId="TOC3">
    <w:name w:val="toc 3"/>
    <w:basedOn w:val="Normal"/>
    <w:next w:val="Normal"/>
    <w:autoRedefine/>
    <w:uiPriority w:val="39"/>
    <w:semiHidden/>
    <w:rsid w:val="009762A0"/>
    <w:pPr>
      <w:spacing w:before="180" w:line="260" w:lineRule="atLeast"/>
      <w:ind w:left="1700" w:right="288" w:hanging="562"/>
    </w:pPr>
    <w:rPr>
      <w:rFonts w:asciiTheme="majorHAnsi" w:eastAsiaTheme="majorEastAsia" w:hAnsiTheme="majorHAnsi" w:cstheme="majorHAnsi"/>
      <w:b/>
    </w:rPr>
  </w:style>
  <w:style w:type="paragraph" w:styleId="TOC4">
    <w:name w:val="toc 4"/>
    <w:basedOn w:val="Normal"/>
    <w:next w:val="Normal"/>
    <w:autoRedefine/>
    <w:semiHidden/>
    <w:rsid w:val="009762A0"/>
    <w:pPr>
      <w:spacing w:line="260" w:lineRule="atLeast"/>
      <w:ind w:left="1418"/>
    </w:pPr>
    <w:rPr>
      <w:rFonts w:asciiTheme="majorHAnsi" w:eastAsiaTheme="majorEastAsia" w:hAnsiTheme="majorHAnsi" w:cstheme="majorHAnsi"/>
      <w:szCs w:val="20"/>
    </w:rPr>
  </w:style>
  <w:style w:type="numbering" w:customStyle="1" w:styleId="BMHeadings">
    <w:name w:val="B&amp;M Headings"/>
    <w:uiPriority w:val="99"/>
    <w:rsid w:val="009762A0"/>
    <w:pPr>
      <w:numPr>
        <w:numId w:val="3"/>
      </w:numPr>
    </w:pPr>
  </w:style>
  <w:style w:type="numbering" w:customStyle="1" w:styleId="BMListNumbers">
    <w:name w:val="B&amp;M List Numbers"/>
    <w:uiPriority w:val="99"/>
    <w:rsid w:val="009762A0"/>
    <w:pPr>
      <w:numPr>
        <w:numId w:val="4"/>
      </w:numPr>
    </w:pPr>
  </w:style>
  <w:style w:type="numbering" w:customStyle="1" w:styleId="BMSchedules">
    <w:name w:val="B&amp;M Schedules"/>
    <w:uiPriority w:val="99"/>
    <w:rsid w:val="009762A0"/>
    <w:pPr>
      <w:numPr>
        <w:numId w:val="5"/>
      </w:numPr>
    </w:pPr>
  </w:style>
  <w:style w:type="numbering" w:customStyle="1" w:styleId="BMDefinitions">
    <w:name w:val="B&amp;M Definitions"/>
    <w:uiPriority w:val="99"/>
    <w:rsid w:val="009762A0"/>
    <w:pPr>
      <w:numPr>
        <w:numId w:val="6"/>
      </w:numPr>
    </w:pPr>
  </w:style>
  <w:style w:type="paragraph" w:customStyle="1" w:styleId="TOCHeading">
    <w:name w:val="TOCHeading"/>
    <w:basedOn w:val="Normal"/>
    <w:next w:val="BodyText"/>
    <w:uiPriority w:val="11"/>
    <w:semiHidden/>
    <w:rsid w:val="009762A0"/>
    <w:pPr>
      <w:pBdr>
        <w:bottom w:val="single" w:sz="4" w:space="9" w:color="auto"/>
      </w:pBdr>
      <w:spacing w:after="180" w:line="260" w:lineRule="exact"/>
    </w:pPr>
    <w:rPr>
      <w:rFonts w:asciiTheme="majorHAnsi" w:eastAsiaTheme="majorEastAsia" w:hAnsiTheme="majorHAnsi" w:cstheme="majorHAnsi"/>
      <w:b/>
      <w:bCs/>
      <w:sz w:val="24"/>
    </w:rPr>
  </w:style>
  <w:style w:type="paragraph" w:styleId="TOC5">
    <w:name w:val="toc 5"/>
    <w:basedOn w:val="Normal"/>
    <w:next w:val="Normal"/>
    <w:autoRedefine/>
    <w:semiHidden/>
    <w:rsid w:val="009762A0"/>
    <w:pPr>
      <w:spacing w:after="100"/>
      <w:ind w:left="880"/>
    </w:pPr>
  </w:style>
  <w:style w:type="paragraph" w:styleId="TOC6">
    <w:name w:val="toc 6"/>
    <w:basedOn w:val="Normal"/>
    <w:next w:val="Normal"/>
    <w:autoRedefine/>
    <w:semiHidden/>
    <w:rsid w:val="009762A0"/>
    <w:pPr>
      <w:spacing w:after="100"/>
      <w:ind w:left="1100"/>
    </w:pPr>
  </w:style>
  <w:style w:type="paragraph" w:styleId="TOC7">
    <w:name w:val="toc 7"/>
    <w:basedOn w:val="Normal"/>
    <w:next w:val="Normal"/>
    <w:autoRedefine/>
    <w:semiHidden/>
    <w:rsid w:val="009762A0"/>
    <w:pPr>
      <w:spacing w:after="100"/>
      <w:ind w:left="1320"/>
    </w:pPr>
  </w:style>
  <w:style w:type="paragraph" w:styleId="TOC8">
    <w:name w:val="toc 8"/>
    <w:basedOn w:val="Normal"/>
    <w:next w:val="Normal"/>
    <w:autoRedefine/>
    <w:semiHidden/>
    <w:rsid w:val="009762A0"/>
    <w:pPr>
      <w:spacing w:after="100"/>
      <w:ind w:left="1540"/>
    </w:pPr>
  </w:style>
  <w:style w:type="paragraph" w:styleId="TOC9">
    <w:name w:val="toc 9"/>
    <w:basedOn w:val="Normal"/>
    <w:next w:val="Normal"/>
    <w:autoRedefine/>
    <w:semiHidden/>
    <w:rsid w:val="009762A0"/>
    <w:pPr>
      <w:spacing w:after="100"/>
      <w:ind w:left="1760"/>
    </w:pPr>
  </w:style>
  <w:style w:type="character" w:customStyle="1" w:styleId="Heading7Char">
    <w:name w:val="Heading 7 Char"/>
    <w:basedOn w:val="DefaultParagraphFont"/>
    <w:link w:val="Heading7"/>
    <w:rsid w:val="009762A0"/>
    <w:rPr>
      <w:rFonts w:eastAsiaTheme="minorEastAsia"/>
      <w:szCs w:val="28"/>
    </w:rPr>
  </w:style>
  <w:style w:type="paragraph" w:customStyle="1" w:styleId="Recital">
    <w:name w:val="Recital"/>
    <w:basedOn w:val="Normal"/>
    <w:uiPriority w:val="7"/>
    <w:rsid w:val="009762A0"/>
    <w:pPr>
      <w:numPr>
        <w:numId w:val="30"/>
      </w:numPr>
      <w:spacing w:after="180" w:line="260" w:lineRule="atLeast"/>
    </w:pPr>
    <w:rPr>
      <w:rFonts w:cs="Times New Roman"/>
    </w:rPr>
  </w:style>
  <w:style w:type="character" w:customStyle="1" w:styleId="DMReference">
    <w:name w:val="DMReference"/>
    <w:basedOn w:val="FooterChar"/>
    <w:semiHidden/>
    <w:rsid w:val="009762A0"/>
    <w:rPr>
      <w:rFonts w:asciiTheme="majorHAnsi" w:eastAsiaTheme="majorEastAsia" w:hAnsiTheme="majorHAnsi" w:cstheme="majorHAnsi"/>
      <w:noProof/>
      <w:sz w:val="16"/>
      <w:szCs w:val="16"/>
    </w:rPr>
  </w:style>
  <w:style w:type="paragraph" w:styleId="BodyTextIndent">
    <w:name w:val="Body Text Indent"/>
    <w:basedOn w:val="Normal"/>
    <w:link w:val="BodyTextIndentChar"/>
    <w:rsid w:val="009762A0"/>
    <w:pPr>
      <w:spacing w:after="180" w:line="260" w:lineRule="exact"/>
      <w:ind w:left="709"/>
    </w:pPr>
  </w:style>
  <w:style w:type="character" w:customStyle="1" w:styleId="BodyTextIndentChar">
    <w:name w:val="Body Text Indent Char"/>
    <w:basedOn w:val="DefaultParagraphFont"/>
    <w:link w:val="BodyTextIndent"/>
    <w:rsid w:val="009762A0"/>
    <w:rPr>
      <w:rFonts w:eastAsiaTheme="minorEastAsia"/>
      <w:szCs w:val="28"/>
    </w:rPr>
  </w:style>
  <w:style w:type="paragraph" w:customStyle="1" w:styleId="BodyTextIndent4">
    <w:name w:val="Body Text Indent 4"/>
    <w:basedOn w:val="BodyTextIndent"/>
    <w:qFormat/>
    <w:rsid w:val="009762A0"/>
    <w:pPr>
      <w:numPr>
        <w:ilvl w:val="2"/>
      </w:numPr>
      <w:spacing w:line="260" w:lineRule="atLeast"/>
      <w:ind w:left="1418"/>
    </w:pPr>
    <w:rPr>
      <w:rFonts w:cs="Times New Roman"/>
    </w:rPr>
  </w:style>
  <w:style w:type="paragraph" w:customStyle="1" w:styleId="BodyTextIndent5">
    <w:name w:val="Body Text Indent 5"/>
    <w:basedOn w:val="BodyTextIndent4"/>
    <w:qFormat/>
    <w:rsid w:val="009762A0"/>
    <w:pPr>
      <w:numPr>
        <w:ilvl w:val="3"/>
      </w:numPr>
      <w:ind w:left="2126"/>
    </w:pPr>
  </w:style>
  <w:style w:type="paragraph" w:customStyle="1" w:styleId="BodyTextIndent6">
    <w:name w:val="Body Text Indent 6"/>
    <w:basedOn w:val="BodyTextIndent5"/>
    <w:qFormat/>
    <w:rsid w:val="009762A0"/>
    <w:pPr>
      <w:numPr>
        <w:ilvl w:val="4"/>
      </w:numPr>
      <w:ind w:left="2835"/>
    </w:pPr>
  </w:style>
  <w:style w:type="paragraph" w:customStyle="1" w:styleId="TableCopy">
    <w:name w:val="Table Copy"/>
    <w:basedOn w:val="Normal"/>
    <w:uiPriority w:val="8"/>
    <w:semiHidden/>
    <w:rsid w:val="009762A0"/>
    <w:pPr>
      <w:spacing w:before="120" w:after="120" w:line="240" w:lineRule="atLeast"/>
    </w:pPr>
    <w:rPr>
      <w:rFonts w:ascii="Arial" w:hAnsi="Arial"/>
      <w:color w:val="5F5F5F"/>
      <w:sz w:val="20"/>
      <w:szCs w:val="26"/>
    </w:rPr>
  </w:style>
  <w:style w:type="paragraph" w:customStyle="1" w:styleId="TableHeadings">
    <w:name w:val="Table Headings"/>
    <w:basedOn w:val="Normal"/>
    <w:uiPriority w:val="8"/>
    <w:semiHidden/>
    <w:rsid w:val="009762A0"/>
    <w:pPr>
      <w:numPr>
        <w:numId w:val="31"/>
      </w:numPr>
      <w:spacing w:before="120" w:after="60" w:line="240" w:lineRule="atLeast"/>
    </w:pPr>
    <w:rPr>
      <w:rFonts w:ascii="Arial" w:hAnsi="Arial"/>
      <w:b/>
      <w:sz w:val="20"/>
      <w:szCs w:val="26"/>
    </w:rPr>
  </w:style>
  <w:style w:type="paragraph" w:customStyle="1" w:styleId="SchH7">
    <w:name w:val="SchH7"/>
    <w:basedOn w:val="Normal"/>
    <w:uiPriority w:val="6"/>
    <w:rsid w:val="009762A0"/>
    <w:pPr>
      <w:numPr>
        <w:ilvl w:val="6"/>
        <w:numId w:val="33"/>
      </w:numPr>
      <w:spacing w:after="180" w:line="260" w:lineRule="atLeast"/>
    </w:pPr>
  </w:style>
  <w:style w:type="character" w:styleId="PlaceholderText">
    <w:name w:val="Placeholder Text"/>
    <w:basedOn w:val="DefaultParagraphFont"/>
    <w:uiPriority w:val="99"/>
    <w:semiHidden/>
    <w:rsid w:val="009762A0"/>
    <w:rPr>
      <w:color w:val="C2C3C4" w:themeColor="background2"/>
    </w:rPr>
  </w:style>
  <w:style w:type="character" w:styleId="FollowedHyperlink">
    <w:name w:val="FollowedHyperlink"/>
    <w:basedOn w:val="DefaultParagraphFont"/>
    <w:unhideWhenUsed/>
    <w:rsid w:val="009762A0"/>
    <w:rPr>
      <w:color w:val="800080"/>
      <w:u w:val="single"/>
    </w:rPr>
  </w:style>
  <w:style w:type="paragraph" w:styleId="TOCHeading0">
    <w:name w:val="TOC Heading"/>
    <w:basedOn w:val="Heading1"/>
    <w:next w:val="Normal"/>
    <w:uiPriority w:val="39"/>
    <w:semiHidden/>
    <w:unhideWhenUsed/>
    <w:qFormat/>
    <w:rsid w:val="009762A0"/>
    <w:pPr>
      <w:keepLines/>
      <w:numPr>
        <w:numId w:val="0"/>
      </w:numPr>
      <w:spacing w:before="480" w:after="0" w:line="240" w:lineRule="auto"/>
      <w:outlineLvl w:val="9"/>
    </w:pPr>
    <w:rPr>
      <w:rFonts w:cstheme="majorBidi"/>
      <w:color w:val="AE132A" w:themeColor="accent2"/>
      <w:sz w:val="28"/>
    </w:rPr>
  </w:style>
  <w:style w:type="table" w:customStyle="1" w:styleId="TableHorizontalShaded">
    <w:name w:val="Table Horizontal Shaded"/>
    <w:basedOn w:val="TableNormal"/>
    <w:rsid w:val="00C054E1"/>
    <w:pPr>
      <w:spacing w:after="0" w:line="240" w:lineRule="auto"/>
    </w:pPr>
    <w:rPr>
      <w:rFonts w:ascii="Arial" w:eastAsia="Times New Roman" w:hAnsi="Arial" w:cs="Times New Roman"/>
      <w:sz w:val="20"/>
      <w:szCs w:val="20"/>
    </w:rPr>
    <w:tblPr>
      <w:tblInd w:w="113" w:type="dxa"/>
      <w:tblBorders>
        <w:top w:val="single" w:sz="4" w:space="0" w:color="002856" w:themeColor="accent4"/>
        <w:bottom w:val="single" w:sz="4" w:space="0" w:color="002856" w:themeColor="accent4"/>
        <w:insideH w:val="single" w:sz="4" w:space="0" w:color="002856" w:themeColor="accent4"/>
        <w:insideV w:val="single" w:sz="4" w:space="0" w:color="002856" w:themeColor="accent4"/>
      </w:tblBorders>
      <w:tblCellMar>
        <w:bottom w:w="57" w:type="dxa"/>
        <w:right w:w="57" w:type="dxa"/>
      </w:tblCellMar>
    </w:tblPr>
    <w:tcPr>
      <w:shd w:val="clear" w:color="auto" w:fill="auto"/>
    </w:tcPr>
    <w:tblStylePr w:type="firstRow">
      <w:rPr>
        <w:b w:val="0"/>
        <w:color w:val="FFFFFF"/>
      </w:rPr>
      <w:tblPr/>
      <w:tcPr>
        <w:tcBorders>
          <w:insideV w:val="single" w:sz="4" w:space="0" w:color="FFFFFF" w:themeColor="background1"/>
        </w:tcBorders>
        <w:shd w:val="clear" w:color="auto" w:fill="002856" w:themeFill="accent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footer" Target="footer1.xml" />
  <Relationship Id="rId18" Type="http://schemas.openxmlformats.org/officeDocument/2006/relationships/theme" Target="theme/theme1.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header" Target="header2.xml" />
  <Relationship Id="rId17" Type="http://schemas.openxmlformats.org/officeDocument/2006/relationships/fontTable" Target="fontTable.xml" />
  <Relationship Id="rId2" Type="http://schemas.openxmlformats.org/officeDocument/2006/relationships/customXml" Target="../customXml/item2.xml" />
  <Relationship Id="rId16" Type="http://schemas.openxmlformats.org/officeDocument/2006/relationships/footer" Target="footer3.xml" />
  <Relationship Id="rId1" Type="http://schemas.openxmlformats.org/officeDocument/2006/relationships/customXml" Target="../customXml/item1.xml" />
  <Relationship Id="rId6" Type="http://schemas.microsoft.com/office/2007/relationships/stylesWithEffects" Target="stylesWithEffects.xml" />
  <Relationship Id="rId11" Type="http://schemas.openxmlformats.org/officeDocument/2006/relationships/header" Target="header1.xml" />
  <Relationship Id="rId5" Type="http://schemas.openxmlformats.org/officeDocument/2006/relationships/styles" Target="styles.xml" />
  <Relationship Id="rId15" Type="http://schemas.openxmlformats.org/officeDocument/2006/relationships/header" Target="header3.xml" />
  <Relationship Id="rId10" Type="http://schemas.openxmlformats.org/officeDocument/2006/relationships/endnotes" Target="endnotes.xml" />
  <Relationship Id="rId4" Type="http://schemas.openxmlformats.org/officeDocument/2006/relationships/numbering" Target="numbering.xml" />
  <Relationship Id="rId9" Type="http://schemas.openxmlformats.org/officeDocument/2006/relationships/footnotes" Target="footnotes.xml" />
  <Relationship Id="rId14" Type="http://schemas.openxmlformats.org/officeDocument/2006/relationships/footer" Target="footer2.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Program%20Files%20(x86)\Microsoft%20Office\Templates\Global\Correspondence\Blank.dotm" TargetMode="External" />
</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item1.xml>��< ? x m l   v e r s i o n = " 1 . 0 "   e n c o d i n g = " u t f - 1 6 " ? > < r o o t   x m l n s = " h t t p : / / s c h e m a s . m a c r o v i e w . c o m . a u / b m o f f i c e / b l a n k " >  
 < / r o o t > 
</file>

<file path=customXml/item2.xml><?xml version="1.0" encoding="utf-8"?>
<cdm:cachedDataManifest xmlns:cdm="http://schemas.microsoft.com/2004/VisualStudio/Tools/Applications/CachedDataManifest.xsd" cdm:revision="1"/>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5198B-0CB7-44D6-AFD7-F558CD57D7AE}">
  <ds:schemaRefs>
    <ds:schemaRef ds:uri="http://schemas.macroview.com.au/bmoffice/blank"/>
  </ds:schemaRefs>
</ds:datastoreItem>
</file>

<file path=customXml/itemProps2.xml><?xml version="1.0" encoding="utf-8"?>
<ds:datastoreItem xmlns:ds="http://schemas.openxmlformats.org/officeDocument/2006/customXml" ds:itemID="{B0ACAC1A-688F-41AA-8009-1DB3B5E12FAB}">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5F4C594F-97F9-4395-91F5-E0B485F4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6</Pages>
  <Words>2280</Words>
  <Characters>12278</Characters>
  <Application>Microsoft Office Word</Application>
  <DocSecurity>0</DocSecurity>
  <Lines>175</Lines>
  <Paragraphs>47</Paragraphs>
  <ScaleCrop>false</ScaleCrop>
  <HeadingPairs>
    <vt:vector size="2" baseType="variant">
      <vt:variant>
        <vt:lpstr>Title</vt:lpstr>
      </vt:variant>
      <vt:variant>
        <vt:i4>1</vt:i4>
      </vt:variant>
    </vt:vector>
  </HeadingPairs>
  <TitlesOfParts>
    <vt:vector size="1" baseType="lpstr">
      <vt:lpstr>Blank</vt:lpstr>
    </vt:vector>
  </TitlesOfParts>
  <Company/>
  <LinksUpToDate>false</LinksUpToDate>
  <CharactersWithSpaces>14565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Blank</vt:lpwstr>
  </property>
</Properties>
</file>